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54.xml" ContentType="application/vnd.openxmlformats-officedocument.wordprocessingml.footer+xml"/>
  <Override PartName="/word/footer155.xml" ContentType="application/vnd.openxmlformats-officedocument.wordprocessingml.footer+xml"/>
  <Override PartName="/word/footer156.xml" ContentType="application/vnd.openxmlformats-officedocument.wordprocessingml.footer+xml"/>
  <Override PartName="/word/footer157.xml" ContentType="application/vnd.openxmlformats-officedocument.wordprocessingml.footer+xml"/>
  <Override PartName="/word/footer158.xml" ContentType="application/vnd.openxmlformats-officedocument.wordprocessingml.footer+xml"/>
  <Override PartName="/word/footer159.xml" ContentType="application/vnd.openxmlformats-officedocument.wordprocessingml.footer+xml"/>
  <Override PartName="/word/footer16.xml" ContentType="application/vnd.openxmlformats-officedocument.wordprocessingml.footer+xml"/>
  <Override PartName="/word/footer160.xml" ContentType="application/vnd.openxmlformats-officedocument.wordprocessingml.footer+xml"/>
  <Override PartName="/word/footer161.xml" ContentType="application/vnd.openxmlformats-officedocument.wordprocessingml.footer+xml"/>
  <Override PartName="/word/footer162.xml" ContentType="application/vnd.openxmlformats-officedocument.wordprocessingml.footer+xml"/>
  <Override PartName="/word/footer163.xml" ContentType="application/vnd.openxmlformats-officedocument.wordprocessingml.footer+xml"/>
  <Override PartName="/word/footer164.xml" ContentType="application/vnd.openxmlformats-officedocument.wordprocessingml.footer+xml"/>
  <Override PartName="/word/footer165.xml" ContentType="application/vnd.openxmlformats-officedocument.wordprocessingml.footer+xml"/>
  <Override PartName="/word/footer166.xml" ContentType="application/vnd.openxmlformats-officedocument.wordprocessingml.footer+xml"/>
  <Override PartName="/word/footer167.xml" ContentType="application/vnd.openxmlformats-officedocument.wordprocessingml.footer+xml"/>
  <Override PartName="/word/footer168.xml" ContentType="application/vnd.openxmlformats-officedocument.wordprocessingml.footer+xml"/>
  <Override PartName="/word/footer169.xml" ContentType="application/vnd.openxmlformats-officedocument.wordprocessingml.footer+xml"/>
  <Override PartName="/word/footer17.xml" ContentType="application/vnd.openxmlformats-officedocument.wordprocessingml.footer+xml"/>
  <Override PartName="/word/footer170.xml" ContentType="application/vnd.openxmlformats-officedocument.wordprocessingml.footer+xml"/>
  <Override PartName="/word/footer171.xml" ContentType="application/vnd.openxmlformats-officedocument.wordprocessingml.footer+xml"/>
  <Override PartName="/word/footer172.xml" ContentType="application/vnd.openxmlformats-officedocument.wordprocessingml.footer+xml"/>
  <Override PartName="/word/footer173.xml" ContentType="application/vnd.openxmlformats-officedocument.wordprocessingml.footer+xml"/>
  <Override PartName="/word/footer174.xml" ContentType="application/vnd.openxmlformats-officedocument.wordprocessingml.footer+xml"/>
  <Override PartName="/word/footer175.xml" ContentType="application/vnd.openxmlformats-officedocument.wordprocessingml.footer+xml"/>
  <Override PartName="/word/footer176.xml" ContentType="application/vnd.openxmlformats-officedocument.wordprocessingml.footer+xml"/>
  <Override PartName="/word/footer177.xml" ContentType="application/vnd.openxmlformats-officedocument.wordprocessingml.footer+xml"/>
  <Override PartName="/word/footer178.xml" ContentType="application/vnd.openxmlformats-officedocument.wordprocessingml.footer+xml"/>
  <Override PartName="/word/footer179.xml" ContentType="application/vnd.openxmlformats-officedocument.wordprocessingml.footer+xml"/>
  <Override PartName="/word/footer18.xml" ContentType="application/vnd.openxmlformats-officedocument.wordprocessingml.footer+xml"/>
  <Override PartName="/word/footer180.xml" ContentType="application/vnd.openxmlformats-officedocument.wordprocessingml.footer+xml"/>
  <Override PartName="/word/footer181.xml" ContentType="application/vnd.openxmlformats-officedocument.wordprocessingml.footer+xml"/>
  <Override PartName="/word/footer182.xml" ContentType="application/vnd.openxmlformats-officedocument.wordprocessingml.footer+xml"/>
  <Override PartName="/word/footer183.xml" ContentType="application/vnd.openxmlformats-officedocument.wordprocessingml.footer+xml"/>
  <Override PartName="/word/footer184.xml" ContentType="application/vnd.openxmlformats-officedocument.wordprocessingml.footer+xml"/>
  <Override PartName="/word/footer185.xml" ContentType="application/vnd.openxmlformats-officedocument.wordprocessingml.footer+xml"/>
  <Override PartName="/word/footer186.xml" ContentType="application/vnd.openxmlformats-officedocument.wordprocessingml.footer+xml"/>
  <Override PartName="/word/footer187.xml" ContentType="application/vnd.openxmlformats-officedocument.wordprocessingml.footer+xml"/>
  <Override PartName="/word/footer188.xml" ContentType="application/vnd.openxmlformats-officedocument.wordprocessingml.footer+xml"/>
  <Override PartName="/word/footer189.xml" ContentType="application/vnd.openxmlformats-officedocument.wordprocessingml.footer+xml"/>
  <Override PartName="/word/footer19.xml" ContentType="application/vnd.openxmlformats-officedocument.wordprocessingml.footer+xml"/>
  <Override PartName="/word/footer190.xml" ContentType="application/vnd.openxmlformats-officedocument.wordprocessingml.footer+xml"/>
  <Override PartName="/word/footer191.xml" ContentType="application/vnd.openxmlformats-officedocument.wordprocessingml.footer+xml"/>
  <Override PartName="/word/footer192.xml" ContentType="application/vnd.openxmlformats-officedocument.wordprocessingml.footer+xml"/>
  <Override PartName="/word/footer193.xml" ContentType="application/vnd.openxmlformats-officedocument.wordprocessingml.footer+xml"/>
  <Override PartName="/word/footer194.xml" ContentType="application/vnd.openxmlformats-officedocument.wordprocessingml.footer+xml"/>
  <Override PartName="/word/footer195.xml" ContentType="application/vnd.openxmlformats-officedocument.wordprocessingml.footer+xml"/>
  <Override PartName="/word/footer196.xml" ContentType="application/vnd.openxmlformats-officedocument.wordprocessingml.footer+xml"/>
  <Override PartName="/word/footer197.xml" ContentType="application/vnd.openxmlformats-officedocument.wordprocessingml.footer+xml"/>
  <Override PartName="/word/footer198.xml" ContentType="application/vnd.openxmlformats-officedocument.wordprocessingml.footer+xml"/>
  <Override PartName="/word/footer19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00.xml" ContentType="application/vnd.openxmlformats-officedocument.wordprocessingml.footer+xml"/>
  <Override PartName="/word/footer201.xml" ContentType="application/vnd.openxmlformats-officedocument.wordprocessingml.footer+xml"/>
  <Override PartName="/word/footer202.xml" ContentType="application/vnd.openxmlformats-officedocument.wordprocessingml.footer+xml"/>
  <Override PartName="/word/footer203.xml" ContentType="application/vnd.openxmlformats-officedocument.wordprocessingml.footer+xml"/>
  <Override PartName="/word/footer204.xml" ContentType="application/vnd.openxmlformats-officedocument.wordprocessingml.footer+xml"/>
  <Override PartName="/word/footer205.xml" ContentType="application/vnd.openxmlformats-officedocument.wordprocessingml.footer+xml"/>
  <Override PartName="/word/footer206.xml" ContentType="application/vnd.openxmlformats-officedocument.wordprocessingml.footer+xml"/>
  <Override PartName="/word/footer207.xml" ContentType="application/vnd.openxmlformats-officedocument.wordprocessingml.footer+xml"/>
  <Override PartName="/word/footer208.xml" ContentType="application/vnd.openxmlformats-officedocument.wordprocessingml.footer+xml"/>
  <Override PartName="/word/footer209.xml" ContentType="application/vnd.openxmlformats-officedocument.wordprocessingml.footer+xml"/>
  <Override PartName="/word/footer21.xml" ContentType="application/vnd.openxmlformats-officedocument.wordprocessingml.footer+xml"/>
  <Override PartName="/word/footer210.xml" ContentType="application/vnd.openxmlformats-officedocument.wordprocessingml.footer+xml"/>
  <Override PartName="/word/footer211.xml" ContentType="application/vnd.openxmlformats-officedocument.wordprocessingml.footer+xml"/>
  <Override PartName="/word/footer212.xml" ContentType="application/vnd.openxmlformats-officedocument.wordprocessingml.footer+xml"/>
  <Override PartName="/word/footer213.xml" ContentType="application/vnd.openxmlformats-officedocument.wordprocessingml.footer+xml"/>
  <Override PartName="/word/footer214.xml" ContentType="application/vnd.openxmlformats-officedocument.wordprocessingml.footer+xml"/>
  <Override PartName="/word/footer215.xml" ContentType="application/vnd.openxmlformats-officedocument.wordprocessingml.footer+xml"/>
  <Override PartName="/word/footer216.xml" ContentType="application/vnd.openxmlformats-officedocument.wordprocessingml.footer+xml"/>
  <Override PartName="/word/footer217.xml" ContentType="application/vnd.openxmlformats-officedocument.wordprocessingml.footer+xml"/>
  <Override PartName="/word/footer218.xml" ContentType="application/vnd.openxmlformats-officedocument.wordprocessingml.footer+xml"/>
  <Override PartName="/word/footer219.xml" ContentType="application/vnd.openxmlformats-officedocument.wordprocessingml.footer+xml"/>
  <Override PartName="/word/footer22.xml" ContentType="application/vnd.openxmlformats-officedocument.wordprocessingml.footer+xml"/>
  <Override PartName="/word/footer220.xml" ContentType="application/vnd.openxmlformats-officedocument.wordprocessingml.footer+xml"/>
  <Override PartName="/word/footer221.xml" ContentType="application/vnd.openxmlformats-officedocument.wordprocessingml.footer+xml"/>
  <Override PartName="/word/footer222.xml" ContentType="application/vnd.openxmlformats-officedocument.wordprocessingml.footer+xml"/>
  <Override PartName="/word/footer223.xml" ContentType="application/vnd.openxmlformats-officedocument.wordprocessingml.footer+xml"/>
  <Override PartName="/word/footer224.xml" ContentType="application/vnd.openxmlformats-officedocument.wordprocessingml.footer+xml"/>
  <Override PartName="/word/footer225.xml" ContentType="application/vnd.openxmlformats-officedocument.wordprocessingml.footer+xml"/>
  <Override PartName="/word/footer226.xml" ContentType="application/vnd.openxmlformats-officedocument.wordprocessingml.footer+xml"/>
  <Override PartName="/word/footer227.xml" ContentType="application/vnd.openxmlformats-officedocument.wordprocessingml.footer+xml"/>
  <Override PartName="/word/footer228.xml" ContentType="application/vnd.openxmlformats-officedocument.wordprocessingml.footer+xml"/>
  <Override PartName="/word/footer229.xml" ContentType="application/vnd.openxmlformats-officedocument.wordprocessingml.footer+xml"/>
  <Override PartName="/word/footer23.xml" ContentType="application/vnd.openxmlformats-officedocument.wordprocessingml.footer+xml"/>
  <Override PartName="/word/footer230.xml" ContentType="application/vnd.openxmlformats-officedocument.wordprocessingml.footer+xml"/>
  <Override PartName="/word/footer231.xml" ContentType="application/vnd.openxmlformats-officedocument.wordprocessingml.footer+xml"/>
  <Override PartName="/word/footer232.xml" ContentType="application/vnd.openxmlformats-officedocument.wordprocessingml.footer+xml"/>
  <Override PartName="/word/footer233.xml" ContentType="application/vnd.openxmlformats-officedocument.wordprocessingml.footer+xml"/>
  <Override PartName="/word/footer234.xml" ContentType="application/vnd.openxmlformats-officedocument.wordprocessingml.footer+xml"/>
  <Override PartName="/word/footer235.xml" ContentType="application/vnd.openxmlformats-officedocument.wordprocessingml.footer+xml"/>
  <Override PartName="/word/footer236.xml" ContentType="application/vnd.openxmlformats-officedocument.wordprocessingml.footer+xml"/>
  <Override PartName="/word/footer237.xml" ContentType="application/vnd.openxmlformats-officedocument.wordprocessingml.footer+xml"/>
  <Override PartName="/word/footer238.xml" ContentType="application/vnd.openxmlformats-officedocument.wordprocessingml.footer+xml"/>
  <Override PartName="/word/footer239.xml" ContentType="application/vnd.openxmlformats-officedocument.wordprocessingml.footer+xml"/>
  <Override PartName="/word/footer24.xml" ContentType="application/vnd.openxmlformats-officedocument.wordprocessingml.footer+xml"/>
  <Override PartName="/word/footer240.xml" ContentType="application/vnd.openxmlformats-officedocument.wordprocessingml.footer+xml"/>
  <Override PartName="/word/footer241.xml" ContentType="application/vnd.openxmlformats-officedocument.wordprocessingml.footer+xml"/>
  <Override PartName="/word/footer242.xml" ContentType="application/vnd.openxmlformats-officedocument.wordprocessingml.footer+xml"/>
  <Override PartName="/word/footer243.xml" ContentType="application/vnd.openxmlformats-officedocument.wordprocessingml.footer+xml"/>
  <Override PartName="/word/footer244.xml" ContentType="application/vnd.openxmlformats-officedocument.wordprocessingml.footer+xml"/>
  <Override PartName="/word/footer245.xml" ContentType="application/vnd.openxmlformats-officedocument.wordprocessingml.footer+xml"/>
  <Override PartName="/word/footer246.xml" ContentType="application/vnd.openxmlformats-officedocument.wordprocessingml.footer+xml"/>
  <Override PartName="/word/footer247.xml" ContentType="application/vnd.openxmlformats-officedocument.wordprocessingml.footer+xml"/>
  <Override PartName="/word/footer248.xml" ContentType="application/vnd.openxmlformats-officedocument.wordprocessingml.footer+xml"/>
  <Override PartName="/word/footer249.xml" ContentType="application/vnd.openxmlformats-officedocument.wordprocessingml.footer+xml"/>
  <Override PartName="/word/footer25.xml" ContentType="application/vnd.openxmlformats-officedocument.wordprocessingml.footer+xml"/>
  <Override PartName="/word/footer250.xml" ContentType="application/vnd.openxmlformats-officedocument.wordprocessingml.footer+xml"/>
  <Override PartName="/word/footer251.xml" ContentType="application/vnd.openxmlformats-officedocument.wordprocessingml.footer+xml"/>
  <Override PartName="/word/footer252.xml" ContentType="application/vnd.openxmlformats-officedocument.wordprocessingml.footer+xml"/>
  <Override PartName="/word/footer253.xml" ContentType="application/vnd.openxmlformats-officedocument.wordprocessingml.footer+xml"/>
  <Override PartName="/word/footer254.xml" ContentType="application/vnd.openxmlformats-officedocument.wordprocessingml.footer+xml"/>
  <Override PartName="/word/footer255.xml" ContentType="application/vnd.openxmlformats-officedocument.wordprocessingml.footer+xml"/>
  <Override PartName="/word/footer256.xml" ContentType="application/vnd.openxmlformats-officedocument.wordprocessingml.footer+xml"/>
  <Override PartName="/word/footer257.xml" ContentType="application/vnd.openxmlformats-officedocument.wordprocessingml.footer+xml"/>
  <Override PartName="/word/footer258.xml" ContentType="application/vnd.openxmlformats-officedocument.wordprocessingml.footer+xml"/>
  <Override PartName="/word/footer259.xml" ContentType="application/vnd.openxmlformats-officedocument.wordprocessingml.footer+xml"/>
  <Override PartName="/word/footer26.xml" ContentType="application/vnd.openxmlformats-officedocument.wordprocessingml.footer+xml"/>
  <Override PartName="/word/footer260.xml" ContentType="application/vnd.openxmlformats-officedocument.wordprocessingml.footer+xml"/>
  <Override PartName="/word/footer261.xml" ContentType="application/vnd.openxmlformats-officedocument.wordprocessingml.footer+xml"/>
  <Override PartName="/word/footer262.xml" ContentType="application/vnd.openxmlformats-officedocument.wordprocessingml.footer+xml"/>
  <Override PartName="/word/footer263.xml" ContentType="application/vnd.openxmlformats-officedocument.wordprocessingml.footer+xml"/>
  <Override PartName="/word/footer264.xml" ContentType="application/vnd.openxmlformats-officedocument.wordprocessingml.footer+xml"/>
  <Override PartName="/word/footer265.xml" ContentType="application/vnd.openxmlformats-officedocument.wordprocessingml.footer+xml"/>
  <Override PartName="/word/footer266.xml" ContentType="application/vnd.openxmlformats-officedocument.wordprocessingml.footer+xml"/>
  <Override PartName="/word/footer267.xml" ContentType="application/vnd.openxmlformats-officedocument.wordprocessingml.footer+xml"/>
  <Override PartName="/word/footer268.xml" ContentType="application/vnd.openxmlformats-officedocument.wordprocessingml.footer+xml"/>
  <Override PartName="/word/footer269.xml" ContentType="application/vnd.openxmlformats-officedocument.wordprocessingml.footer+xml"/>
  <Override PartName="/word/footer27.xml" ContentType="application/vnd.openxmlformats-officedocument.wordprocessingml.footer+xml"/>
  <Override PartName="/word/footer270.xml" ContentType="application/vnd.openxmlformats-officedocument.wordprocessingml.footer+xml"/>
  <Override PartName="/word/footer271.xml" ContentType="application/vnd.openxmlformats-officedocument.wordprocessingml.footer+xml"/>
  <Override PartName="/word/footer272.xml" ContentType="application/vnd.openxmlformats-officedocument.wordprocessingml.footer+xml"/>
  <Override PartName="/word/footer273.xml" ContentType="application/vnd.openxmlformats-officedocument.wordprocessingml.footer+xml"/>
  <Override PartName="/word/footer274.xml" ContentType="application/vnd.openxmlformats-officedocument.wordprocessingml.footer+xml"/>
  <Override PartName="/word/footer275.xml" ContentType="application/vnd.openxmlformats-officedocument.wordprocessingml.footer+xml"/>
  <Override PartName="/word/footer276.xml" ContentType="application/vnd.openxmlformats-officedocument.wordprocessingml.footer+xml"/>
  <Override PartName="/word/footer277.xml" ContentType="application/vnd.openxmlformats-officedocument.wordprocessingml.footer+xml"/>
  <Override PartName="/word/footer278.xml" ContentType="application/vnd.openxmlformats-officedocument.wordprocessingml.footer+xml"/>
  <Override PartName="/word/footer279.xml" ContentType="application/vnd.openxmlformats-officedocument.wordprocessingml.footer+xml"/>
  <Override PartName="/word/footer28.xml" ContentType="application/vnd.openxmlformats-officedocument.wordprocessingml.footer+xml"/>
  <Override PartName="/word/footer280.xml" ContentType="application/vnd.openxmlformats-officedocument.wordprocessingml.footer+xml"/>
  <Override PartName="/word/footer281.xml" ContentType="application/vnd.openxmlformats-officedocument.wordprocessingml.footer+xml"/>
  <Override PartName="/word/footer282.xml" ContentType="application/vnd.openxmlformats-officedocument.wordprocessingml.footer+xml"/>
  <Override PartName="/word/footer283.xml" ContentType="application/vnd.openxmlformats-officedocument.wordprocessingml.footer+xml"/>
  <Override PartName="/word/footer284.xml" ContentType="application/vnd.openxmlformats-officedocument.wordprocessingml.footer+xml"/>
  <Override PartName="/word/footer285.xml" ContentType="application/vnd.openxmlformats-officedocument.wordprocessingml.footer+xml"/>
  <Override PartName="/word/footer286.xml" ContentType="application/vnd.openxmlformats-officedocument.wordprocessingml.footer+xml"/>
  <Override PartName="/word/footer287.xml" ContentType="application/vnd.openxmlformats-officedocument.wordprocessingml.footer+xml"/>
  <Override PartName="/word/footer288.xml" ContentType="application/vnd.openxmlformats-officedocument.wordprocessingml.footer+xml"/>
  <Override PartName="/word/footer289.xml" ContentType="application/vnd.openxmlformats-officedocument.wordprocessingml.footer+xml"/>
  <Override PartName="/word/footer29.xml" ContentType="application/vnd.openxmlformats-officedocument.wordprocessingml.footer+xml"/>
  <Override PartName="/word/footer290.xml" ContentType="application/vnd.openxmlformats-officedocument.wordprocessingml.footer+xml"/>
  <Override PartName="/word/footer291.xml" ContentType="application/vnd.openxmlformats-officedocument.wordprocessingml.footer+xml"/>
  <Override PartName="/word/footer292.xml" ContentType="application/vnd.openxmlformats-officedocument.wordprocessingml.footer+xml"/>
  <Override PartName="/word/footer293.xml" ContentType="application/vnd.openxmlformats-officedocument.wordprocessingml.footer+xml"/>
  <Override PartName="/word/footer294.xml" ContentType="application/vnd.openxmlformats-officedocument.wordprocessingml.footer+xml"/>
  <Override PartName="/word/footer295.xml" ContentType="application/vnd.openxmlformats-officedocument.wordprocessingml.footer+xml"/>
  <Override PartName="/word/footer296.xml" ContentType="application/vnd.openxmlformats-officedocument.wordprocessingml.footer+xml"/>
  <Override PartName="/word/footer297.xml" ContentType="application/vnd.openxmlformats-officedocument.wordprocessingml.footer+xml"/>
  <Override PartName="/word/footer298.xml" ContentType="application/vnd.openxmlformats-officedocument.wordprocessingml.footer+xml"/>
  <Override PartName="/word/footer29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00.xml" ContentType="application/vnd.openxmlformats-officedocument.wordprocessingml.footer+xml"/>
  <Override PartName="/word/footer301.xml" ContentType="application/vnd.openxmlformats-officedocument.wordprocessingml.footer+xml"/>
  <Override PartName="/word/footer302.xml" ContentType="application/vnd.openxmlformats-officedocument.wordprocessingml.footer+xml"/>
  <Override PartName="/word/footer303.xml" ContentType="application/vnd.openxmlformats-officedocument.wordprocessingml.footer+xml"/>
  <Override PartName="/word/footer304.xml" ContentType="application/vnd.openxmlformats-officedocument.wordprocessingml.footer+xml"/>
  <Override PartName="/word/footer305.xml" ContentType="application/vnd.openxmlformats-officedocument.wordprocessingml.footer+xml"/>
  <Override PartName="/word/footer306.xml" ContentType="application/vnd.openxmlformats-officedocument.wordprocessingml.footer+xml"/>
  <Override PartName="/word/footer307.xml" ContentType="application/vnd.openxmlformats-officedocument.wordprocessingml.footer+xml"/>
  <Override PartName="/word/footer308.xml" ContentType="application/vnd.openxmlformats-officedocument.wordprocessingml.footer+xml"/>
  <Override PartName="/word/footer309.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webSettings.xml" ContentType="application/vnd.openxmlformats-officedocument.wordprocessingml.webSetting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54.xml" ContentType="application/vnd.openxmlformats-officedocument.wordprocessingml.header+xml"/>
  <Override PartName="/word/header155.xml" ContentType="application/vnd.openxmlformats-officedocument.wordprocessingml.header+xml"/>
  <Override PartName="/word/header156.xml" ContentType="application/vnd.openxmlformats-officedocument.wordprocessingml.header+xml"/>
  <Override PartName="/word/header157.xml" ContentType="application/vnd.openxmlformats-officedocument.wordprocessingml.header+xml"/>
  <Override PartName="/word/header158.xml" ContentType="application/vnd.openxmlformats-officedocument.wordprocessingml.header+xml"/>
  <Override PartName="/word/header159.xml" ContentType="application/vnd.openxmlformats-officedocument.wordprocessingml.header+xml"/>
  <Override PartName="/word/header16.xml" ContentType="application/vnd.openxmlformats-officedocument.wordprocessingml.header+xml"/>
  <Override PartName="/word/header160.xml" ContentType="application/vnd.openxmlformats-officedocument.wordprocessingml.header+xml"/>
  <Override PartName="/word/header161.xml" ContentType="application/vnd.openxmlformats-officedocument.wordprocessingml.header+xml"/>
  <Override PartName="/word/header162.xml" ContentType="application/vnd.openxmlformats-officedocument.wordprocessingml.header+xml"/>
  <Override PartName="/word/header163.xml" ContentType="application/vnd.openxmlformats-officedocument.wordprocessingml.header+xml"/>
  <Override PartName="/word/header164.xml" ContentType="application/vnd.openxmlformats-officedocument.wordprocessingml.header+xml"/>
  <Override PartName="/word/header165.xml" ContentType="application/vnd.openxmlformats-officedocument.wordprocessingml.header+xml"/>
  <Override PartName="/word/header166.xml" ContentType="application/vnd.openxmlformats-officedocument.wordprocessingml.header+xml"/>
  <Override PartName="/word/header167.xml" ContentType="application/vnd.openxmlformats-officedocument.wordprocessingml.header+xml"/>
  <Override PartName="/word/header168.xml" ContentType="application/vnd.openxmlformats-officedocument.wordprocessingml.header+xml"/>
  <Override PartName="/word/header169.xml" ContentType="application/vnd.openxmlformats-officedocument.wordprocessingml.header+xml"/>
  <Override PartName="/word/header17.xml" ContentType="application/vnd.openxmlformats-officedocument.wordprocessingml.header+xml"/>
  <Override PartName="/word/header170.xml" ContentType="application/vnd.openxmlformats-officedocument.wordprocessingml.header+xml"/>
  <Override PartName="/word/header171.xml" ContentType="application/vnd.openxmlformats-officedocument.wordprocessingml.header+xml"/>
  <Override PartName="/word/header172.xml" ContentType="application/vnd.openxmlformats-officedocument.wordprocessingml.header+xml"/>
  <Override PartName="/word/header173.xml" ContentType="application/vnd.openxmlformats-officedocument.wordprocessingml.header+xml"/>
  <Override PartName="/word/header174.xml" ContentType="application/vnd.openxmlformats-officedocument.wordprocessingml.header+xml"/>
  <Override PartName="/word/header175.xml" ContentType="application/vnd.openxmlformats-officedocument.wordprocessingml.header+xml"/>
  <Override PartName="/word/header176.xml" ContentType="application/vnd.openxmlformats-officedocument.wordprocessingml.header+xml"/>
  <Override PartName="/word/header177.xml" ContentType="application/vnd.openxmlformats-officedocument.wordprocessingml.header+xml"/>
  <Override PartName="/word/header178.xml" ContentType="application/vnd.openxmlformats-officedocument.wordprocessingml.header+xml"/>
  <Override PartName="/word/header179.xml" ContentType="application/vnd.openxmlformats-officedocument.wordprocessingml.header+xml"/>
  <Override PartName="/word/header18.xml" ContentType="application/vnd.openxmlformats-officedocument.wordprocessingml.header+xml"/>
  <Override PartName="/word/header180.xml" ContentType="application/vnd.openxmlformats-officedocument.wordprocessingml.header+xml"/>
  <Override PartName="/word/header181.xml" ContentType="application/vnd.openxmlformats-officedocument.wordprocessingml.header+xml"/>
  <Override PartName="/word/header182.xml" ContentType="application/vnd.openxmlformats-officedocument.wordprocessingml.header+xml"/>
  <Override PartName="/word/header183.xml" ContentType="application/vnd.openxmlformats-officedocument.wordprocessingml.header+xml"/>
  <Override PartName="/word/header184.xml" ContentType="application/vnd.openxmlformats-officedocument.wordprocessingml.header+xml"/>
  <Override PartName="/word/header185.xml" ContentType="application/vnd.openxmlformats-officedocument.wordprocessingml.header+xml"/>
  <Override PartName="/word/header186.xml" ContentType="application/vnd.openxmlformats-officedocument.wordprocessingml.header+xml"/>
  <Override PartName="/word/header187.xml" ContentType="application/vnd.openxmlformats-officedocument.wordprocessingml.header+xml"/>
  <Override PartName="/word/header188.xml" ContentType="application/vnd.openxmlformats-officedocument.wordprocessingml.header+xml"/>
  <Override PartName="/word/header189.xml" ContentType="application/vnd.openxmlformats-officedocument.wordprocessingml.header+xml"/>
  <Override PartName="/word/header19.xml" ContentType="application/vnd.openxmlformats-officedocument.wordprocessingml.header+xml"/>
  <Override PartName="/word/header190.xml" ContentType="application/vnd.openxmlformats-officedocument.wordprocessingml.header+xml"/>
  <Override PartName="/word/header191.xml" ContentType="application/vnd.openxmlformats-officedocument.wordprocessingml.header+xml"/>
  <Override PartName="/word/header192.xml" ContentType="application/vnd.openxmlformats-officedocument.wordprocessingml.header+xml"/>
  <Override PartName="/word/header193.xml" ContentType="application/vnd.openxmlformats-officedocument.wordprocessingml.header+xml"/>
  <Override PartName="/word/header194.xml" ContentType="application/vnd.openxmlformats-officedocument.wordprocessingml.header+xml"/>
  <Override PartName="/word/header195.xml" ContentType="application/vnd.openxmlformats-officedocument.wordprocessingml.header+xml"/>
  <Override PartName="/word/header196.xml" ContentType="application/vnd.openxmlformats-officedocument.wordprocessingml.header+xml"/>
  <Override PartName="/word/header197.xml" ContentType="application/vnd.openxmlformats-officedocument.wordprocessingml.header+xml"/>
  <Override PartName="/word/header198.xml" ContentType="application/vnd.openxmlformats-officedocument.wordprocessingml.header+xml"/>
  <Override PartName="/word/header19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00.xml" ContentType="application/vnd.openxmlformats-officedocument.wordprocessingml.header+xml"/>
  <Override PartName="/word/header201.xml" ContentType="application/vnd.openxmlformats-officedocument.wordprocessingml.header+xml"/>
  <Override PartName="/word/header202.xml" ContentType="application/vnd.openxmlformats-officedocument.wordprocessingml.header+xml"/>
  <Override PartName="/word/header203.xml" ContentType="application/vnd.openxmlformats-officedocument.wordprocessingml.header+xml"/>
  <Override PartName="/word/header204.xml" ContentType="application/vnd.openxmlformats-officedocument.wordprocessingml.header+xml"/>
  <Override PartName="/word/header205.xml" ContentType="application/vnd.openxmlformats-officedocument.wordprocessingml.header+xml"/>
  <Override PartName="/word/header206.xml" ContentType="application/vnd.openxmlformats-officedocument.wordprocessingml.header+xml"/>
  <Override PartName="/word/header207.xml" ContentType="application/vnd.openxmlformats-officedocument.wordprocessingml.header+xml"/>
  <Override PartName="/word/header208.xml" ContentType="application/vnd.openxmlformats-officedocument.wordprocessingml.header+xml"/>
  <Override PartName="/word/header209.xml" ContentType="application/vnd.openxmlformats-officedocument.wordprocessingml.header+xml"/>
  <Override PartName="/word/header21.xml" ContentType="application/vnd.openxmlformats-officedocument.wordprocessingml.header+xml"/>
  <Override PartName="/word/header210.xml" ContentType="application/vnd.openxmlformats-officedocument.wordprocessingml.header+xml"/>
  <Override PartName="/word/header211.xml" ContentType="application/vnd.openxmlformats-officedocument.wordprocessingml.header+xml"/>
  <Override PartName="/word/header212.xml" ContentType="application/vnd.openxmlformats-officedocument.wordprocessingml.header+xml"/>
  <Override PartName="/word/header213.xml" ContentType="application/vnd.openxmlformats-officedocument.wordprocessingml.header+xml"/>
  <Override PartName="/word/header214.xml" ContentType="application/vnd.openxmlformats-officedocument.wordprocessingml.header+xml"/>
  <Override PartName="/word/header215.xml" ContentType="application/vnd.openxmlformats-officedocument.wordprocessingml.header+xml"/>
  <Override PartName="/word/header216.xml" ContentType="application/vnd.openxmlformats-officedocument.wordprocessingml.header+xml"/>
  <Override PartName="/word/header217.xml" ContentType="application/vnd.openxmlformats-officedocument.wordprocessingml.header+xml"/>
  <Override PartName="/word/header218.xml" ContentType="application/vnd.openxmlformats-officedocument.wordprocessingml.header+xml"/>
  <Override PartName="/word/header219.xml" ContentType="application/vnd.openxmlformats-officedocument.wordprocessingml.header+xml"/>
  <Override PartName="/word/header22.xml" ContentType="application/vnd.openxmlformats-officedocument.wordprocessingml.header+xml"/>
  <Override PartName="/word/header220.xml" ContentType="application/vnd.openxmlformats-officedocument.wordprocessingml.header+xml"/>
  <Override PartName="/word/header221.xml" ContentType="application/vnd.openxmlformats-officedocument.wordprocessingml.header+xml"/>
  <Override PartName="/word/header222.xml" ContentType="application/vnd.openxmlformats-officedocument.wordprocessingml.header+xml"/>
  <Override PartName="/word/header223.xml" ContentType="application/vnd.openxmlformats-officedocument.wordprocessingml.header+xml"/>
  <Override PartName="/word/header224.xml" ContentType="application/vnd.openxmlformats-officedocument.wordprocessingml.header+xml"/>
  <Override PartName="/word/header225.xml" ContentType="application/vnd.openxmlformats-officedocument.wordprocessingml.header+xml"/>
  <Override PartName="/word/header226.xml" ContentType="application/vnd.openxmlformats-officedocument.wordprocessingml.header+xml"/>
  <Override PartName="/word/header227.xml" ContentType="application/vnd.openxmlformats-officedocument.wordprocessingml.header+xml"/>
  <Override PartName="/word/header228.xml" ContentType="application/vnd.openxmlformats-officedocument.wordprocessingml.header+xml"/>
  <Override PartName="/word/header229.xml" ContentType="application/vnd.openxmlformats-officedocument.wordprocessingml.header+xml"/>
  <Override PartName="/word/header23.xml" ContentType="application/vnd.openxmlformats-officedocument.wordprocessingml.header+xml"/>
  <Override PartName="/word/header230.xml" ContentType="application/vnd.openxmlformats-officedocument.wordprocessingml.header+xml"/>
  <Override PartName="/word/header231.xml" ContentType="application/vnd.openxmlformats-officedocument.wordprocessingml.header+xml"/>
  <Override PartName="/word/header232.xml" ContentType="application/vnd.openxmlformats-officedocument.wordprocessingml.header+xml"/>
  <Override PartName="/word/header233.xml" ContentType="application/vnd.openxmlformats-officedocument.wordprocessingml.header+xml"/>
  <Override PartName="/word/header234.xml" ContentType="application/vnd.openxmlformats-officedocument.wordprocessingml.header+xml"/>
  <Override PartName="/word/header235.xml" ContentType="application/vnd.openxmlformats-officedocument.wordprocessingml.header+xml"/>
  <Override PartName="/word/header236.xml" ContentType="application/vnd.openxmlformats-officedocument.wordprocessingml.header+xml"/>
  <Override PartName="/word/header237.xml" ContentType="application/vnd.openxmlformats-officedocument.wordprocessingml.header+xml"/>
  <Override PartName="/word/header238.xml" ContentType="application/vnd.openxmlformats-officedocument.wordprocessingml.header+xml"/>
  <Override PartName="/word/header239.xml" ContentType="application/vnd.openxmlformats-officedocument.wordprocessingml.header+xml"/>
  <Override PartName="/word/header24.xml" ContentType="application/vnd.openxmlformats-officedocument.wordprocessingml.header+xml"/>
  <Override PartName="/word/header240.xml" ContentType="application/vnd.openxmlformats-officedocument.wordprocessingml.header+xml"/>
  <Override PartName="/word/header241.xml" ContentType="application/vnd.openxmlformats-officedocument.wordprocessingml.header+xml"/>
  <Override PartName="/word/header242.xml" ContentType="application/vnd.openxmlformats-officedocument.wordprocessingml.header+xml"/>
  <Override PartName="/word/header243.xml" ContentType="application/vnd.openxmlformats-officedocument.wordprocessingml.header+xml"/>
  <Override PartName="/word/header244.xml" ContentType="application/vnd.openxmlformats-officedocument.wordprocessingml.header+xml"/>
  <Override PartName="/word/header245.xml" ContentType="application/vnd.openxmlformats-officedocument.wordprocessingml.header+xml"/>
  <Override PartName="/word/header246.xml" ContentType="application/vnd.openxmlformats-officedocument.wordprocessingml.header+xml"/>
  <Override PartName="/word/header247.xml" ContentType="application/vnd.openxmlformats-officedocument.wordprocessingml.header+xml"/>
  <Override PartName="/word/header248.xml" ContentType="application/vnd.openxmlformats-officedocument.wordprocessingml.header+xml"/>
  <Override PartName="/word/header249.xml" ContentType="application/vnd.openxmlformats-officedocument.wordprocessingml.header+xml"/>
  <Override PartName="/word/header25.xml" ContentType="application/vnd.openxmlformats-officedocument.wordprocessingml.header+xml"/>
  <Override PartName="/word/header250.xml" ContentType="application/vnd.openxmlformats-officedocument.wordprocessingml.header+xml"/>
  <Override PartName="/word/header251.xml" ContentType="application/vnd.openxmlformats-officedocument.wordprocessingml.header+xml"/>
  <Override PartName="/word/header252.xml" ContentType="application/vnd.openxmlformats-officedocument.wordprocessingml.header+xml"/>
  <Override PartName="/word/header253.xml" ContentType="application/vnd.openxmlformats-officedocument.wordprocessingml.header+xml"/>
  <Override PartName="/word/header254.xml" ContentType="application/vnd.openxmlformats-officedocument.wordprocessingml.header+xml"/>
  <Override PartName="/word/header255.xml" ContentType="application/vnd.openxmlformats-officedocument.wordprocessingml.header+xml"/>
  <Override PartName="/word/header256.xml" ContentType="application/vnd.openxmlformats-officedocument.wordprocessingml.header+xml"/>
  <Override PartName="/word/header257.xml" ContentType="application/vnd.openxmlformats-officedocument.wordprocessingml.header+xml"/>
  <Override PartName="/word/header258.xml" ContentType="application/vnd.openxmlformats-officedocument.wordprocessingml.header+xml"/>
  <Override PartName="/word/header259.xml" ContentType="application/vnd.openxmlformats-officedocument.wordprocessingml.header+xml"/>
  <Override PartName="/word/header26.xml" ContentType="application/vnd.openxmlformats-officedocument.wordprocessingml.header+xml"/>
  <Override PartName="/word/header260.xml" ContentType="application/vnd.openxmlformats-officedocument.wordprocessingml.header+xml"/>
  <Override PartName="/word/header261.xml" ContentType="application/vnd.openxmlformats-officedocument.wordprocessingml.header+xml"/>
  <Override PartName="/word/header262.xml" ContentType="application/vnd.openxmlformats-officedocument.wordprocessingml.header+xml"/>
  <Override PartName="/word/header263.xml" ContentType="application/vnd.openxmlformats-officedocument.wordprocessingml.header+xml"/>
  <Override PartName="/word/header264.xml" ContentType="application/vnd.openxmlformats-officedocument.wordprocessingml.header+xml"/>
  <Override PartName="/word/header265.xml" ContentType="application/vnd.openxmlformats-officedocument.wordprocessingml.header+xml"/>
  <Override PartName="/word/header266.xml" ContentType="application/vnd.openxmlformats-officedocument.wordprocessingml.header+xml"/>
  <Override PartName="/word/header267.xml" ContentType="application/vnd.openxmlformats-officedocument.wordprocessingml.header+xml"/>
  <Override PartName="/word/header268.xml" ContentType="application/vnd.openxmlformats-officedocument.wordprocessingml.header+xml"/>
  <Override PartName="/word/header269.xml" ContentType="application/vnd.openxmlformats-officedocument.wordprocessingml.header+xml"/>
  <Override PartName="/word/header27.xml" ContentType="application/vnd.openxmlformats-officedocument.wordprocessingml.header+xml"/>
  <Override PartName="/word/header270.xml" ContentType="application/vnd.openxmlformats-officedocument.wordprocessingml.header+xml"/>
  <Override PartName="/word/header271.xml" ContentType="application/vnd.openxmlformats-officedocument.wordprocessingml.header+xml"/>
  <Override PartName="/word/header272.xml" ContentType="application/vnd.openxmlformats-officedocument.wordprocessingml.header+xml"/>
  <Override PartName="/word/header273.xml" ContentType="application/vnd.openxmlformats-officedocument.wordprocessingml.header+xml"/>
  <Override PartName="/word/header274.xml" ContentType="application/vnd.openxmlformats-officedocument.wordprocessingml.header+xml"/>
  <Override PartName="/word/header275.xml" ContentType="application/vnd.openxmlformats-officedocument.wordprocessingml.header+xml"/>
  <Override PartName="/word/header276.xml" ContentType="application/vnd.openxmlformats-officedocument.wordprocessingml.header+xml"/>
  <Override PartName="/word/header277.xml" ContentType="application/vnd.openxmlformats-officedocument.wordprocessingml.header+xml"/>
  <Override PartName="/word/header278.xml" ContentType="application/vnd.openxmlformats-officedocument.wordprocessingml.header+xml"/>
  <Override PartName="/word/header279.xml" ContentType="application/vnd.openxmlformats-officedocument.wordprocessingml.header+xml"/>
  <Override PartName="/word/header28.xml" ContentType="application/vnd.openxmlformats-officedocument.wordprocessingml.header+xml"/>
  <Override PartName="/word/header280.xml" ContentType="application/vnd.openxmlformats-officedocument.wordprocessingml.header+xml"/>
  <Override PartName="/word/header281.xml" ContentType="application/vnd.openxmlformats-officedocument.wordprocessingml.header+xml"/>
  <Override PartName="/word/header282.xml" ContentType="application/vnd.openxmlformats-officedocument.wordprocessingml.header+xml"/>
  <Override PartName="/word/header283.xml" ContentType="application/vnd.openxmlformats-officedocument.wordprocessingml.header+xml"/>
  <Override PartName="/word/header284.xml" ContentType="application/vnd.openxmlformats-officedocument.wordprocessingml.header+xml"/>
  <Override PartName="/word/header285.xml" ContentType="application/vnd.openxmlformats-officedocument.wordprocessingml.header+xml"/>
  <Override PartName="/word/header286.xml" ContentType="application/vnd.openxmlformats-officedocument.wordprocessingml.header+xml"/>
  <Override PartName="/word/header287.xml" ContentType="application/vnd.openxmlformats-officedocument.wordprocessingml.header+xml"/>
  <Override PartName="/word/header288.xml" ContentType="application/vnd.openxmlformats-officedocument.wordprocessingml.header+xml"/>
  <Override PartName="/word/header289.xml" ContentType="application/vnd.openxmlformats-officedocument.wordprocessingml.header+xml"/>
  <Override PartName="/word/header29.xml" ContentType="application/vnd.openxmlformats-officedocument.wordprocessingml.header+xml"/>
  <Override PartName="/word/header290.xml" ContentType="application/vnd.openxmlformats-officedocument.wordprocessingml.header+xml"/>
  <Override PartName="/word/header291.xml" ContentType="application/vnd.openxmlformats-officedocument.wordprocessingml.header+xml"/>
  <Override PartName="/word/header292.xml" ContentType="application/vnd.openxmlformats-officedocument.wordprocessingml.header+xml"/>
  <Override PartName="/word/header293.xml" ContentType="application/vnd.openxmlformats-officedocument.wordprocessingml.header+xml"/>
  <Override PartName="/word/header294.xml" ContentType="application/vnd.openxmlformats-officedocument.wordprocessingml.header+xml"/>
  <Override PartName="/word/header295.xml" ContentType="application/vnd.openxmlformats-officedocument.wordprocessingml.header+xml"/>
  <Override PartName="/word/header296.xml" ContentType="application/vnd.openxmlformats-officedocument.wordprocessingml.header+xml"/>
  <Override PartName="/word/header297.xml" ContentType="application/vnd.openxmlformats-officedocument.wordprocessingml.header+xml"/>
  <Override PartName="/word/header298.xml" ContentType="application/vnd.openxmlformats-officedocument.wordprocessingml.header+xml"/>
  <Override PartName="/word/header29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00.xml" ContentType="application/vnd.openxmlformats-officedocument.wordprocessingml.header+xml"/>
  <Override PartName="/word/header301.xml" ContentType="application/vnd.openxmlformats-officedocument.wordprocessingml.header+xml"/>
  <Override PartName="/word/header302.xml" ContentType="application/vnd.openxmlformats-officedocument.wordprocessingml.header+xml"/>
  <Override PartName="/word/header303.xml" ContentType="application/vnd.openxmlformats-officedocument.wordprocessingml.header+xml"/>
  <Override PartName="/word/header304.xml" ContentType="application/vnd.openxmlformats-officedocument.wordprocessingml.header+xml"/>
  <Override PartName="/word/header305.xml" ContentType="application/vnd.openxmlformats-officedocument.wordprocessingml.header+xml"/>
  <Override PartName="/word/header306.xml" ContentType="application/vnd.openxmlformats-officedocument.wordprocessingml.header+xml"/>
  <Override PartName="/word/header307.xml" ContentType="application/vnd.openxmlformats-officedocument.wordprocessingml.header+xml"/>
  <Override PartName="/word/header308.xml" ContentType="application/vnd.openxmlformats-officedocument.wordprocessingml.header+xml"/>
  <Override PartName="/word/header309.xml" ContentType="application/vnd.openxmlformats-officedocument.wordprocessingml.header+xml"/>
  <Override PartName="/word/header31.xml" ContentType="application/vnd.openxmlformats-officedocument.wordprocessingml.header+xml"/>
  <Override PartName="/word/header310.xml" ContentType="application/vnd.openxmlformats-officedocument.wordprocessingml.header+xml"/>
  <Override PartName="/word/header311.xml" ContentType="application/vnd.openxmlformats-officedocument.wordprocessingml.header+xml"/>
  <Override PartName="/word/header312.xml" ContentType="application/vnd.openxmlformats-officedocument.wordprocessingml.header+xml"/>
  <Override PartName="/word/header313.xml" ContentType="application/vnd.openxmlformats-officedocument.wordprocessingml.header+xml"/>
  <Override PartName="/word/header314.xml" ContentType="application/vnd.openxmlformats-officedocument.wordprocessingml.header+xml"/>
  <Override PartName="/word/header315.xml" ContentType="application/vnd.openxmlformats-officedocument.wordprocessingml.header+xml"/>
  <Override PartName="/word/header316.xml" ContentType="application/vnd.openxmlformats-officedocument.wordprocessingml.header+xml"/>
  <Override PartName="/word/header317.xml" ContentType="application/vnd.openxmlformats-officedocument.wordprocessingml.header+xml"/>
  <Override PartName="/word/header318.xml" ContentType="application/vnd.openxmlformats-officedocument.wordprocessingml.header+xml"/>
  <Override PartName="/word/header319.xml" ContentType="application/vnd.openxmlformats-officedocument.wordprocessingml.header+xml"/>
  <Override PartName="/word/header32.xml" ContentType="application/vnd.openxmlformats-officedocument.wordprocessingml.header+xml"/>
  <Override PartName="/word/header320.xml" ContentType="application/vnd.openxmlformats-officedocument.wordprocessingml.header+xml"/>
  <Override PartName="/word/header321.xml" ContentType="application/vnd.openxmlformats-officedocument.wordprocessingml.header+xml"/>
  <Override PartName="/word/header322.xml" ContentType="application/vnd.openxmlformats-officedocument.wordprocessingml.header+xml"/>
  <Override PartName="/word/header323.xml" ContentType="application/vnd.openxmlformats-officedocument.wordprocessingml.header+xml"/>
  <Override PartName="/word/header324.xml" ContentType="application/vnd.openxmlformats-officedocument.wordprocessingml.header+xml"/>
  <Override PartName="/word/header325.xml" ContentType="application/vnd.openxmlformats-officedocument.wordprocessingml.header+xml"/>
  <Override PartName="/word/header326.xml" ContentType="application/vnd.openxmlformats-officedocument.wordprocessingml.header+xml"/>
  <Override PartName="/word/header327.xml" ContentType="application/vnd.openxmlformats-officedocument.wordprocessingml.header+xml"/>
  <Override PartName="/word/header328.xml" ContentType="application/vnd.openxmlformats-officedocument.wordprocessingml.header+xml"/>
  <Override PartName="/word/header329.xml" ContentType="application/vnd.openxmlformats-officedocument.wordprocessingml.header+xml"/>
  <Override PartName="/word/header33.xml" ContentType="application/vnd.openxmlformats-officedocument.wordprocessingml.header+xml"/>
  <Override PartName="/word/header330.xml" ContentType="application/vnd.openxmlformats-officedocument.wordprocessingml.header+xml"/>
  <Override PartName="/word/header331.xml" ContentType="application/vnd.openxmlformats-officedocument.wordprocessingml.header+xml"/>
  <Override PartName="/word/header332.xml" ContentType="application/vnd.openxmlformats-officedocument.wordprocessingml.header+xml"/>
  <Override PartName="/word/header333.xml" ContentType="application/vnd.openxmlformats-officedocument.wordprocessingml.header+xml"/>
  <Override PartName="/word/header334.xml" ContentType="application/vnd.openxmlformats-officedocument.wordprocessingml.header+xml"/>
  <Override PartName="/word/header335.xml" ContentType="application/vnd.openxmlformats-officedocument.wordprocessingml.header+xml"/>
  <Override PartName="/word/header336.xml" ContentType="application/vnd.openxmlformats-officedocument.wordprocessingml.header+xml"/>
  <Override PartName="/word/header337.xml" ContentType="application/vnd.openxmlformats-officedocument.wordprocessingml.header+xml"/>
  <Override PartName="/word/header338.xml" ContentType="application/vnd.openxmlformats-officedocument.wordprocessingml.header+xml"/>
  <Override PartName="/word/header339.xml" ContentType="application/vnd.openxmlformats-officedocument.wordprocessingml.header+xml"/>
  <Override PartName="/word/header34.xml" ContentType="application/vnd.openxmlformats-officedocument.wordprocessingml.header+xml"/>
  <Override PartName="/word/header340.xml" ContentType="application/vnd.openxmlformats-officedocument.wordprocessingml.header+xml"/>
  <Override PartName="/word/header341.xml" ContentType="application/vnd.openxmlformats-officedocument.wordprocessingml.header+xml"/>
  <Override PartName="/word/header342.xml" ContentType="application/vnd.openxmlformats-officedocument.wordprocessingml.header+xml"/>
  <Override PartName="/word/header343.xml" ContentType="application/vnd.openxmlformats-officedocument.wordprocessingml.header+xml"/>
  <Override PartName="/word/header344.xml" ContentType="application/vnd.openxmlformats-officedocument.wordprocessingml.header+xml"/>
  <Override PartName="/word/header345.xml" ContentType="application/vnd.openxmlformats-officedocument.wordprocessingml.header+xml"/>
  <Override PartName="/word/header346.xml" ContentType="application/vnd.openxmlformats-officedocument.wordprocessingml.header+xml"/>
  <Override PartName="/word/header347.xml" ContentType="application/vnd.openxmlformats-officedocument.wordprocessingml.header+xml"/>
  <Override PartName="/word/header348.xml" ContentType="application/vnd.openxmlformats-officedocument.wordprocessingml.header+xml"/>
  <Override PartName="/word/header349.xml" ContentType="application/vnd.openxmlformats-officedocument.wordprocessingml.header+xml"/>
  <Override PartName="/word/header35.xml" ContentType="application/vnd.openxmlformats-officedocument.wordprocessingml.header+xml"/>
  <Override PartName="/word/header350.xml" ContentType="application/vnd.openxmlformats-officedocument.wordprocessingml.header+xml"/>
  <Override PartName="/word/header351.xml" ContentType="application/vnd.openxmlformats-officedocument.wordprocessingml.header+xml"/>
  <Override PartName="/word/header352.xml" ContentType="application/vnd.openxmlformats-officedocument.wordprocessingml.header+xml"/>
  <Override PartName="/word/header353.xml" ContentType="application/vnd.openxmlformats-officedocument.wordprocessingml.header+xml"/>
  <Override PartName="/word/header354.xml" ContentType="application/vnd.openxmlformats-officedocument.wordprocessingml.header+xml"/>
  <Override PartName="/word/header355.xml" ContentType="application/vnd.openxmlformats-officedocument.wordprocessingml.header+xml"/>
  <Override PartName="/word/header356.xml" ContentType="application/vnd.openxmlformats-officedocument.wordprocessingml.header+xml"/>
  <Override PartName="/word/header357.xml" ContentType="application/vnd.openxmlformats-officedocument.wordprocessingml.header+xml"/>
  <Override PartName="/word/header358.xml" ContentType="application/vnd.openxmlformats-officedocument.wordprocessingml.header+xml"/>
  <Override PartName="/word/header359.xml" ContentType="application/vnd.openxmlformats-officedocument.wordprocessingml.header+xml"/>
  <Override PartName="/word/header36.xml" ContentType="application/vnd.openxmlformats-officedocument.wordprocessingml.header+xml"/>
  <Override PartName="/word/header360.xml" ContentType="application/vnd.openxmlformats-officedocument.wordprocessingml.header+xml"/>
  <Override PartName="/word/header361.xml" ContentType="application/vnd.openxmlformats-officedocument.wordprocessingml.header+xml"/>
  <Override PartName="/word/header362.xml" ContentType="application/vnd.openxmlformats-officedocument.wordprocessingml.header+xml"/>
  <Override PartName="/word/header363.xml" ContentType="application/vnd.openxmlformats-officedocument.wordprocessingml.header+xml"/>
  <Override PartName="/word/header364.xml" ContentType="application/vnd.openxmlformats-officedocument.wordprocessingml.header+xml"/>
  <Override PartName="/word/header365.xml" ContentType="application/vnd.openxmlformats-officedocument.wordprocessingml.header+xml"/>
  <Override PartName="/word/header366.xml" ContentType="application/vnd.openxmlformats-officedocument.wordprocessingml.header+xml"/>
  <Override PartName="/word/header367.xml" ContentType="application/vnd.openxmlformats-officedocument.wordprocessingml.header+xml"/>
  <Override PartName="/word/header368.xml" ContentType="application/vnd.openxmlformats-officedocument.wordprocessingml.header+xml"/>
  <Override PartName="/word/header369.xml" ContentType="application/vnd.openxmlformats-officedocument.wordprocessingml.header+xml"/>
  <Override PartName="/word/header37.xml" ContentType="application/vnd.openxmlformats-officedocument.wordprocessingml.header+xml"/>
  <Override PartName="/word/header370.xml" ContentType="application/vnd.openxmlformats-officedocument.wordprocessingml.header+xml"/>
  <Override PartName="/word/header371.xml" ContentType="application/vnd.openxmlformats-officedocument.wordprocessingml.header+xml"/>
  <Override PartName="/word/header372.xml" ContentType="application/vnd.openxmlformats-officedocument.wordprocessingml.header+xml"/>
  <Override PartName="/word/header373.xml" ContentType="application/vnd.openxmlformats-officedocument.wordprocessingml.header+xml"/>
  <Override PartName="/word/header374.xml" ContentType="application/vnd.openxmlformats-officedocument.wordprocessingml.header+xml"/>
  <Override PartName="/word/header375.xml" ContentType="application/vnd.openxmlformats-officedocument.wordprocessingml.header+xml"/>
  <Override PartName="/word/header376.xml" ContentType="application/vnd.openxmlformats-officedocument.wordprocessingml.header+xml"/>
  <Override PartName="/word/header377.xml" ContentType="application/vnd.openxmlformats-officedocument.wordprocessingml.header+xml"/>
  <Override PartName="/word/header378.xml" ContentType="application/vnd.openxmlformats-officedocument.wordprocessingml.header+xml"/>
  <Override PartName="/word/header379.xml" ContentType="application/vnd.openxmlformats-officedocument.wordprocessingml.header+xml"/>
  <Override PartName="/word/header38.xml" ContentType="application/vnd.openxmlformats-officedocument.wordprocessingml.header+xml"/>
  <Override PartName="/word/header380.xml" ContentType="application/vnd.openxmlformats-officedocument.wordprocessingml.header+xml"/>
  <Override PartName="/word/header381.xml" ContentType="application/vnd.openxmlformats-officedocument.wordprocessingml.header+xml"/>
  <Override PartName="/word/header382.xml" ContentType="application/vnd.openxmlformats-officedocument.wordprocessingml.header+xml"/>
  <Override PartName="/word/header383.xml" ContentType="application/vnd.openxmlformats-officedocument.wordprocessingml.header+xml"/>
  <Override PartName="/word/header384.xml" ContentType="application/vnd.openxmlformats-officedocument.wordprocessingml.header+xml"/>
  <Override PartName="/word/header385.xml" ContentType="application/vnd.openxmlformats-officedocument.wordprocessingml.header+xml"/>
  <Override PartName="/word/header386.xml" ContentType="application/vnd.openxmlformats-officedocument.wordprocessingml.header+xml"/>
  <Override PartName="/word/header387.xml" ContentType="application/vnd.openxmlformats-officedocument.wordprocessingml.header+xml"/>
  <Override PartName="/word/header388.xml" ContentType="application/vnd.openxmlformats-officedocument.wordprocessingml.header+xml"/>
  <Override PartName="/word/header389.xml" ContentType="application/vnd.openxmlformats-officedocument.wordprocessingml.header+xml"/>
  <Override PartName="/word/header39.xml" ContentType="application/vnd.openxmlformats-officedocument.wordprocessingml.header+xml"/>
  <Override PartName="/word/header390.xml" ContentType="application/vnd.openxmlformats-officedocument.wordprocessingml.header+xml"/>
  <Override PartName="/word/header391.xml" ContentType="application/vnd.openxmlformats-officedocument.wordprocessingml.header+xml"/>
  <Override PartName="/word/header392.xml" ContentType="application/vnd.openxmlformats-officedocument.wordprocessingml.header+xml"/>
  <Override PartName="/word/header393.xml" ContentType="application/vnd.openxmlformats-officedocument.wordprocessingml.header+xml"/>
  <Override PartName="/word/header394.xml" ContentType="application/vnd.openxmlformats-officedocument.wordprocessingml.header+xml"/>
  <Override PartName="/word/header395.xml" ContentType="application/vnd.openxmlformats-officedocument.wordprocessingml.header+xml"/>
  <Override PartName="/word/header396.xml" ContentType="application/vnd.openxmlformats-officedocument.wordprocessingml.header+xml"/>
  <Override PartName="/word/header397.xml" ContentType="application/vnd.openxmlformats-officedocument.wordprocessingml.header+xml"/>
  <Override PartName="/word/header398.xml" ContentType="application/vnd.openxmlformats-officedocument.wordprocessingml.header+xml"/>
  <Override PartName="/word/header39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00.xml" ContentType="application/vnd.openxmlformats-officedocument.wordprocessingml.header+xml"/>
  <Override PartName="/word/header401.xml" ContentType="application/vnd.openxmlformats-officedocument.wordprocessingml.header+xml"/>
  <Override PartName="/word/header402.xml" ContentType="application/vnd.openxmlformats-officedocument.wordprocessingml.header+xml"/>
  <Override PartName="/word/header403.xml" ContentType="application/vnd.openxmlformats-officedocument.wordprocessingml.header+xml"/>
  <Override PartName="/word/header404.xml" ContentType="application/vnd.openxmlformats-officedocument.wordprocessingml.header+xml"/>
  <Override PartName="/word/header405.xml" ContentType="application/vnd.openxmlformats-officedocument.wordprocessingml.header+xml"/>
  <Override PartName="/word/header406.xml" ContentType="application/vnd.openxmlformats-officedocument.wordprocessingml.header+xml"/>
  <Override PartName="/word/header407.xml" ContentType="application/vnd.openxmlformats-officedocument.wordprocessingml.header+xml"/>
  <Override PartName="/word/header408.xml" ContentType="application/vnd.openxmlformats-officedocument.wordprocessingml.header+xml"/>
  <Override PartName="/word/header409.xml" ContentType="application/vnd.openxmlformats-officedocument.wordprocessingml.header+xml"/>
  <Override PartName="/word/header41.xml" ContentType="application/vnd.openxmlformats-officedocument.wordprocessingml.header+xml"/>
  <Override PartName="/word/header410.xml" ContentType="application/vnd.openxmlformats-officedocument.wordprocessingml.header+xml"/>
  <Override PartName="/word/header411.xml" ContentType="application/vnd.openxmlformats-officedocument.wordprocessingml.header+xml"/>
  <Override PartName="/word/header412.xml" ContentType="application/vnd.openxmlformats-officedocument.wordprocessingml.header+xml"/>
  <Override PartName="/word/header413.xml" ContentType="application/vnd.openxmlformats-officedocument.wordprocessingml.header+xml"/>
  <Override PartName="/word/header414.xml" ContentType="application/vnd.openxmlformats-officedocument.wordprocessingml.header+xml"/>
  <Override PartName="/word/header415.xml" ContentType="application/vnd.openxmlformats-officedocument.wordprocessingml.header+xml"/>
  <Override PartName="/word/header416.xml" ContentType="application/vnd.openxmlformats-officedocument.wordprocessingml.header+xml"/>
  <Override PartName="/word/header417.xml" ContentType="application/vnd.openxmlformats-officedocument.wordprocessingml.header+xml"/>
  <Override PartName="/word/header418.xml" ContentType="application/vnd.openxmlformats-officedocument.wordprocessingml.header+xml"/>
  <Override PartName="/word/header419.xml" ContentType="application/vnd.openxmlformats-officedocument.wordprocessingml.header+xml"/>
  <Override PartName="/word/header42.xml" ContentType="application/vnd.openxmlformats-officedocument.wordprocessingml.header+xml"/>
  <Override PartName="/word/header420.xml" ContentType="application/vnd.openxmlformats-officedocument.wordprocessingml.header+xml"/>
  <Override PartName="/word/header421.xml" ContentType="application/vnd.openxmlformats-officedocument.wordprocessingml.header+xml"/>
  <Override PartName="/word/header422.xml" ContentType="application/vnd.openxmlformats-officedocument.wordprocessingml.header+xml"/>
  <Override PartName="/word/header423.xml" ContentType="application/vnd.openxmlformats-officedocument.wordprocessingml.header+xml"/>
  <Override PartName="/word/header424.xml" ContentType="application/vnd.openxmlformats-officedocument.wordprocessingml.header+xml"/>
  <Override PartName="/word/header425.xml" ContentType="application/vnd.openxmlformats-officedocument.wordprocessingml.header+xml"/>
  <Override PartName="/word/header426.xml" ContentType="application/vnd.openxmlformats-officedocument.wordprocessingml.header+xml"/>
  <Override PartName="/word/header427.xml" ContentType="application/vnd.openxmlformats-officedocument.wordprocessingml.header+xml"/>
  <Override PartName="/word/header428.xml" ContentType="application/vnd.openxmlformats-officedocument.wordprocessingml.header+xml"/>
  <Override PartName="/word/header429.xml" ContentType="application/vnd.openxmlformats-officedocument.wordprocessingml.header+xml"/>
  <Override PartName="/word/header43.xml" ContentType="application/vnd.openxmlformats-officedocument.wordprocessingml.header+xml"/>
  <Override PartName="/word/header430.xml" ContentType="application/vnd.openxmlformats-officedocument.wordprocessingml.header+xml"/>
  <Override PartName="/word/header431.xml" ContentType="application/vnd.openxmlformats-officedocument.wordprocessingml.header+xml"/>
  <Override PartName="/word/header432.xml" ContentType="application/vnd.openxmlformats-officedocument.wordprocessingml.header+xml"/>
  <Override PartName="/word/header433.xml" ContentType="application/vnd.openxmlformats-officedocument.wordprocessingml.header+xml"/>
  <Override PartName="/word/header434.xml" ContentType="application/vnd.openxmlformats-officedocument.wordprocessingml.header+xml"/>
  <Override PartName="/word/header435.xml" ContentType="application/vnd.openxmlformats-officedocument.wordprocessingml.header+xml"/>
  <Override PartName="/word/header436.xml" ContentType="application/vnd.openxmlformats-officedocument.wordprocessingml.header+xml"/>
  <Override PartName="/word/header437.xml" ContentType="application/vnd.openxmlformats-officedocument.wordprocessingml.header+xml"/>
  <Override PartName="/word/header438.xml" ContentType="application/vnd.openxmlformats-officedocument.wordprocessingml.header+xml"/>
  <Override PartName="/word/header439.xml" ContentType="application/vnd.openxmlformats-officedocument.wordprocessingml.header+xml"/>
  <Override PartName="/word/header44.xml" ContentType="application/vnd.openxmlformats-officedocument.wordprocessingml.header+xml"/>
  <Override PartName="/word/header440.xml" ContentType="application/vnd.openxmlformats-officedocument.wordprocessingml.header+xml"/>
  <Override PartName="/word/header441.xml" ContentType="application/vnd.openxmlformats-officedocument.wordprocessingml.header+xml"/>
  <Override PartName="/word/header442.xml" ContentType="application/vnd.openxmlformats-officedocument.wordprocessingml.header+xml"/>
  <Override PartName="/word/header443.xml" ContentType="application/vnd.openxmlformats-officedocument.wordprocessingml.header+xml"/>
  <Override PartName="/word/header444.xml" ContentType="application/vnd.openxmlformats-officedocument.wordprocessingml.header+xml"/>
  <Override PartName="/word/header445.xml" ContentType="application/vnd.openxmlformats-officedocument.wordprocessingml.header+xml"/>
  <Override PartName="/word/header446.xml" ContentType="application/vnd.openxmlformats-officedocument.wordprocessingml.header+xml"/>
  <Override PartName="/word/header447.xml" ContentType="application/vnd.openxmlformats-officedocument.wordprocessingml.header+xml"/>
  <Override PartName="/word/header448.xml" ContentType="application/vnd.openxmlformats-officedocument.wordprocessingml.header+xml"/>
  <Override PartName="/word/header449.xml" ContentType="application/vnd.openxmlformats-officedocument.wordprocessingml.header+xml"/>
  <Override PartName="/word/header45.xml" ContentType="application/vnd.openxmlformats-officedocument.wordprocessingml.header+xml"/>
  <Override PartName="/word/header450.xml" ContentType="application/vnd.openxmlformats-officedocument.wordprocessingml.header+xml"/>
  <Override PartName="/word/header451.xml" ContentType="application/vnd.openxmlformats-officedocument.wordprocessingml.header+xml"/>
  <Override PartName="/word/header452.xml" ContentType="application/vnd.openxmlformats-officedocument.wordprocessingml.header+xml"/>
  <Override PartName="/word/header453.xml" ContentType="application/vnd.openxmlformats-officedocument.wordprocessingml.header+xml"/>
  <Override PartName="/word/header454.xml" ContentType="application/vnd.openxmlformats-officedocument.wordprocessingml.header+xml"/>
  <Override PartName="/word/header455.xml" ContentType="application/vnd.openxmlformats-officedocument.wordprocessingml.header+xml"/>
  <Override PartName="/word/header456.xml" ContentType="application/vnd.openxmlformats-officedocument.wordprocessingml.header+xml"/>
  <Override PartName="/word/header457.xml" ContentType="application/vnd.openxmlformats-officedocument.wordprocessingml.header+xml"/>
  <Override PartName="/word/header458.xml" ContentType="application/vnd.openxmlformats-officedocument.wordprocessingml.header+xml"/>
  <Override PartName="/word/header459.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83de2da9d8c643df8cdd8e947e5bb736"/>
        <w:lock w:val="sdtLocked"/>
        <w:richText/>
      </w:sdtPr>
      <w:sdtContent>
        <w:p>
          <w:pPr>
            <w:jc w:val="both"/>
            <w:rPr>
              <w:rFonts w:ascii="Times New Roman" w:hAnsi="Times New Roman"/>
            </w:rPr>
          </w:pPr>
          <w:r>
            <w:rPr>
              <w:rFonts w:ascii="Times New Roman" w:hAnsi="Times New Roman"/>
              <w:b/>
              <w:i/>
            </w:rPr>
            <w:t>Suvestinė redakcija nuo 2024-10-08 iki 2024-10-14</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2000, Nr. </w:t>
          </w:r>
          <w:fldSimple w:instr="HYPERLINK https://www.e-tar.lt/portal/legalAct.html?documentId=TAR.DC61D74561C5">
            <w:r w:rsidRPr="00532B9F">
              <w:rPr>
                <w:rFonts w:ascii="Times New Roman" w:eastAsia="MS Mincho" w:hAnsi="Times New Roman"/>
                <w:sz w:val="20"/>
                <w:i/>
                <w:iCs/>
                <w:color w:val="0000FF" w:themeColor="hyperlink"/>
                <w:u w:val="single"/>
              </w:rPr>
              <w:t>47-1365</w:t>
            </w:r>
          </w:fldSimple>
          <w:r>
            <w:rPr>
              <w:rFonts w:ascii="Times New Roman" w:eastAsia="MS Mincho" w:hAnsi="Times New Roman"/>
              <w:sz w:val="20"/>
              <w:i/>
              <w:iCs/>
            </w:rPr>
            <w:t>, i. k. 1002250ISAK00000301</w:t>
          </w:r>
        </w:p>
        <w:p>
          <w:pPr>
            <w:jc w:val="both"/>
            <w:rPr>
              <w:rFonts w:ascii="Times New Roman" w:hAnsi="Times New Roman"/>
              <w:sz w:val="20"/>
            </w:rPr>
          </w:pPr>
        </w:p>
        <w:p>
          <w:pPr>
            <w:tabs>
              <w:tab w:val="center" w:pos="4153"/>
              <w:tab w:val="right" w:pos="8306"/>
            </w:tabs>
            <w:rPr>
              <w:lang w:val="en-GB"/>
            </w:rPr>
          </w:pPr>
          <w:r>
            <w:t xml:space="preserve"> </w:t>
          </w:r>
        </w:p>
        <w:p>
          <w:pPr>
            <w:widowControl w:val="0"/>
            <w:ind w:left="360"/>
            <w:jc w:val="center"/>
            <w:rPr>
              <w:b/>
              <w:color w:val="000000"/>
            </w:rPr>
          </w:pPr>
          <w:r>
            <w:rPr>
              <w:b/>
              <w:color w:val="000000"/>
              <w:lang w:eastAsia="lt-LT"/>
            </w:rPr>
            <w:drawing>
              <wp:anchor distT="0" distB="0" distL="114300" distR="114300" simplePos="0" relativeHeight="251657728" behindDoc="0" locked="0" layoutInCell="1" allowOverlap="1">
                <wp:simplePos x="0" y="0"/>
                <wp:positionH relativeFrom="column">
                  <wp:posOffset>-1080135</wp:posOffset>
                </wp:positionH>
                <wp:positionV relativeFrom="paragraph">
                  <wp:posOffset>-720090</wp:posOffset>
                </wp:positionV>
                <wp:extent cx="9525" cy="9525"/>
                <wp:effectExtent l="0" t="0" r="0" b="0"/>
                <wp:wrapNone/>
                <wp:docPr id="3" name="Paveikslėlis 3" hidden="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 hidden="1"/>
                        <pic:cNvPicPr preferRelativeResize="0">
                          <a:picLocks noChangeArrowheads="1" noChangeShapeType="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14:sizeRelH relativeFrom="page">
                  <wp14:pctWidth>0</wp14:pctWidth>
                </wp14:sizeRelH>
                <wp14:sizeRelV relativeFrom="page">
                  <wp14:pctHeight>0</wp14:pctHeight>
                </wp14:sizeRelV>
              </wp:anchor>
            </w:drawing>
          </w:r>
          <w:r>
            <w:rPr>
              <w:b/>
              <w:color w:val="000000"/>
            </w:rPr>
            <w:t>LIETUVOS RESPUBLIKOS SVEIKATOS APSAUGOS MINISTRO</w:t>
          </w:r>
        </w:p>
        <w:p>
          <w:pPr>
            <w:widowControl w:val="0"/>
            <w:ind w:left="360"/>
            <w:jc w:val="center"/>
            <w:rPr>
              <w:color w:val="000000"/>
            </w:rPr>
          </w:pPr>
        </w:p>
        <w:p>
          <w:pPr>
            <w:widowControl w:val="0"/>
            <w:ind w:left="360"/>
            <w:jc w:val="center"/>
            <w:rPr>
              <w:b/>
              <w:color w:val="000000"/>
            </w:rPr>
          </w:pPr>
          <w:r>
            <w:rPr>
              <w:b/>
              <w:color w:val="000000"/>
            </w:rPr>
            <w:t>Į S A K Y M A S</w:t>
          </w:r>
        </w:p>
        <w:p>
          <w:pPr>
            <w:widowControl w:val="0"/>
            <w:ind w:left="360"/>
            <w:jc w:val="center"/>
            <w:rPr>
              <w:b/>
              <w:color w:val="000000"/>
            </w:rPr>
          </w:pPr>
          <w:r>
            <w:rPr>
              <w:b/>
              <w:color w:val="000000"/>
            </w:rPr>
            <w:t>DĖL PROFILAKTINIŲ SVEIKATOS TIKRINIMŲ SVEIKATOS PRIEŽIŪROS ĮSTAIGOSE</w:t>
          </w:r>
        </w:p>
        <w:p>
          <w:pPr>
            <w:widowControl w:val="0"/>
            <w:ind w:left="360"/>
            <w:jc w:val="center"/>
            <w:rPr>
              <w:color w:val="000000"/>
            </w:rPr>
          </w:pPr>
        </w:p>
        <w:p>
          <w:pPr>
            <w:widowControl w:val="0"/>
            <w:ind w:left="360"/>
            <w:jc w:val="center"/>
            <w:rPr>
              <w:color w:val="000000"/>
            </w:rPr>
          </w:pPr>
          <w:r>
            <w:rPr>
              <w:color w:val="000000"/>
            </w:rPr>
            <w:t>2000 m. gegužės 31 d. Nr. 301</w:t>
          </w:r>
        </w:p>
        <w:p>
          <w:pPr>
            <w:widowControl w:val="0"/>
            <w:ind w:left="360"/>
            <w:jc w:val="center"/>
            <w:rPr>
              <w:color w:val="000000"/>
            </w:rPr>
          </w:pPr>
          <w:r>
            <w:rPr>
              <w:color w:val="000000"/>
            </w:rPr>
            <w:t>Vilnius</w:t>
          </w:r>
        </w:p>
        <w:p>
          <w:pPr>
            <w:widowControl w:val="0"/>
            <w:ind w:left="360"/>
            <w:jc w:val="center"/>
            <w:rPr>
              <w:color w:val="000000"/>
            </w:rPr>
          </w:pPr>
        </w:p>
        <w:p>
          <w:pPr>
            <w:widowControl w:val="0"/>
            <w:ind w:left="360"/>
            <w:jc w:val="center"/>
            <w:rPr>
              <w:color w:val="000000"/>
            </w:rPr>
          </w:pPr>
        </w:p>
        <w:sdt>
          <w:sdtPr>
            <w:alias w:val="preambule"/>
            <w:tag w:val="part_f5ddadfe99834666b97375087dc3bdf9"/>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709"/>
                <w:jc w:val="both"/>
                <w:rPr>
                  <w:color w:val="000000"/>
                </w:rPr>
              </w:pPr>
              <w:r>
                <w:rPr>
                  <w:szCs w:val="24"/>
                </w:rPr>
                <w:t>Siekdamas reglamentuoti profilaktinių sveikatos tikrinimų vykdymą ir kokybę bei apmokėjimo už juos tvarką ir vykdydamas Lietuvos Respublikos darbuotojų saugos ir sveikatos įstatymo, Lietuvos Respublikos sveikatos sistemos įstatymo, Lietuvos Respublikos radiacinės saugos įstatymo, Lietuvos Respublikos saugios laivybos įstatymo, Lietuvos Respublikos geležinkelių transporto eismo saugos įstatymo nuostatas: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CD069E8FA43">
                <w:r w:rsidRPr="00532B9F">
                  <w:rPr>
                    <w:rFonts w:ascii="Times New Roman" w:eastAsia="MS Mincho" w:hAnsi="Times New Roman"/>
                    <w:sz w:val="20"/>
                    <w:i/>
                    <w:iCs/>
                    <w:color w:val="0000FF" w:themeColor="hyperlink"/>
                    <w:u w:val="single"/>
                  </w:rPr>
                  <w:t>V-1072</w:t>
                </w:r>
              </w:fldSimple>
              <w:r>
                <w:rPr>
                  <w:rFonts w:ascii="Times New Roman" w:eastAsia="MS Mincho" w:hAnsi="Times New Roman"/>
                  <w:sz w:val="20"/>
                  <w:i/>
                  <w:iCs/>
                </w:rPr>
                <w:t>,
2009-12-29,
Žin., 2010, Nr.
4-163 (2010-01-12), i. k. 1092250ISAK00V-1072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401b00a81711ebbcbbc2971cdac3cb">
                <w:r w:rsidRPr="00532B9F">
                  <w:rPr>
                    <w:rFonts w:ascii="Times New Roman" w:eastAsia="MS Mincho" w:hAnsi="Times New Roman"/>
                    <w:sz w:val="20"/>
                    <w:i/>
                    <w:iCs/>
                    <w:color w:val="0000FF" w:themeColor="hyperlink"/>
                    <w:u w:val="single"/>
                  </w:rPr>
                  <w:t>V-967</w:t>
                </w:r>
              </w:fldSimple>
              <w:r>
                <w:rPr>
                  <w:rFonts w:ascii="Times New Roman" w:eastAsia="MS Mincho" w:hAnsi="Times New Roman"/>
                  <w:sz w:val="20"/>
                  <w:i/>
                  <w:iCs/>
                </w:rPr>
                <w:t>,
2021-04-28,
paskelbta TAR 2021-04-28, i. k. 2021-08887            </w:t>
              </w:r>
            </w:p>
            <w:p/>
          </w:sdtContent>
        </w:sdt>
        <w:sdt>
          <w:sdtPr>
            <w:alias w:val="1 p."/>
            <w:tag w:val="part_1530be58f24e43d8a6d75290b82e37df"/>
            <w:lock w:val="sdtLocked"/>
            <w:richText/>
          </w:sdtPr>
          <w:sdtContent>
            <w:p>
              <w:pPr>
                <w:widowControl w:val="0"/>
                <w:ind w:firstLine="720"/>
                <w:jc w:val="both"/>
                <w:rPr>
                  <w:color w:val="000000"/>
                </w:rPr>
              </w:pPr>
              <w:sdt>
                <w:sdtPr>
                  <w:alias w:val="Numeris"/>
                  <w:tag w:val="nr_1530be58f24e43d8a6d75290b82e37df"/>
                  <w:lock w:val="sdtLocked"/>
                  <w:richText/>
                </w:sdtPr>
                <w:sdtContent>
                  <w:r>
                    <w:rPr>
                      <w:color w:val="000000"/>
                    </w:rPr>
                    <w:t>1</w:t>
                  </w:r>
                </w:sdtContent>
              </w:sdt>
              <w:r>
                <w:rPr>
                  <w:color w:val="000000"/>
                </w:rPr>
                <w:t xml:space="preserve">. </w:t>
              </w:r>
              <w:r>
                <w:rPr>
                  <w:color w:val="000000"/>
                  <w:spacing w:val="60"/>
                </w:rPr>
                <w:t>Tvirtin</w:t>
              </w:r>
              <w:r>
                <w:rPr>
                  <w:color w:val="000000"/>
                  <w:spacing w:val="20"/>
                </w:rPr>
                <w:t>u:</w:t>
              </w:r>
            </w:p>
            <w:sdt>
              <w:sdtPr>
                <w:alias w:val="1.1 p."/>
                <w:tag w:val="part_17c524fca50d49f181fef67eb482d83e"/>
                <w:lock w:val="sdtLocked"/>
                <w:richText/>
              </w:sdtPr>
              <w:sdtContent>
                <w:p>
                  <w:pPr>
                    <w:widowControl w:val="0"/>
                    <w:ind w:firstLine="720"/>
                    <w:jc w:val="both"/>
                    <w:rPr>
                      <w:color w:val="000000"/>
                    </w:rPr>
                  </w:pPr>
                  <w:sdt>
                    <w:sdtPr>
                      <w:alias w:val="Numeris"/>
                      <w:tag w:val="nr_17c524fca50d49f181fef67eb482d83e"/>
                      <w:lock w:val="sdtLocked"/>
                      <w:richText/>
                    </w:sdtPr>
                    <w:sdtContent>
                      <w:r>
                        <w:rPr>
                          <w:color w:val="000000"/>
                        </w:rPr>
                        <w:t>1.1</w:t>
                      </w:r>
                    </w:sdtContent>
                  </w:sdt>
                  <w:r>
                    <w:rPr>
                      <w:color w:val="000000"/>
                    </w:rPr>
                    <w:t>. Profilaktinių sveikatos tikrinimų rūšis ir apmokėjimo tvarką (1 priedas);</w:t>
                  </w:r>
                </w:p>
              </w:sdtContent>
            </w:sdt>
            <w:sdt>
              <w:sdtPr>
                <w:alias w:val="1.2 p."/>
                <w:tag w:val="part_106ef918db734350a3380edd26d37b58"/>
                <w:lock w:val="sdtLocked"/>
                <w:richText/>
              </w:sdtPr>
              <w:sdtContent>
                <w:p>
                  <w:pPr>
                    <w:widowControl w:val="0"/>
                    <w:ind w:firstLine="720"/>
                    <w:jc w:val="both"/>
                    <w:rPr>
                      <w:color w:val="000000"/>
                    </w:rPr>
                  </w:pPr>
                  <w:sdt>
                    <w:sdtPr>
                      <w:alias w:val="Numeris"/>
                      <w:tag w:val="nr_106ef918db734350a3380edd26d37b58"/>
                      <w:lock w:val="sdtLocked"/>
                      <w:richText/>
                    </w:sdtPr>
                    <w:sdtContent>
                      <w:r>
                        <w:rPr>
                          <w:color w:val="000000"/>
                        </w:rPr>
                        <w:t>1.2</w:t>
                      </w:r>
                    </w:sdtContent>
                  </w:sdt>
                  <w:r>
                    <w:rPr>
                      <w:color w:val="000000"/>
                    </w:rPr>
                    <w:t>. Nėščiųjų ir motinų, iki vaikui sukaks vieneri metai, sveikatos tikrinimo tvarką (2 priedas);</w:t>
                  </w:r>
                </w:p>
              </w:sdtContent>
            </w:sdt>
            <w:sdt>
              <w:sdtPr>
                <w:alias w:val="1.3 p."/>
                <w:tag w:val="part_858ccc378d1b4def9d5409f053bb13fe"/>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709"/>
                    <w:jc w:val="both"/>
                    <w:rPr>
                      <w:color w:val="000000"/>
                    </w:rPr>
                  </w:pPr>
                  <w:sdt>
                    <w:sdtPr>
                      <w:alias w:val="Numeris"/>
                      <w:tag w:val="nr_858ccc378d1b4def9d5409f053bb13fe"/>
                      <w:lock w:val="sdtLocked"/>
                      <w:richText/>
                    </w:sdtPr>
                    <w:sdtContent>
                      <w:r>
                        <w:rPr>
                          <w:bCs/>
                          <w:szCs w:val="24"/>
                        </w:rPr>
                        <w:t>1.3</w:t>
                      </w:r>
                    </w:sdtContent>
                  </w:sdt>
                  <w:r>
                    <w:rPr>
                      <w:bCs/>
                      <w:szCs w:val="24"/>
                    </w:rPr>
                    <w:t>. Vaikų ir pilnamečių mokinių, ugdomų pagal bendrojo ugdymo programas, sveikatos tikrinimo tvarkos aprašą (3 priedas);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BACCBFCF39B">
                    <w:r w:rsidRPr="00532B9F">
                      <w:rPr>
                        <w:rFonts w:ascii="Times New Roman" w:eastAsia="MS Mincho" w:hAnsi="Times New Roman"/>
                        <w:sz w:val="20"/>
                        <w:i/>
                        <w:iCs/>
                        <w:color w:val="0000FF" w:themeColor="hyperlink"/>
                        <w:u w:val="single"/>
                      </w:rPr>
                      <w:t>V-586</w:t>
                    </w:r>
                  </w:fldSimple>
                  <w:r>
                    <w:rPr>
                      <w:rFonts w:ascii="Times New Roman" w:eastAsia="MS Mincho" w:hAnsi="Times New Roman"/>
                      <w:sz w:val="20"/>
                      <w:i/>
                      <w:iCs/>
                    </w:rPr>
                    <w:t>,
2010-06-18,
Žin., 2010, Nr.
74-3769 (2010-06-26), i. k. 1102250ISAK000V-586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d17f70d3c111e4bcd1a882e9a189f1">
                    <w:r w:rsidRPr="00532B9F">
                      <w:rPr>
                        <w:rFonts w:ascii="Times New Roman" w:eastAsia="MS Mincho" w:hAnsi="Times New Roman"/>
                        <w:sz w:val="20"/>
                        <w:i/>
                        <w:iCs/>
                        <w:color w:val="0000FF" w:themeColor="hyperlink"/>
                        <w:u w:val="single"/>
                      </w:rPr>
                      <w:t>V-383</w:t>
                    </w:r>
                  </w:fldSimple>
                  <w:r>
                    <w:rPr>
                      <w:rFonts w:ascii="Times New Roman" w:eastAsia="MS Mincho" w:hAnsi="Times New Roman"/>
                      <w:sz w:val="20"/>
                      <w:i/>
                      <w:iCs/>
                    </w:rPr>
                    <w:t>,
2015-03-23,
paskelbta TAR 2015-03-26, i. k. 2015-04324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595bc076f111e9b81587fcbd5a76f6">
                    <w:r w:rsidRPr="00532B9F">
                      <w:rPr>
                        <w:rFonts w:ascii="Times New Roman" w:eastAsia="MS Mincho" w:hAnsi="Times New Roman"/>
                        <w:sz w:val="20"/>
                        <w:i/>
                        <w:iCs/>
                        <w:color w:val="0000FF" w:themeColor="hyperlink"/>
                        <w:u w:val="single"/>
                      </w:rPr>
                      <w:t>V-566</w:t>
                    </w:r>
                  </w:fldSimple>
                  <w:r>
                    <w:rPr>
                      <w:rFonts w:ascii="Times New Roman" w:eastAsia="MS Mincho" w:hAnsi="Times New Roman"/>
                      <w:sz w:val="20"/>
                      <w:i/>
                      <w:iCs/>
                    </w:rPr>
                    <w:t>,
2019-05-14,
paskelbta TAR 2019-05-15, i. k. 2019-07703            </w:t>
                  </w:r>
                </w:p>
                <w:p/>
              </w:sdtContent>
            </w:sdt>
            <w:sdt>
              <w:sdtPr>
                <w:alias w:val="1.4 p."/>
                <w:tag w:val="part_c840df2aa21e40cc9eb4ae4228755d14"/>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709"/>
                    <w:jc w:val="both"/>
                    <w:rPr>
                      <w:color w:val="000000"/>
                    </w:rPr>
                  </w:pPr>
                  <w:sdt>
                    <w:sdtPr>
                      <w:alias w:val="Numeris"/>
                      <w:tag w:val="nr_c840df2aa21e40cc9eb4ae4228755d14"/>
                      <w:lock w:val="sdtLocked"/>
                      <w:richText/>
                    </w:sdtPr>
                    <w:sdtContent>
                      <w:r>
                        <w:rPr>
                          <w:szCs w:val="24"/>
                        </w:rPr>
                        <w:t>1.4</w:t>
                      </w:r>
                    </w:sdtContent>
                  </w:sdt>
                  <w:r>
                    <w:rPr>
                      <w:szCs w:val="24"/>
                    </w:rPr>
                    <w:t>. Stojančiųjų į profesinio mokymo mokyklas ir įdarbinamų nepilnamečių sveikatos tikrinimo tvarkos aprašą (4 priedas);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0f81cd0e33011ed9978886e85107ab2">
                    <w:r w:rsidRPr="00532B9F">
                      <w:rPr>
                        <w:rFonts w:ascii="Times New Roman" w:eastAsia="MS Mincho" w:hAnsi="Times New Roman"/>
                        <w:sz w:val="20"/>
                        <w:i/>
                        <w:iCs/>
                        <w:color w:val="0000FF" w:themeColor="hyperlink"/>
                        <w:u w:val="single"/>
                      </w:rPr>
                      <w:t>V-506</w:t>
                    </w:r>
                  </w:fldSimple>
                  <w:r>
                    <w:rPr>
                      <w:rFonts w:ascii="Times New Roman" w:eastAsia="MS Mincho" w:hAnsi="Times New Roman"/>
                      <w:sz w:val="20"/>
                      <w:i/>
                      <w:iCs/>
                    </w:rPr>
                    <w:t>,
2023-04-25,
paskelbta TAR 2023-04-25, i. k. 2023-07901            </w:t>
                  </w:r>
                </w:p>
                <w:p/>
              </w:sdtContent>
            </w:sdt>
            <w:sdt>
              <w:sdtPr>
                <w:alias w:val="1.5 p."/>
                <w:tag w:val="part_d1456022716b4f28809a825cddc745ca"/>
                <w:lock w:val="sdtLocked"/>
                <w:richText/>
              </w:sdtPr>
              <w:sdtContent>
                <w:p>
                  <w:pPr>
                    <w:widowControl w:val="0"/>
                    <w:ind w:firstLine="720"/>
                    <w:jc w:val="both"/>
                    <w:rPr>
                      <w:color w:val="000000"/>
                    </w:rPr>
                  </w:pPr>
                  <w:sdt>
                    <w:sdtPr>
                      <w:alias w:val="Numeris"/>
                      <w:tag w:val="nr_d1456022716b4f28809a825cddc745ca"/>
                      <w:lock w:val="sdtLocked"/>
                      <w:richText/>
                    </w:sdtPr>
                    <w:sdtContent>
                      <w:r>
                        <w:rPr>
                          <w:color w:val="000000"/>
                        </w:rPr>
                        <w:t>1.5</w:t>
                      </w:r>
                    </w:sdtContent>
                  </w:sdt>
                  <w:r>
                    <w:rPr>
                      <w:color w:val="000000"/>
                    </w:rPr>
                    <w:t>. Sportuojančių asmenų sveikatos tikrinimo tvarką</w:t>
                  </w:r>
                  <w:r>
                    <w:rPr>
                      <w:caps/>
                      <w:color w:val="000000"/>
                    </w:rPr>
                    <w:t xml:space="preserve"> </w:t>
                  </w:r>
                  <w:r>
                    <w:rPr>
                      <w:color w:val="000000"/>
                    </w:rPr>
                    <w:t>(5 priedas);</w:t>
                  </w:r>
                </w:p>
              </w:sdtContent>
            </w:sdt>
            <w:sdt>
              <w:sdtPr>
                <w:alias w:val="1.6 p."/>
                <w:tag w:val="part_312617211fe048639b4dcdc44fe6f3cc"/>
                <w:lock w:val="sdtLocked"/>
                <w:richText/>
              </w:sdtPr>
              <w:sdtContent>
                <w:p>
                  <w:pPr>
                    <w:widowControl w:val="0"/>
                    <w:ind w:firstLine="720"/>
                    <w:jc w:val="both"/>
                    <w:rPr>
                      <w:color w:val="000000"/>
                    </w:rPr>
                  </w:pPr>
                  <w:sdt>
                    <w:sdtPr>
                      <w:alias w:val="Numeris"/>
                      <w:tag w:val="nr_312617211fe048639b4dcdc44fe6f3cc"/>
                      <w:lock w:val="sdtLocked"/>
                      <w:richText/>
                    </w:sdtPr>
                    <w:sdtContent>
                      <w:r>
                        <w:rPr>
                          <w:color w:val="000000"/>
                        </w:rPr>
                        <w:t>1.6</w:t>
                      </w:r>
                    </w:sdtContent>
                  </w:sdt>
                  <w:r>
                    <w:rPr>
                      <w:color w:val="000000"/>
                    </w:rPr>
                    <w:t>. Neinfekcinių ligų profilaktikos ir kontrolės tvarką (6 priedas);</w:t>
                  </w:r>
                </w:p>
              </w:sdtContent>
            </w:sdt>
            <w:sdt>
              <w:sdtPr>
                <w:alias w:val="1.7 p."/>
                <w:tag w:val="part_d74a264081fe45bfae0f930a375f505a"/>
                <w:lock w:val="sdtLocked"/>
                <w:richText/>
              </w:sdtPr>
              <w:sdtContent>
                <w:p>
                  <w:pPr>
                    <w:ind w:firstLine="709"/>
                    <w:jc w:val="both"/>
                    <w:rPr>
                      <w:color w:val="000000"/>
                    </w:rPr>
                  </w:pPr>
                  <w:sdt>
                    <w:sdtPr>
                      <w:alias w:val="Numeris"/>
                      <w:tag w:val="nr_d74a264081fe45bfae0f930a375f505a"/>
                      <w:lock w:val="sdtLocked"/>
                      <w:richText/>
                    </w:sdtPr>
                    <w:sdtContent>
                      <w:r>
                        <w:t>1.7</w:t>
                      </w:r>
                    </w:sdtContent>
                  </w:sdt>
                  <w:r>
                    <w:t xml:space="preserve">. Vairuotojų sveikatos tikrinimo reikalavimų ir tvarkos aprašą (7 priedas).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693EEE35C8">
                    <w:r w:rsidRPr="00532B9F">
                      <w:rPr>
                        <w:rFonts w:ascii="Times New Roman" w:eastAsia="MS Mincho" w:hAnsi="Times New Roman"/>
                        <w:sz w:val="20"/>
                        <w:i/>
                        <w:iCs/>
                        <w:color w:val="0000FF" w:themeColor="hyperlink"/>
                        <w:u w:val="single"/>
                      </w:rPr>
                      <w:t>V-973</w:t>
                    </w:r>
                  </w:fldSimple>
                  <w:r>
                    <w:rPr>
                      <w:rFonts w:ascii="Times New Roman" w:eastAsia="MS Mincho" w:hAnsi="Times New Roman"/>
                      <w:sz w:val="20"/>
                      <w:i/>
                      <w:iCs/>
                    </w:rPr>
                    <w:t>,
2008-10-10,
Žin., 2008, Nr.
121-4626 (2008-10-21), i. k. 1082250ISAK000V-973            </w:t>
                  </w:r>
                </w:p>
                <w:p/>
              </w:sdtContent>
            </w:sdt>
            <w:sdt>
              <w:sdtPr>
                <w:alias w:val="1.8 p."/>
                <w:tag w:val="part_0aacbd902b8b4fa1ac6b21cc9adfe4ab"/>
                <w:lock w:val="sdtLocked"/>
                <w:richText/>
              </w:sdtPr>
              <w:sdtContent>
                <w:p>
                  <w:pPr>
                    <w:widowControl w:val="0"/>
                    <w:ind w:firstLine="720"/>
                    <w:jc w:val="both"/>
                    <w:rPr>
                      <w:color w:val="000000"/>
                    </w:rPr>
                  </w:pPr>
                  <w:sdt>
                    <w:sdtPr>
                      <w:alias w:val="Numeris"/>
                      <w:tag w:val="nr_0aacbd902b8b4fa1ac6b21cc9adfe4ab"/>
                      <w:lock w:val="sdtLocked"/>
                      <w:richText/>
                    </w:sdtPr>
                    <w:sdtContent>
                      <w:r>
                        <w:rPr>
                          <w:color w:val="000000"/>
                        </w:rPr>
                        <w:t>1.8</w:t>
                      </w:r>
                    </w:sdtContent>
                  </w:sdt>
                  <w:r>
                    <w:rPr>
                      <w:color w:val="000000"/>
                    </w:rPr>
                    <w:t>. Norinčiųjų įsigyti civilinį ginklą sveikatos tikrinimo tvarką (8 priedas);</w:t>
                  </w:r>
                </w:p>
              </w:sdtContent>
            </w:sdt>
            <w:sdt>
              <w:sdtPr>
                <w:alias w:val="1.9 p."/>
                <w:tag w:val="part_aebc7d4347c14a0b8b1010d60b3b523e"/>
                <w:lock w:val="sdtLocked"/>
                <w:richText/>
              </w:sdtPr>
              <w:sdtContent>
                <w:p>
                  <w:pPr>
                    <w:widowControl w:val="0"/>
                    <w:ind w:firstLine="720"/>
                    <w:jc w:val="both"/>
                    <w:rPr>
                      <w:color w:val="000000"/>
                    </w:rPr>
                  </w:pPr>
                  <w:sdt>
                    <w:sdtPr>
                      <w:alias w:val="Numeris"/>
                      <w:tag w:val="nr_aebc7d4347c14a0b8b1010d60b3b523e"/>
                      <w:lock w:val="sdtLocked"/>
                      <w:richText/>
                    </w:sdtPr>
                    <w:sdtContent>
                      <w:r>
                        <w:rPr>
                          <w:color w:val="000000"/>
                        </w:rPr>
                        <w:t>1.9</w:t>
                      </w:r>
                    </w:sdtContent>
                  </w:sdt>
                  <w:r>
                    <w:rPr>
                      <w:color w:val="000000"/>
                    </w:rPr>
                    <w:t>. Vykstančiųjų į užsienį sveikatos tikrinimo tvarką (9 priedas);</w:t>
                  </w:r>
                </w:p>
              </w:sdtContent>
            </w:sdt>
            <w:sdt>
              <w:sdtPr>
                <w:alias w:val="1.10 p."/>
                <w:tag w:val="part_306b40940c344cb2af846af3419640ab"/>
                <w:lock w:val="sdtLocked"/>
                <w:richText/>
              </w:sdtPr>
              <w:sdtContent>
                <w:p>
                  <w:pPr>
                    <w:ind w:firstLine="709"/>
                    <w:jc w:val="both"/>
                    <w:rPr>
                      <w:color w:val="000000"/>
                    </w:rPr>
                  </w:pPr>
                  <w:sdt>
                    <w:sdtPr>
                      <w:alias w:val="Numeris"/>
                      <w:tag w:val="nr_306b40940c344cb2af846af3419640ab"/>
                      <w:lock w:val="sdtLocked"/>
                      <w:richText/>
                    </w:sdtPr>
                    <w:sdtContent>
                      <w:r>
                        <w:t>1.10</w:t>
                      </w:r>
                    </w:sdtContent>
                  </w:sdt>
                  <w:r>
                    <w:t xml:space="preserve">. Licencijuojamų civilinės aviacijos specialistų sveikatos būklės tikrinimo tvarkos aprašą (10 priedas).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7E759DF5DFE">
                    <w:r w:rsidRPr="00532B9F">
                      <w:rPr>
                        <w:rFonts w:ascii="Times New Roman" w:eastAsia="MS Mincho" w:hAnsi="Times New Roman"/>
                        <w:sz w:val="20"/>
                        <w:i/>
                        <w:iCs/>
                        <w:color w:val="0000FF" w:themeColor="hyperlink"/>
                        <w:u w:val="single"/>
                      </w:rPr>
                      <w:t>V-649</w:t>
                    </w:r>
                  </w:fldSimple>
                  <w:r>
                    <w:rPr>
                      <w:rFonts w:ascii="Times New Roman" w:eastAsia="MS Mincho" w:hAnsi="Times New Roman"/>
                      <w:sz w:val="20"/>
                      <w:i/>
                      <w:iCs/>
                    </w:rPr>
                    <w:t>,
2008-06-28,
Žin., 2008, Nr.
76-3030 (2008-07-05), i. k. 1082250ISAK000V-649            </w:t>
                  </w:r>
                </w:p>
                <w:p/>
              </w:sdtContent>
            </w:sdt>
            <w:sdt>
              <w:sdtPr>
                <w:alias w:val="1.11 p."/>
                <w:tag w:val="part_c66e60e394684e7591f1478415e27b1b"/>
                <w:lock w:val="sdtLocked"/>
                <w:richText/>
              </w:sdtPr>
              <w:sdtContent>
                <w:p>
                  <w:pPr>
                    <w:tabs>
                      <w:tab w:val="left" w:pos="709"/>
                    </w:tabs>
                    <w:ind w:firstLine="709"/>
                    <w:jc w:val="both"/>
                    <w:rPr>
                      <w:color w:val="000000"/>
                    </w:rPr>
                  </w:pPr>
                  <w:sdt>
                    <w:sdtPr>
                      <w:alias w:val="Numeris"/>
                      <w:tag w:val="nr_c66e60e394684e7591f1478415e27b1b"/>
                      <w:lock w:val="sdtLocked"/>
                      <w:richText/>
                    </w:sdtPr>
                    <w:sdtContent>
                      <w:r>
                        <w:rPr>
                          <w:szCs w:val="24"/>
                          <w:lang w:eastAsia="lt-LT"/>
                        </w:rPr>
                        <w:t>1.11</w:t>
                      </w:r>
                    </w:sdtContent>
                  </w:sdt>
                  <w:r>
                    <w:rPr>
                      <w:szCs w:val="24"/>
                      <w:lang w:eastAsia="lt-LT"/>
                    </w:rPr>
                    <w:t>. Jūrininkų ir vidaus vandenų transporto specialistų bei motorinių pramoginių laivų ir kitų motorinių plaukiojimo priemonių laivavedžių sveikatos tikrinimo tvarkos aprašą (11 priedas);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fd07d0a53f11e3aeb49a67165e3ad3">
                    <w:r w:rsidRPr="00532B9F">
                      <w:rPr>
                        <w:rFonts w:ascii="Times New Roman" w:eastAsia="MS Mincho" w:hAnsi="Times New Roman"/>
                        <w:sz w:val="20"/>
                        <w:i/>
                        <w:iCs/>
                        <w:color w:val="0000FF" w:themeColor="hyperlink"/>
                        <w:u w:val="single"/>
                      </w:rPr>
                      <w:t>V-320</w:t>
                    </w:r>
                  </w:fldSimple>
                  <w:r>
                    <w:rPr>
                      <w:rFonts w:ascii="Times New Roman" w:eastAsia="MS Mincho" w:hAnsi="Times New Roman"/>
                      <w:sz w:val="20"/>
                      <w:i/>
                      <w:iCs/>
                    </w:rPr>
                    <w:t>,
2014-03-05,
paskelbta TAR 2014-03-06, i. k. 2014-02740            </w:t>
                  </w:r>
                </w:p>
                <w:p/>
              </w:sdtContent>
            </w:sdt>
            <w:sdt>
              <w:sdtPr>
                <w:alias w:val="1.12 p."/>
                <w:tag w:val="part_c75311c0955c4cc89c58566598b6a4a0"/>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709"/>
                    <w:jc w:val="both"/>
                    <w:rPr>
                      <w:color w:val="000000"/>
                    </w:rPr>
                  </w:pPr>
                  <w:sdt>
                    <w:sdtPr>
                      <w:alias w:val="Numeris"/>
                      <w:tag w:val="nr_c75311c0955c4cc89c58566598b6a4a0"/>
                      <w:lock w:val="sdtLocked"/>
                      <w:richText/>
                    </w:sdtPr>
                    <w:sdtContent>
                      <w:r>
                        <w:rPr>
                          <w:color w:val="000000"/>
                          <w:szCs w:val="24"/>
                          <w:lang w:eastAsia="lt-LT"/>
                        </w:rPr>
                        <w:t>1.12</w:t>
                      </w:r>
                    </w:sdtContent>
                  </w:sdt>
                  <w:r>
                    <w:rPr>
                      <w:color w:val="000000"/>
                      <w:szCs w:val="24"/>
                      <w:lang w:eastAsia="lt-LT"/>
                    </w:rPr>
                    <w:t xml:space="preserve">. Traukinio mašinistų ir </w:t>
                  </w:r>
                  <w:r>
                    <w:rPr>
                      <w:color w:val="000000"/>
                      <w:szCs w:val="24"/>
                    </w:rPr>
                    <w:t>darbuotojų, atliekančių eismo saugai užtikrinti svarbias užduotis</w:t>
                  </w:r>
                  <w:r>
                    <w:rPr>
                      <w:color w:val="000000"/>
                      <w:szCs w:val="24"/>
                      <w:lang w:eastAsia="lt-LT"/>
                    </w:rPr>
                    <w:t>, sveikatos tikrinimo tvarkos aprašą (12 priedas);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82D19C6A6B6">
                    <w:r w:rsidRPr="00532B9F">
                      <w:rPr>
                        <w:rFonts w:ascii="Times New Roman" w:eastAsia="MS Mincho" w:hAnsi="Times New Roman"/>
                        <w:sz w:val="20"/>
                        <w:i/>
                        <w:iCs/>
                        <w:color w:val="0000FF" w:themeColor="hyperlink"/>
                        <w:u w:val="single"/>
                      </w:rPr>
                      <w:t>V-1062</w:t>
                    </w:r>
                  </w:fldSimple>
                  <w:r>
                    <w:rPr>
                      <w:rFonts w:ascii="Times New Roman" w:eastAsia="MS Mincho" w:hAnsi="Times New Roman"/>
                      <w:sz w:val="20"/>
                      <w:i/>
                      <w:iCs/>
                    </w:rPr>
                    <w:t>,
2009-12-23,
Žin., 2010, Nr.
1-45 (2010-01-05), i. k. 1092250ISAK00V-1062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BF277448F3E">
                    <w:r w:rsidRPr="00532B9F">
                      <w:rPr>
                        <w:rFonts w:ascii="Times New Roman" w:eastAsia="MS Mincho" w:hAnsi="Times New Roman"/>
                        <w:sz w:val="20"/>
                        <w:i/>
                        <w:iCs/>
                        <w:color w:val="0000FF" w:themeColor="hyperlink"/>
                        <w:u w:val="single"/>
                      </w:rPr>
                      <w:t>V-101</w:t>
                    </w:r>
                  </w:fldSimple>
                  <w:r>
                    <w:rPr>
                      <w:rFonts w:ascii="Times New Roman" w:eastAsia="MS Mincho" w:hAnsi="Times New Roman"/>
                      <w:sz w:val="20"/>
                      <w:i/>
                      <w:iCs/>
                    </w:rPr>
                    <w:t>,
2011-02-03,
Žin., 2011, Nr.
17-816 (2011-02-10), i. k. 1112250ISAK000V-101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0f81cd0e33011ed9978886e85107ab2">
                    <w:r w:rsidRPr="00532B9F">
                      <w:rPr>
                        <w:rFonts w:ascii="Times New Roman" w:eastAsia="MS Mincho" w:hAnsi="Times New Roman"/>
                        <w:sz w:val="20"/>
                        <w:i/>
                        <w:iCs/>
                        <w:color w:val="0000FF" w:themeColor="hyperlink"/>
                        <w:u w:val="single"/>
                      </w:rPr>
                      <w:t>V-506</w:t>
                    </w:r>
                  </w:fldSimple>
                  <w:r>
                    <w:rPr>
                      <w:rFonts w:ascii="Times New Roman" w:eastAsia="MS Mincho" w:hAnsi="Times New Roman"/>
                      <w:sz w:val="20"/>
                      <w:i/>
                      <w:iCs/>
                    </w:rPr>
                    <w:t>,
2023-04-25,
paskelbta TAR 2023-04-25, i. k. 2023-07901            </w:t>
                  </w:r>
                </w:p>
                <w:p/>
              </w:sdtContent>
            </w:sdt>
            <w:sdt>
              <w:sdtPr>
                <w:alias w:val="1.13 p."/>
                <w:tag w:val="part_730ce55f0bc04f6dbf8fc38d74c8ff50"/>
                <w:lock w:val="sdtLocked"/>
                <w:richText/>
              </w:sdtPr>
              <w:sdtContent>
                <w:p>
                  <w:pPr>
                    <w:widowControl w:val="0"/>
                    <w:suppressAutoHyphens/>
                    <w:ind w:firstLine="709"/>
                    <w:jc w:val="both"/>
                    <w:rPr>
                      <w:color w:val="000000"/>
                    </w:rPr>
                  </w:pPr>
                  <w:sdt>
                    <w:sdtPr>
                      <w:alias w:val="Numeris"/>
                      <w:tag w:val="nr_730ce55f0bc04f6dbf8fc38d74c8ff50"/>
                      <w:lock w:val="sdtLocked"/>
                      <w:richText/>
                    </w:sdtPr>
                    <w:sdtContent>
                      <w:r>
                        <w:rPr>
                          <w:color w:val="000000"/>
                        </w:rPr>
                        <w:t>1.13</w:t>
                      </w:r>
                    </w:sdtContent>
                  </w:sdt>
                  <w:r>
                    <w:rPr>
                      <w:color w:val="000000"/>
                    </w:rPr>
                    <w:t>. Asmenų, dirbančių darbo aplinkoje, kurioje galima profesinė rizika (kenksmingų veiksnių poveikis ir (ar) pavojingas darbas), privalomo sveikatos tikrinimo tvarkos aprašą (13 priedas);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CD069E8FA43">
                    <w:r w:rsidRPr="00532B9F">
                      <w:rPr>
                        <w:rFonts w:ascii="Times New Roman" w:eastAsia="MS Mincho" w:hAnsi="Times New Roman"/>
                        <w:sz w:val="20"/>
                        <w:i/>
                        <w:iCs/>
                        <w:color w:val="0000FF" w:themeColor="hyperlink"/>
                        <w:u w:val="single"/>
                      </w:rPr>
                      <w:t>V-1072</w:t>
                    </w:r>
                  </w:fldSimple>
                  <w:r>
                    <w:rPr>
                      <w:rFonts w:ascii="Times New Roman" w:eastAsia="MS Mincho" w:hAnsi="Times New Roman"/>
                      <w:sz w:val="20"/>
                      <w:i/>
                      <w:iCs/>
                    </w:rPr>
                    <w:t>,
2009-12-29,
Žin., 2010, Nr.
4-163 (2010-01-12), i. k. 1092250ISAK00V-1072            </w:t>
                  </w:r>
                </w:p>
                <w:p/>
              </w:sdtContent>
            </w:sdt>
            <w:sdt>
              <w:sdtPr>
                <w:alias w:val="1.14 p."/>
                <w:tag w:val="part_32427971ce1445a9b8bca7dcc65c1f8b"/>
                <w:lock w:val="sdtLocked"/>
                <w:richText/>
              </w:sdtPr>
              <w:sdtContent>
                <w:p>
                  <w:pPr>
                    <w:pStyle w:val="PlainText"/>
                    <w:ind w:firstLine="567"/>
                    <w:jc w:val="both"/>
                    <w:rPr>
                      <w:rFonts w:ascii="Times New Roman" w:hAnsi="Times New Roman"/>
                      <w:b/>
                      <w:bCs/>
                      <w:sz w:val="22"/>
                    </w:rPr>
                  </w:pPr>
                  <w:r>
                    <w:rPr>
                      <w:rFonts w:ascii="Times New Roman" w:hAnsi="Times New Roman"/>
                      <w:sz w:val="22"/>
                    </w:rPr>
                    <w:t>1.14</w:t>
                  </w:r>
                  <w:r>
                    <w:rPr>
                      <w:rFonts w:ascii="Times New Roman" w:hAnsi="Times New Roman"/>
                      <w:sz w:val="22"/>
                    </w:rPr>
                    <w:t>.</w:t>
                  </w:r>
                  <w:r>
                    <w:rPr>
                      <w:rFonts w:ascii="Times New Roman" w:eastAsia="MS Mincho" w:hAnsi="Times New Roman"/>
                      <w:sz w:val="20"/>
                      <w:i/>
                      <w:iCs/>
                    </w:rPr>
                    <w:t xml:space="preserve"> Neteko galios nuo 2003-10-02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FF49B1BF8F5">
                    <w:r w:rsidRPr="00532B9F">
                      <w:rPr>
                        <w:rFonts w:ascii="Times New Roman" w:eastAsia="MS Mincho" w:hAnsi="Times New Roman"/>
                        <w:sz w:val="20"/>
                        <w:i/>
                        <w:iCs/>
                        <w:color w:val="0000FF" w:themeColor="hyperlink"/>
                        <w:u w:val="single"/>
                      </w:rPr>
                      <w:t>V-540</w:t>
                    </w:r>
                  </w:fldSimple>
                  <w:r>
                    <w:rPr>
                      <w:rFonts w:ascii="Times New Roman" w:eastAsia="MS Mincho" w:hAnsi="Times New Roman"/>
                      <w:sz w:val="20"/>
                      <w:i/>
                      <w:iCs/>
                    </w:rPr>
                    <w:t>,
2003-09-18,
Žin. 2003,
Nr.
92-4164 (2003-10-01), i. k. 1032250ISAK000V-540        </w:t>
                  </w:r>
                </w:p>
                <w:p/>
              </w:sdtContent>
            </w:sdt>
            <w:sdt>
              <w:sdtPr>
                <w:alias w:val="1.15 p."/>
                <w:tag w:val="part_106860d84ddd458ba855cf35a66128ab"/>
                <w:lock w:val="sdtLocked"/>
                <w:richText/>
              </w:sdtPr>
              <w:sdtContent>
                <w:p>
                  <w:pPr>
                    <w:pStyle w:val="PlainText"/>
                    <w:ind w:firstLine="567"/>
                    <w:jc w:val="both"/>
                    <w:rPr>
                      <w:rFonts w:ascii="Times New Roman" w:hAnsi="Times New Roman"/>
                      <w:b/>
                      <w:bCs/>
                      <w:sz w:val="22"/>
                    </w:rPr>
                  </w:pPr>
                  <w:r>
                    <w:rPr>
                      <w:rFonts w:ascii="Times New Roman" w:hAnsi="Times New Roman"/>
                      <w:sz w:val="22"/>
                    </w:rPr>
                    <w:t>1.15</w:t>
                  </w:r>
                  <w:r>
                    <w:rPr>
                      <w:rFonts w:ascii="Times New Roman" w:hAnsi="Times New Roman"/>
                      <w:sz w:val="22"/>
                    </w:rPr>
                    <w:t>.</w:t>
                  </w:r>
                  <w:r>
                    <w:rPr>
                      <w:rFonts w:ascii="Times New Roman" w:eastAsia="MS Mincho" w:hAnsi="Times New Roman"/>
                      <w:sz w:val="20"/>
                      <w:i/>
                      <w:iCs/>
                    </w:rPr>
                    <w:t xml:space="preserve"> Neteko galios nuo 2016-01-01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f70b810aee111e5b12fbb7dc920ee2c">
                    <w:r w:rsidRPr="00532B9F">
                      <w:rPr>
                        <w:rFonts w:ascii="Times New Roman" w:eastAsia="MS Mincho" w:hAnsi="Times New Roman"/>
                        <w:sz w:val="20"/>
                        <w:i/>
                        <w:iCs/>
                        <w:color w:val="0000FF" w:themeColor="hyperlink"/>
                        <w:u w:val="single"/>
                      </w:rPr>
                      <w:t>V-1521</w:t>
                    </w:r>
                  </w:fldSimple>
                  <w:r>
                    <w:rPr>
                      <w:rFonts w:ascii="Times New Roman" w:eastAsia="MS Mincho" w:hAnsi="Times New Roman"/>
                      <w:sz w:val="20"/>
                      <w:i/>
                      <w:iCs/>
                    </w:rPr>
                    <w:t>,
2015-12-29,
paskelbta TAR 2015-12-30, i. k. 2015-20985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c9c90465d11e5a38cd6cdb94b0c51">
                    <w:r w:rsidRPr="00532B9F">
                      <w:rPr>
                        <w:rFonts w:ascii="Times New Roman" w:eastAsia="MS Mincho" w:hAnsi="Times New Roman"/>
                        <w:sz w:val="20"/>
                        <w:i/>
                        <w:iCs/>
                        <w:color w:val="0000FF" w:themeColor="hyperlink"/>
                        <w:u w:val="single"/>
                      </w:rPr>
                      <w:t>V-990</w:t>
                    </w:r>
                  </w:fldSimple>
                  <w:r>
                    <w:rPr>
                      <w:rFonts w:ascii="Times New Roman" w:eastAsia="MS Mincho" w:hAnsi="Times New Roman"/>
                      <w:sz w:val="20"/>
                      <w:i/>
                      <w:iCs/>
                    </w:rPr>
                    <w:t>,
2015-08-18,
paskelbta TAR 2015-08-19, i. k. 2015-12418            </w:t>
                  </w:r>
                </w:p>
                <w:p/>
              </w:sdtContent>
            </w:sdt>
            <w:sdt>
              <w:sdtPr>
                <w:alias w:val="1.16 p."/>
                <w:tag w:val="part_bbf3e6bbc6ec42dbb00074080dd2082a"/>
                <w:lock w:val="sdtLocked"/>
                <w:richText/>
              </w:sdtPr>
              <w:sdtContent>
                <w:p>
                  <w:pPr>
                    <w:pStyle w:val="PlainText"/>
                    <w:ind w:firstLine="567"/>
                    <w:jc w:val="both"/>
                    <w:rPr>
                      <w:rFonts w:ascii="Times New Roman" w:hAnsi="Times New Roman"/>
                      <w:b/>
                      <w:bCs/>
                      <w:sz w:val="22"/>
                    </w:rPr>
                  </w:pPr>
                  <w:r>
                    <w:rPr>
                      <w:rFonts w:ascii="Times New Roman" w:hAnsi="Times New Roman"/>
                      <w:sz w:val="22"/>
                    </w:rPr>
                    <w:t>1.16</w:t>
                  </w:r>
                  <w:r>
                    <w:rPr>
                      <w:rFonts w:ascii="Times New Roman" w:hAnsi="Times New Roman"/>
                      <w:sz w:val="22"/>
                    </w:rPr>
                    <w:t>.</w:t>
                  </w:r>
                  <w:r>
                    <w:rPr>
                      <w:rFonts w:ascii="Times New Roman" w:eastAsia="MS Mincho" w:hAnsi="Times New Roman"/>
                      <w:sz w:val="20"/>
                      <w:i/>
                      <w:iCs/>
                    </w:rPr>
                    <w:t xml:space="preserve"> Neteko galios nuo 2015-08-22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a1f2e047c611e5a38cd6cdb94b0c51">
                    <w:r w:rsidRPr="00532B9F">
                      <w:rPr>
                        <w:rFonts w:ascii="Times New Roman" w:eastAsia="MS Mincho" w:hAnsi="Times New Roman"/>
                        <w:sz w:val="20"/>
                        <w:i/>
                        <w:iCs/>
                        <w:color w:val="0000FF" w:themeColor="hyperlink"/>
                        <w:u w:val="single"/>
                      </w:rPr>
                      <w:t>V-974</w:t>
                    </w:r>
                  </w:fldSimple>
                  <w:r>
                    <w:rPr>
                      <w:rFonts w:ascii="Times New Roman" w:eastAsia="MS Mincho" w:hAnsi="Times New Roman"/>
                      <w:sz w:val="20"/>
                      <w:i/>
                      <w:iCs/>
                    </w:rPr>
                    <w:t>,
2015-08-18,
paskelbta TAR 2015-08-21, i. k. 2015-12478        </w:t>
                  </w:r>
                </w:p>
                <w:p/>
              </w:sdtContent>
            </w:sdt>
            <w:sdt>
              <w:sdtPr>
                <w:alias w:val="1.17 p."/>
                <w:tag w:val="part_5d1d60a5b7a041d4b22777e500e3c49b"/>
                <w:lock w:val="sdtLocked"/>
                <w:richText/>
              </w:sdtPr>
              <w:sdtContent>
                <w:p>
                  <w:pPr>
                    <w:widowControl w:val="0"/>
                    <w:ind w:firstLine="720"/>
                    <w:jc w:val="both"/>
                    <w:rPr>
                      <w:color w:val="000000"/>
                    </w:rPr>
                  </w:pPr>
                  <w:sdt>
                    <w:sdtPr>
                      <w:alias w:val="Numeris"/>
                      <w:tag w:val="nr_5d1d60a5b7a041d4b22777e500e3c49b"/>
                      <w:lock w:val="sdtLocked"/>
                      <w:richText/>
                    </w:sdtPr>
                    <w:sdtContent>
                      <w:r>
                        <w:rPr>
                          <w:color w:val="000000"/>
                        </w:rPr>
                        <w:t>1.17</w:t>
                      </w:r>
                    </w:sdtContent>
                  </w:sdt>
                  <w:r>
                    <w:rPr>
                      <w:color w:val="000000"/>
                    </w:rPr>
                    <w:t>. Asmenų, norinčių susituokti, sveikatos tikrinimo tvarką (17 priedas);</w:t>
                  </w:r>
                </w:p>
              </w:sdtContent>
            </w:sdt>
            <w:sdt>
              <w:sdtPr>
                <w:alias w:val="1.18 p."/>
                <w:tag w:val="part_72b441d9e93540769b3e3910e7ddedd3"/>
                <w:lock w:val="sdtLocked"/>
                <w:richText/>
              </w:sdtPr>
              <w:sdtContent>
                <w:p>
                  <w:pPr>
                    <w:ind w:firstLine="709"/>
                    <w:jc w:val="both"/>
                  </w:pPr>
                  <w:sdt>
                    <w:sdtPr>
                      <w:alias w:val="Numeris"/>
                      <w:tag w:val="nr_72b441d9e93540769b3e3910e7ddedd3"/>
                      <w:lock w:val="sdtLocked"/>
                      <w:richText/>
                    </w:sdtPr>
                    <w:sdtContent>
                      <w:r>
                        <w:rPr>
                          <w:szCs w:val="24"/>
                          <w:lang w:eastAsia="lt-LT"/>
                        </w:rPr>
                        <w:t>1.18</w:t>
                      </w:r>
                    </w:sdtContent>
                  </w:sdt>
                  <w:r>
                    <w:rPr>
                      <w:szCs w:val="24"/>
                      <w:lang w:eastAsia="lt-LT"/>
                    </w:rPr>
                    <w:t xml:space="preserve">.  Profilaktinių sveikatos tikrinimų, už kuriuos moka pats darbuotojas, darbdavys ar kiti asmenys, kainų sąrašą (18 priedas);</w:t>
                  </w:r>
                  <w:r>
                    <w:t xml:space="preserve"> </w:t>
                  </w:r>
                </w:p>
                <w:p>
                  <w:pPr>
                    <w:jc w:val="both"/>
                  </w:pPr>
                  <w:r>
                    <w:rPr>
                      <w:b/>
                      <w:i/>
                      <w:sz w:val="20"/>
                      <w:lang w:eastAsia="lt-LT"/>
                    </w:rPr>
                    <w:t>TAR pastaba</w:t>
                  </w:r>
                  <w:r>
                    <w:rPr>
                      <w:i/>
                      <w:sz w:val="20"/>
                      <w:lang w:eastAsia="lt-LT"/>
                    </w:rPr>
                    <w:t>: įsakymo pakeitimo nuostatos taikomos atsiskaitant už asmens sveikatos priežiūros paslaugas, suteiktas nuo 2023 m. sausio 1 d</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c9c90465d11e5a38cd6cdb94b0c51">
                    <w:r w:rsidRPr="00532B9F">
                      <w:rPr>
                        <w:rFonts w:ascii="Times New Roman" w:eastAsia="MS Mincho" w:hAnsi="Times New Roman"/>
                        <w:sz w:val="20"/>
                        <w:i/>
                        <w:iCs/>
                        <w:color w:val="0000FF" w:themeColor="hyperlink"/>
                        <w:u w:val="single"/>
                      </w:rPr>
                      <w:t>V-990</w:t>
                    </w:r>
                  </w:fldSimple>
                  <w:r>
                    <w:rPr>
                      <w:rFonts w:ascii="Times New Roman" w:eastAsia="MS Mincho" w:hAnsi="Times New Roman"/>
                      <w:sz w:val="20"/>
                      <w:i/>
                      <w:iCs/>
                    </w:rPr>
                    <w:t>,
2015-08-18,
paskelbta TAR 2015-08-19, i. k. 2015-12418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61250a64511ed8df094f359a60216">
                    <w:r w:rsidRPr="00532B9F">
                      <w:rPr>
                        <w:rFonts w:ascii="Times New Roman" w:eastAsia="MS Mincho" w:hAnsi="Times New Roman"/>
                        <w:sz w:val="20"/>
                        <w:i/>
                        <w:iCs/>
                        <w:color w:val="0000FF" w:themeColor="hyperlink"/>
                        <w:u w:val="single"/>
                      </w:rPr>
                      <w:t>V-175</w:t>
                    </w:r>
                  </w:fldSimple>
                  <w:r>
                    <w:rPr>
                      <w:rFonts w:ascii="Times New Roman" w:eastAsia="MS Mincho" w:hAnsi="Times New Roman"/>
                      <w:sz w:val="20"/>
                      <w:i/>
                      <w:iCs/>
                    </w:rPr>
                    <w:t>,
2023-02-06,
paskelbta TAR 2023-02-06, i. k. 2023-02219            </w:t>
                  </w:r>
                </w:p>
                <w:p/>
              </w:sdtContent>
            </w:sdt>
            <w:sdt>
              <w:sdtPr>
                <w:alias w:val="1.19 pp."/>
                <w:tag w:val="part_528ae7131e2a4e32bc501645875cf66f"/>
                <w:lock w:val="sdtLocked"/>
                <w:richText/>
              </w:sdtPr>
              <w:sdtContent>
                <w:p>
                  <w:pPr>
                    <w:tabs>
                      <w:tab w:val="left" w:pos="142"/>
                      <w:tab w:val="left" w:pos="851"/>
                      <w:tab w:val="left" w:pos="993"/>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709"/>
                    <w:jc w:val="both"/>
                    <w:rPr>
                      <w:color w:val="000000"/>
                    </w:rPr>
                  </w:pPr>
                  <w:sdt>
                    <w:sdtPr>
                      <w:alias w:val="Numeris"/>
                      <w:tag w:val="nr_528ae7131e2a4e32bc501645875cf66f"/>
                      <w:lock w:val="sdtLocked"/>
                      <w:richText/>
                    </w:sdtPr>
                    <w:sdtContent>
                      <w:r>
                        <w:rPr>
                          <w:bCs/>
                          <w:szCs w:val="24"/>
                        </w:rPr>
                        <w:t>1.19</w:t>
                      </w:r>
                    </w:sdtContent>
                  </w:sdt>
                  <w:r>
                    <w:rPr>
                      <w:bCs/>
                      <w:szCs w:val="24"/>
                    </w:rPr>
                    <w:t>. Ambulatorinių slaugos ir akušerijos ankstyvosios intervencijos paslaugų šeimoms teikimo reikalavimų tvarkos aprašą (19 priedas).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742710121811efbcbfb318996800a8">
                    <w:r w:rsidRPr="00532B9F">
                      <w:rPr>
                        <w:rFonts w:ascii="Times New Roman" w:eastAsia="MS Mincho" w:hAnsi="Times New Roman"/>
                        <w:sz w:val="20"/>
                        <w:i/>
                        <w:iCs/>
                        <w:color w:val="0000FF" w:themeColor="hyperlink"/>
                        <w:u w:val="single"/>
                      </w:rPr>
                      <w:t>V-530</w:t>
                    </w:r>
                  </w:fldSimple>
                  <w:r>
                    <w:rPr>
                      <w:rFonts w:ascii="Times New Roman" w:eastAsia="MS Mincho" w:hAnsi="Times New Roman"/>
                      <w:sz w:val="20"/>
                      <w:i/>
                      <w:iCs/>
                    </w:rPr>
                    <w:t>,
2024-05-13,
paskelbta TAR 2024-05-15, i. k. 2024-08858        </w:t>
                  </w:r>
                </w:p>
                <w:p/>
              </w:sdtContent>
            </w:sdt>
          </w:sdtContent>
        </w:sdt>
        <w:sdt>
          <w:sdtPr>
            <w:alias w:val="2 p."/>
            <w:tag w:val="part_8e8d287a01464ceb8396cbd92f3b6410"/>
            <w:lock w:val="sdtLocked"/>
            <w:richText/>
          </w:sdtPr>
          <w:sdtContent>
            <w:p>
              <w:pPr>
                <w:widowControl w:val="0"/>
                <w:ind w:firstLine="720"/>
                <w:jc w:val="both"/>
                <w:rPr>
                  <w:color w:val="000000"/>
                </w:rPr>
              </w:pPr>
              <w:sdt>
                <w:sdtPr>
                  <w:alias w:val="Numeris"/>
                  <w:tag w:val="nr_8e8d287a01464ceb8396cbd92f3b6410"/>
                  <w:lock w:val="sdtLocked"/>
                  <w:richText/>
                </w:sdtPr>
                <w:sdtContent>
                  <w:r>
                    <w:rPr>
                      <w:color w:val="000000"/>
                    </w:rPr>
                    <w:t>2</w:t>
                  </w:r>
                </w:sdtContent>
              </w:sdt>
              <w:r>
                <w:rPr>
                  <w:color w:val="000000"/>
                </w:rPr>
                <w:t>. Pavedu:</w:t>
              </w:r>
            </w:p>
            <w:sdt>
              <w:sdtPr>
                <w:alias w:val="2.1 p."/>
                <w:tag w:val="part_ccf28d5ff538449b80667513f8037149"/>
                <w:lock w:val="sdtLocked"/>
                <w:richText/>
              </w:sdtPr>
              <w:sdtContent>
                <w:p>
                  <w:pPr>
                    <w:pStyle w:val="PlainText"/>
                    <w:ind w:firstLine="567"/>
                    <w:jc w:val="both"/>
                    <w:rPr>
                      <w:rFonts w:ascii="Times New Roman" w:hAnsi="Times New Roman"/>
                      <w:b/>
                      <w:bCs/>
                      <w:sz w:val="22"/>
                    </w:rPr>
                  </w:pPr>
                  <w:r>
                    <w:rPr>
                      <w:rFonts w:ascii="Times New Roman" w:hAnsi="Times New Roman"/>
                      <w:sz w:val="22"/>
                    </w:rPr>
                    <w:t>2.1</w:t>
                  </w:r>
                  <w:r>
                    <w:rPr>
                      <w:rFonts w:ascii="Times New Roman" w:hAnsi="Times New Roman"/>
                      <w:sz w:val="22"/>
                    </w:rPr>
                    <w:t>.</w:t>
                  </w:r>
                  <w:r>
                    <w:rPr>
                      <w:rFonts w:ascii="Times New Roman" w:eastAsia="MS Mincho" w:hAnsi="Times New Roman"/>
                      <w:sz w:val="20"/>
                      <w:i/>
                      <w:iCs/>
                    </w:rPr>
                    <w:t xml:space="preserve"> Neteko galios nuo 2009-04-08</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23F49D02CD8">
                    <w:r w:rsidRPr="00532B9F">
                      <w:rPr>
                        <w:rFonts w:ascii="Times New Roman" w:eastAsia="MS Mincho" w:hAnsi="Times New Roman"/>
                        <w:sz w:val="20"/>
                        <w:i/>
                        <w:iCs/>
                        <w:color w:val="0000FF" w:themeColor="hyperlink"/>
                        <w:u w:val="single"/>
                      </w:rPr>
                      <w:t>V-178</w:t>
                    </w:r>
                  </w:fldSimple>
                  <w:r>
                    <w:rPr>
                      <w:rFonts w:ascii="Times New Roman" w:eastAsia="MS Mincho" w:hAnsi="Times New Roman"/>
                      <w:sz w:val="20"/>
                      <w:i/>
                      <w:iCs/>
                    </w:rPr>
                    <w:t>,
2009-03-13,
Žin. 2009,
Nr.
39-1480 (2009-04-07), i. k. 1092250ISAK000V-178        </w:t>
                  </w:r>
                </w:p>
                <w:p/>
              </w:sdtContent>
            </w:sdt>
            <w:sdt>
              <w:sdtPr>
                <w:alias w:val="2.2 p."/>
                <w:tag w:val="part_2e6f7b9fc7c447dd8897db737d79f372"/>
                <w:lock w:val="sdtLocked"/>
                <w:richText/>
              </w:sdtPr>
              <w:sdtContent>
                <w:p>
                  <w:pPr>
                    <w:widowControl w:val="0"/>
                    <w:ind w:firstLine="720"/>
                    <w:jc w:val="both"/>
                    <w:rPr>
                      <w:color w:val="000000"/>
                    </w:rPr>
                  </w:pPr>
                  <w:sdt>
                    <w:sdtPr>
                      <w:alias w:val="Numeris"/>
                      <w:tag w:val="nr_2e6f7b9fc7c447dd8897db737d79f372"/>
                      <w:lock w:val="sdtLocked"/>
                      <w:richText/>
                    </w:sdtPr>
                    <w:sdtContent>
                      <w:r>
                        <w:rPr>
                          <w:color w:val="000000"/>
                        </w:rPr>
                        <w:t>2.2</w:t>
                      </w:r>
                    </w:sdtContent>
                  </w:sdt>
                  <w:r>
                    <w:rPr>
                      <w:color w:val="000000"/>
                    </w:rPr>
                    <w:t>. Asmens sveikatos priežiūros įstaigų vadovams užtikrinti šio įsakymo vykdymą.</w:t>
                  </w:r>
                </w:p>
              </w:sdtContent>
            </w:sdt>
          </w:sdtContent>
        </w:sdt>
        <w:sdt>
          <w:sdtPr>
            <w:alias w:val="3 p."/>
            <w:tag w:val="part_5eba5cb9df4c445f9636e5ac2f0c53ff"/>
            <w:lock w:val="sdtLocked"/>
            <w:richText/>
          </w:sdtPr>
          <w:sdtContent>
            <w:p>
              <w:pPr>
                <w:widowControl w:val="0"/>
                <w:ind w:firstLine="720"/>
                <w:jc w:val="both"/>
                <w:rPr>
                  <w:color w:val="000000"/>
                </w:rPr>
              </w:pPr>
              <w:sdt>
                <w:sdtPr>
                  <w:alias w:val="Numeris"/>
                  <w:tag w:val="nr_5eba5cb9df4c445f9636e5ac2f0c53ff"/>
                  <w:lock w:val="sdtLocked"/>
                  <w:richText/>
                </w:sdtPr>
                <w:sdtContent>
                  <w:r>
                    <w:rPr>
                      <w:color w:val="000000"/>
                    </w:rPr>
                    <w:t>3</w:t>
                  </w:r>
                </w:sdtContent>
              </w:sdt>
              <w:r>
                <w:rPr>
                  <w:color w:val="000000"/>
                </w:rPr>
                <w:t>. Laikau netekusiais galios:</w:t>
              </w:r>
            </w:p>
            <w:sdt>
              <w:sdtPr>
                <w:alias w:val="3.1 p."/>
                <w:tag w:val="part_cab2641df5aa435f9531b8469f01e2a7"/>
                <w:lock w:val="sdtLocked"/>
                <w:richText/>
              </w:sdtPr>
              <w:sdtContent>
                <w:p>
                  <w:pPr>
                    <w:widowControl w:val="0"/>
                    <w:ind w:firstLine="720"/>
                    <w:jc w:val="both"/>
                    <w:rPr>
                      <w:color w:val="000000"/>
                    </w:rPr>
                  </w:pPr>
                  <w:sdt>
                    <w:sdtPr>
                      <w:alias w:val="Numeris"/>
                      <w:tag w:val="nr_cab2641df5aa435f9531b8469f01e2a7"/>
                      <w:lock w:val="sdtLocked"/>
                      <w:richText/>
                    </w:sdtPr>
                    <w:sdtContent>
                      <w:r>
                        <w:rPr>
                          <w:color w:val="000000"/>
                        </w:rPr>
                        <w:t>3.1</w:t>
                      </w:r>
                    </w:sdtContent>
                  </w:sdt>
                  <w:r>
                    <w:rPr>
                      <w:color w:val="000000"/>
                    </w:rPr>
                    <w:t>. Sveikatos apsaugos ministerijos 1992 04 21 įsakymą Nr. 144 „Dėl gyventojų sveikatos tikrinimo tvarkos“;</w:t>
                  </w:r>
                </w:p>
              </w:sdtContent>
            </w:sdt>
            <w:sdt>
              <w:sdtPr>
                <w:alias w:val="3.2 p."/>
                <w:tag w:val="part_08da52363d954ffab7a36b64022f328c"/>
                <w:lock w:val="sdtLocked"/>
                <w:richText/>
              </w:sdtPr>
              <w:sdtContent>
                <w:p>
                  <w:pPr>
                    <w:widowControl w:val="0"/>
                    <w:ind w:firstLine="720"/>
                    <w:jc w:val="both"/>
                    <w:rPr>
                      <w:color w:val="000000"/>
                    </w:rPr>
                  </w:pPr>
                  <w:sdt>
                    <w:sdtPr>
                      <w:alias w:val="Numeris"/>
                      <w:tag w:val="nr_08da52363d954ffab7a36b64022f328c"/>
                      <w:lock w:val="sdtLocked"/>
                      <w:richText/>
                    </w:sdtPr>
                    <w:sdtContent>
                      <w:r>
                        <w:rPr>
                          <w:color w:val="000000"/>
                        </w:rPr>
                        <w:t>3.2</w:t>
                      </w:r>
                    </w:sdtContent>
                  </w:sdt>
                  <w:r>
                    <w:rPr>
                      <w:color w:val="000000"/>
                    </w:rPr>
                    <w:t xml:space="preserve">. Sveikatos apsaugos ministerijos 1994 12 13 įsakymą Nr. 432 „Dėl 1992 04 21 įsakymo Nr. 144 „Dėl gyventojų sveikatos tikrinimo tvarkos papildymo“ (Žin., 1994, Nr. </w:t>
                  </w:r>
                  <w:hyperlink r:id="rId12" w:tgtFrame="_blank" w:history="1">
                    <w:r>
                      <w:rPr>
                        <w:color w:val="0000FF" w:themeColor="hyperlink"/>
                        <w:u w:val="single"/>
                      </w:rPr>
                      <w:t>99-1992</w:t>
                    </w:r>
                  </w:hyperlink>
                  <w:r>
                    <w:rPr>
                      <w:color w:val="000000"/>
                    </w:rPr>
                    <w:t>);</w:t>
                  </w:r>
                </w:p>
              </w:sdtContent>
            </w:sdt>
            <w:sdt>
              <w:sdtPr>
                <w:alias w:val="3.3 p."/>
                <w:tag w:val="part_19e4ec4ec81c4821ab0ef5af4024e408"/>
                <w:lock w:val="sdtLocked"/>
                <w:richText/>
              </w:sdtPr>
              <w:sdtContent>
                <w:p>
                  <w:pPr>
                    <w:widowControl w:val="0"/>
                    <w:ind w:firstLine="720"/>
                    <w:jc w:val="both"/>
                    <w:rPr>
                      <w:color w:val="000000"/>
                    </w:rPr>
                  </w:pPr>
                  <w:sdt>
                    <w:sdtPr>
                      <w:alias w:val="Numeris"/>
                      <w:tag w:val="nr_19e4ec4ec81c4821ab0ef5af4024e408"/>
                      <w:lock w:val="sdtLocked"/>
                      <w:richText/>
                    </w:sdtPr>
                    <w:sdtContent>
                      <w:r>
                        <w:rPr>
                          <w:color w:val="000000"/>
                        </w:rPr>
                        <w:t>3.3</w:t>
                      </w:r>
                    </w:sdtContent>
                  </w:sdt>
                  <w:r>
                    <w:rPr>
                      <w:color w:val="000000"/>
                    </w:rPr>
                    <w:t xml:space="preserve">. Sveikatos apsaugos ministerijos 1996 03 05 įsakymą Nr. 131 „Dėl asmenų, dirbančių kenksmingomis ir pavojingomis sąlygomis, privalomo sveikatos tikrinimo ir apmokėjimo tvarkos patvirtinimo“ (Žin., 1996, Nr. </w:t>
                  </w:r>
                  <w:hyperlink r:id="rId13" w:tgtFrame="_blank" w:history="1">
                    <w:r>
                      <w:rPr>
                        <w:color w:val="0000FF" w:themeColor="hyperlink"/>
                        <w:u w:val="single"/>
                      </w:rPr>
                      <w:t>23-613</w:t>
                    </w:r>
                  </w:hyperlink>
                  <w:r>
                    <w:rPr>
                      <w:color w:val="000000"/>
                    </w:rPr>
                    <w:t>);</w:t>
                  </w:r>
                </w:p>
              </w:sdtContent>
            </w:sdt>
            <w:sdt>
              <w:sdtPr>
                <w:alias w:val="3.4 p."/>
                <w:tag w:val="part_38f3df114b9346ccba005ba5d67dd756"/>
                <w:lock w:val="sdtLocked"/>
                <w:richText/>
              </w:sdtPr>
              <w:sdtContent>
                <w:p>
                  <w:pPr>
                    <w:widowControl w:val="0"/>
                    <w:ind w:firstLine="720"/>
                    <w:jc w:val="both"/>
                    <w:rPr>
                      <w:color w:val="000000"/>
                    </w:rPr>
                  </w:pPr>
                  <w:sdt>
                    <w:sdtPr>
                      <w:alias w:val="Numeris"/>
                      <w:tag w:val="nr_38f3df114b9346ccba005ba5d67dd756"/>
                      <w:lock w:val="sdtLocked"/>
                      <w:richText/>
                    </w:sdtPr>
                    <w:sdtContent>
                      <w:r>
                        <w:rPr>
                          <w:color w:val="000000"/>
                        </w:rPr>
                        <w:t>3.4</w:t>
                      </w:r>
                    </w:sdtContent>
                  </w:sdt>
                  <w:r>
                    <w:rPr>
                      <w:color w:val="000000"/>
                    </w:rPr>
                    <w:t>. Sveikatos apsaugos ministerijos 1995 05 16 įsakymą Nr. 260 „Dėl valdininkų sveikatos patikrinimo“;</w:t>
                  </w:r>
                </w:p>
              </w:sdtContent>
            </w:sdt>
            <w:sdt>
              <w:sdtPr>
                <w:alias w:val="3.5 p."/>
                <w:tag w:val="part_fa037338bcd34773947d5b25c05c3035"/>
                <w:lock w:val="sdtLocked"/>
                <w:richText/>
              </w:sdtPr>
              <w:sdtContent>
                <w:p>
                  <w:pPr>
                    <w:widowControl w:val="0"/>
                    <w:ind w:firstLine="720"/>
                    <w:jc w:val="both"/>
                    <w:rPr>
                      <w:color w:val="000000"/>
                    </w:rPr>
                  </w:pPr>
                  <w:sdt>
                    <w:sdtPr>
                      <w:alias w:val="Numeris"/>
                      <w:tag w:val="nr_fa037338bcd34773947d5b25c05c3035"/>
                      <w:lock w:val="sdtLocked"/>
                      <w:richText/>
                    </w:sdtPr>
                    <w:sdtContent>
                      <w:r>
                        <w:rPr>
                          <w:color w:val="000000"/>
                        </w:rPr>
                        <w:t>3.5</w:t>
                      </w:r>
                    </w:sdtContent>
                  </w:sdt>
                  <w:r>
                    <w:rPr>
                      <w:color w:val="000000"/>
                    </w:rPr>
                    <w:t xml:space="preserve">. Sveikatos apsaugos ministerijos ir Kūno kultūros ir sporto departamento prie Lietuvos Respublikos Vyriausybės 1996 06 12 įsakymą „Dėl sportuojančių asmenų sveikatos priežiūros ir medicinos priežiūros sporto renginių metu tvarkos patvirtinimo“ (Žin.,1996, Nr. </w:t>
                  </w:r>
                  <w:hyperlink r:id="rId14" w:tgtFrame="_blank" w:history="1">
                    <w:r>
                      <w:rPr>
                        <w:color w:val="0000FF" w:themeColor="hyperlink"/>
                        <w:u w:val="single"/>
                      </w:rPr>
                      <w:t>57-1368</w:t>
                    </w:r>
                  </w:hyperlink>
                  <w:r>
                    <w:rPr>
                      <w:color w:val="000000"/>
                    </w:rPr>
                    <w:t>);</w:t>
                  </w:r>
                </w:p>
              </w:sdtContent>
            </w:sdt>
            <w:sdt>
              <w:sdtPr>
                <w:alias w:val="3.6 p."/>
                <w:tag w:val="part_9888991eb24e45d684529e1ef8b9836d"/>
                <w:lock w:val="sdtLocked"/>
                <w:richText/>
              </w:sdtPr>
              <w:sdtContent>
                <w:p>
                  <w:pPr>
                    <w:widowControl w:val="0"/>
                    <w:ind w:firstLine="720"/>
                    <w:jc w:val="both"/>
                    <w:rPr>
                      <w:color w:val="000000"/>
                    </w:rPr>
                  </w:pPr>
                  <w:sdt>
                    <w:sdtPr>
                      <w:alias w:val="Numeris"/>
                      <w:tag w:val="nr_9888991eb24e45d684529e1ef8b9836d"/>
                      <w:lock w:val="sdtLocked"/>
                      <w:richText/>
                    </w:sdtPr>
                    <w:sdtContent>
                      <w:r>
                        <w:rPr>
                          <w:color w:val="000000"/>
                        </w:rPr>
                        <w:t>3.6</w:t>
                      </w:r>
                    </w:sdtContent>
                  </w:sdt>
                  <w:r>
                    <w:rPr>
                      <w:color w:val="000000"/>
                    </w:rPr>
                    <w:t xml:space="preserve">. Sveikatos apsaugos ministerijos 1996 10 28 įsakymą Nr. 541 „Dėl 1992 04 21 sveikatos apsaugos ministerijos įsakymo Nr. 144 „Dėl gyventojų sveikatos tikrinimo tvarkos“ 2 priedo ir 4 priedo 3 skyriaus pakeitimo“ (Žin., 1996, Nr. </w:t>
                  </w:r>
                  <w:hyperlink r:id="rId15" w:tgtFrame="_blank" w:history="1">
                    <w:r>
                      <w:rPr>
                        <w:color w:val="0000FF" w:themeColor="hyperlink"/>
                        <w:u w:val="single"/>
                      </w:rPr>
                      <w:t>109-2493</w:t>
                    </w:r>
                  </w:hyperlink>
                  <w:r>
                    <w:rPr>
                      <w:color w:val="000000"/>
                    </w:rPr>
                    <w:t>);</w:t>
                  </w:r>
                </w:p>
              </w:sdtContent>
            </w:sdt>
            <w:sdt>
              <w:sdtPr>
                <w:alias w:val="3.7 p."/>
                <w:tag w:val="part_4530bff5e35641528a39d447bfab03ed"/>
                <w:lock w:val="sdtLocked"/>
                <w:richText/>
              </w:sdtPr>
              <w:sdtContent>
                <w:p>
                  <w:pPr>
                    <w:widowControl w:val="0"/>
                    <w:ind w:firstLine="720"/>
                    <w:jc w:val="both"/>
                    <w:rPr>
                      <w:color w:val="000000"/>
                    </w:rPr>
                  </w:pPr>
                  <w:sdt>
                    <w:sdtPr>
                      <w:alias w:val="Numeris"/>
                      <w:tag w:val="nr_4530bff5e35641528a39d447bfab03ed"/>
                      <w:lock w:val="sdtLocked"/>
                      <w:richText/>
                    </w:sdtPr>
                    <w:sdtContent>
                      <w:r>
                        <w:rPr>
                          <w:color w:val="000000"/>
                        </w:rPr>
                        <w:t>3.7</w:t>
                      </w:r>
                    </w:sdtContent>
                  </w:sdt>
                  <w:r>
                    <w:rPr>
                      <w:color w:val="000000"/>
                    </w:rPr>
                    <w:t xml:space="preserve">. Sveikatos apsaugos ministerijos 1996 10 29 įsakymą Nr. 544 „Dėl Privalomojo sveikatos draudimo tarybos nustatytų draudžiamųjų sveikatos profilaktinių tikrinimų tvarkos“ (Žin., 1996, Nr. </w:t>
                  </w:r>
                  <w:hyperlink r:id="rId16" w:tgtFrame="_blank" w:history="1">
                    <w:r>
                      <w:rPr>
                        <w:color w:val="0000FF" w:themeColor="hyperlink"/>
                        <w:u w:val="single"/>
                      </w:rPr>
                      <w:t>109-2494</w:t>
                    </w:r>
                  </w:hyperlink>
                  <w:r>
                    <w:rPr>
                      <w:color w:val="000000"/>
                    </w:rPr>
                    <w:t>);</w:t>
                  </w:r>
                </w:p>
              </w:sdtContent>
            </w:sdt>
            <w:sdt>
              <w:sdtPr>
                <w:alias w:val="3.8 p."/>
                <w:tag w:val="part_b7ecf5c4981f4e4d90746a358ecdf685"/>
                <w:lock w:val="sdtLocked"/>
                <w:richText/>
              </w:sdtPr>
              <w:sdtContent>
                <w:p>
                  <w:pPr>
                    <w:widowControl w:val="0"/>
                    <w:ind w:firstLine="720"/>
                    <w:jc w:val="both"/>
                    <w:rPr>
                      <w:color w:val="000000"/>
                    </w:rPr>
                  </w:pPr>
                  <w:sdt>
                    <w:sdtPr>
                      <w:alias w:val="Numeris"/>
                      <w:tag w:val="nr_b7ecf5c4981f4e4d90746a358ecdf685"/>
                      <w:lock w:val="sdtLocked"/>
                      <w:richText/>
                    </w:sdtPr>
                    <w:sdtContent>
                      <w:r>
                        <w:rPr>
                          <w:color w:val="000000"/>
                        </w:rPr>
                        <w:t>3.8</w:t>
                      </w:r>
                    </w:sdtContent>
                  </w:sdt>
                  <w:r>
                    <w:rPr>
                      <w:color w:val="000000"/>
                    </w:rPr>
                    <w:t>. Sveikatos apsaugos ministerijos 1996 11 14 įsakymą Nr. 575 „Dėl ketinančiųjų susituokti sveikatos tikrinimo tvarkos“;</w:t>
                  </w:r>
                </w:p>
              </w:sdtContent>
            </w:sdt>
            <w:sdt>
              <w:sdtPr>
                <w:alias w:val="3.9 p."/>
                <w:tag w:val="part_1d51b9fac74b45d2866c17b1b95aadfe"/>
                <w:lock w:val="sdtLocked"/>
                <w:richText/>
              </w:sdtPr>
              <w:sdtContent>
                <w:p>
                  <w:pPr>
                    <w:widowControl w:val="0"/>
                    <w:ind w:firstLine="720"/>
                    <w:jc w:val="both"/>
                    <w:rPr>
                      <w:color w:val="000000"/>
                    </w:rPr>
                  </w:pPr>
                  <w:sdt>
                    <w:sdtPr>
                      <w:alias w:val="Numeris"/>
                      <w:tag w:val="nr_1d51b9fac74b45d2866c17b1b95aadfe"/>
                      <w:lock w:val="sdtLocked"/>
                      <w:richText/>
                    </w:sdtPr>
                    <w:sdtContent>
                      <w:r>
                        <w:rPr>
                          <w:color w:val="000000"/>
                        </w:rPr>
                        <w:t>3.9</w:t>
                      </w:r>
                    </w:sdtContent>
                  </w:sdt>
                  <w:r>
                    <w:rPr>
                      <w:color w:val="000000"/>
                    </w:rPr>
                    <w:t xml:space="preserve">. sveikatos apsaugos ministro 1998 01 30 įsakymą Nr. 55 „Dėl Sveikatos apsaugos ministerijos 1992 04 21 įsakymo Nr. 144 „Dėl gyventojų sveikatos tikrinimo tvarkos“ 10 priedo pakeitimo“ (Žin., 1998, Nr. </w:t>
                  </w:r>
                  <w:hyperlink r:id="rId17" w:tgtFrame="_blank" w:history="1">
                    <w:r>
                      <w:rPr>
                        <w:color w:val="0000FF" w:themeColor="hyperlink"/>
                        <w:u w:val="single"/>
                      </w:rPr>
                      <w:t>20-526</w:t>
                    </w:r>
                  </w:hyperlink>
                  <w:r>
                    <w:rPr>
                      <w:color w:val="000000"/>
                    </w:rPr>
                    <w:t>);</w:t>
                  </w:r>
                </w:p>
              </w:sdtContent>
            </w:sdt>
            <w:sdt>
              <w:sdtPr>
                <w:alias w:val="3.10 p."/>
                <w:tag w:val="part_4236926cdf20470bac16c8c7b84aae08"/>
                <w:lock w:val="sdtLocked"/>
                <w:richText/>
              </w:sdtPr>
              <w:sdtContent>
                <w:p>
                  <w:pPr>
                    <w:widowControl w:val="0"/>
                    <w:ind w:firstLine="720"/>
                    <w:jc w:val="both"/>
                    <w:rPr>
                      <w:color w:val="000000"/>
                    </w:rPr>
                  </w:pPr>
                  <w:sdt>
                    <w:sdtPr>
                      <w:alias w:val="Numeris"/>
                      <w:tag w:val="nr_4236926cdf20470bac16c8c7b84aae08"/>
                      <w:lock w:val="sdtLocked"/>
                      <w:richText/>
                    </w:sdtPr>
                    <w:sdtContent>
                      <w:r>
                        <w:rPr>
                          <w:color w:val="000000"/>
                        </w:rPr>
                        <w:t>3.10</w:t>
                      </w:r>
                    </w:sdtContent>
                  </w:sdt>
                  <w:r>
                    <w:rPr>
                      <w:color w:val="000000"/>
                    </w:rPr>
                    <w:t>. sveikatos apsaugos ministro 1999 03 18 įsakymą Nr. 125 „Dėl Sveikatos apsaugos ministerijos 1998 01 30 įsakymo Nr. 55 „Dėl Sveikatos apsaugos ministerijos 1992 04 21 įsakymo Nr. 144 „Dėl gyventojų sveikatos tikrinimo tvarkos“ 10 priedo pakeitimo“ dalinio pakeitimo“.</w:t>
                  </w:r>
                </w:p>
              </w:sdtContent>
            </w:sdt>
          </w:sdtContent>
        </w:sdt>
        <w:sdt>
          <w:sdtPr>
            <w:alias w:val="4 p."/>
            <w:tag w:val="part_8c79cbd4d6cc4ea99bb9f2812157b427"/>
            <w:lock w:val="sdtLocked"/>
            <w:richText/>
          </w:sdtPr>
          <w:sdtContent>
            <w:p>
              <w:pPr>
                <w:widowControl w:val="0"/>
                <w:suppressAutoHyphens/>
                <w:ind w:firstLine="709"/>
                <w:jc w:val="both"/>
                <w:rPr>
                  <w:color w:val="000000"/>
                </w:rPr>
              </w:pPr>
              <w:sdt>
                <w:sdtPr>
                  <w:alias w:val="Numeris"/>
                  <w:tag w:val="nr_8c79cbd4d6cc4ea99bb9f2812157b427"/>
                  <w:lock w:val="sdtLocked"/>
                  <w:richText/>
                </w:sdtPr>
                <w:sdtContent>
                  <w:r>
                    <w:rPr>
                      <w:color w:val="000000"/>
                    </w:rPr>
                    <w:t>4</w:t>
                  </w:r>
                </w:sdtContent>
              </w:sdt>
              <w:r>
                <w:rPr>
                  <w:color w:val="000000"/>
                </w:rPr>
                <w:t>. P a v e d u įsakymo vykdymą kontroliuoti viceministrui pagal administruojamą sritį.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CD069E8FA43">
                <w:r w:rsidRPr="00532B9F">
                  <w:rPr>
                    <w:rFonts w:ascii="Times New Roman" w:eastAsia="MS Mincho" w:hAnsi="Times New Roman"/>
                    <w:sz w:val="20"/>
                    <w:i/>
                    <w:iCs/>
                    <w:color w:val="0000FF" w:themeColor="hyperlink"/>
                    <w:u w:val="single"/>
                  </w:rPr>
                  <w:t>V-1072</w:t>
                </w:r>
              </w:fldSimple>
              <w:r>
                <w:rPr>
                  <w:rFonts w:ascii="Times New Roman" w:eastAsia="MS Mincho" w:hAnsi="Times New Roman"/>
                  <w:sz w:val="20"/>
                  <w:i/>
                  <w:iCs/>
                </w:rPr>
                <w:t>,
2009-12-29,
Žin., 2010, Nr.
4-163 (2010-01-12), i. k. 1092250ISAK00V-1072            </w:t>
              </w:r>
            </w:p>
            <w:p/>
          </w:sdtContent>
        </w:sdt>
        <w:sdt>
          <w:sdtPr>
            <w:alias w:val="signatura"/>
            <w:tag w:val="part_119eefcaf33143279c922cdc85f223e0"/>
            <w:lock w:val="sdtLocked"/>
            <w:richText/>
          </w:sdtPr>
          <w:sdtContent>
            <w:p>
              <w:pPr>
                <w:tabs>
                  <w:tab w:val="right" w:pos="9639"/>
                </w:tabs>
              </w:pPr>
            </w:p>
            <w:p>
              <w:pPr>
                <w:tabs>
                  <w:tab w:val="right" w:pos="9639"/>
                </w:tabs>
              </w:pPr>
            </w:p>
            <w:p>
              <w:pPr>
                <w:tabs>
                  <w:tab w:val="right" w:pos="9639"/>
                </w:tabs>
              </w:pPr>
            </w:p>
            <w:p>
              <w:pPr>
                <w:tabs>
                  <w:tab w:val="right" w:pos="9639"/>
                </w:tabs>
                <w:rPr>
                  <w:color w:val="000000"/>
                </w:rPr>
              </w:pPr>
              <w:r>
                <w:t>SVEIKATOS APSAUGOS MINISTRAS</w:t>
                <w:tab/>
                <w:t>RAIMUNDAS ALEKNA</w:t>
              </w:r>
            </w:p>
          </w:sdtContent>
        </w:sdt>
      </w:sdtContent>
    </w:sdt>
    <w:sdt>
      <w:sdtPr>
        <w:alias w:val="1 pr."/>
        <w:tag w:val="part_3c9850e5f534484c8de336fc1a1f85a9"/>
        <w:lock w:val="sdtLocked"/>
        <w:richText/>
      </w:sdtPr>
      <w:sdtContent>
        <w:p>
          <w:pPr>
            <w:tabs>
              <w:tab w:val="left" w:pos="1304"/>
              <w:tab w:val="left" w:pos="1457"/>
              <w:tab w:val="left" w:pos="1604"/>
              <w:tab w:val="left" w:pos="1757"/>
            </w:tabs>
            <w:ind w:left="5102"/>
            <w:sectPr>
              <w:headerReference w:type="even" r:id="rId18"/>
              <w:headerReference w:type="default" r:id="rId19"/>
              <w:footerReference w:type="even" r:id="rId20"/>
              <w:footerReference w:type="default" r:id="rId21"/>
              <w:headerReference w:type="first" r:id="rId22"/>
              <w:footerReference w:type="first" r:id="rId23"/>
              <w:pgSz w:w="11907" w:h="16840" w:code="9"/>
              <w:pgMar w:top="1134" w:right="1134" w:bottom="1134" w:left="1701" w:header="709" w:footer="709" w:gutter="0"/>
              <w:cols w:space="708"/>
              <w:titlePg/>
              <w:docGrid w:linePitch="326"/>
            </w:sectPr>
          </w:pPr>
        </w:p>
        <w:p>
          <w:pPr>
            <w:tabs>
              <w:tab w:val="left" w:pos="1304"/>
              <w:tab w:val="left" w:pos="1457"/>
              <w:tab w:val="left" w:pos="1604"/>
              <w:tab w:val="left" w:pos="1757"/>
            </w:tabs>
            <w:ind w:left="5102"/>
            <w:rPr>
              <w:color w:val="000000"/>
            </w:rPr>
          </w:pPr>
          <w:r>
            <w:rPr>
              <w:color w:val="000000"/>
            </w:rPr>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widowControl w:val="0"/>
            <w:tabs>
              <w:tab w:val="left" w:pos="6253"/>
            </w:tabs>
            <w:ind w:left="5462"/>
            <w:rPr>
              <w:color w:val="000000"/>
            </w:rPr>
          </w:pPr>
        </w:p>
        <w:p>
          <w:pPr>
            <w:tabs>
              <w:tab w:val="left" w:pos="1304"/>
              <w:tab w:val="left" w:pos="1457"/>
              <w:tab w:val="left" w:pos="1604"/>
              <w:tab w:val="left" w:pos="1757"/>
            </w:tabs>
            <w:ind w:left="5102"/>
            <w:rPr>
              <w:color w:val="000000"/>
            </w:rPr>
          </w:pPr>
          <w:sdt>
            <w:sdtPr>
              <w:alias w:val="Numeris"/>
              <w:tag w:val="nr_3c9850e5f534484c8de336fc1a1f85a9"/>
              <w:lock w:val="sdtLocked"/>
              <w:richText/>
            </w:sdtPr>
            <w:sdtContent>
              <w:r>
                <w:rPr>
                  <w:color w:val="000000"/>
                </w:rPr>
                <w:t>1</w:t>
              </w:r>
            </w:sdtContent>
          </w:sdt>
          <w:r>
            <w:rPr>
              <w:color w:val="000000"/>
            </w:rPr>
            <w:t xml:space="preserve"> priedas</w:t>
          </w:r>
        </w:p>
        <w:p>
          <w:pPr>
            <w:widowControl w:val="0"/>
            <w:ind w:left="1069"/>
            <w:jc w:val="both"/>
            <w:rPr>
              <w:color w:val="000000"/>
            </w:rPr>
          </w:pPr>
        </w:p>
        <w:p>
          <w:pPr>
            <w:jc w:val="center"/>
            <w:rPr>
              <w:b/>
              <w:caps/>
              <w:color w:val="000000"/>
            </w:rPr>
          </w:pPr>
          <w:sdt>
            <w:sdtPr>
              <w:alias w:val="Pavadinimas"/>
              <w:tag w:val="title_3c9850e5f534484c8de336fc1a1f85a9"/>
              <w:lock w:val="sdtLocked"/>
              <w:richText/>
            </w:sdtPr>
            <w:sdtContent>
              <w:r>
                <w:rPr>
                  <w:b/>
                  <w:caps/>
                  <w:color w:val="000000"/>
                </w:rPr>
                <w:t>PROFILAKTINIŲ SVEIKATOS TIKRINIMŲ RŪŠYS IR APMOKĖJIMO TVARKA</w:t>
              </w:r>
            </w:sdtContent>
          </w:sdt>
        </w:p>
        <w:p>
          <w:pPr>
            <w:widowControl w:val="0"/>
            <w:tabs>
              <w:tab w:val="left" w:pos="6253"/>
            </w:tabs>
            <w:ind w:left="1069"/>
            <w:jc w:val="both"/>
            <w:rPr>
              <w:color w:val="000000"/>
            </w:rPr>
          </w:pPr>
        </w:p>
        <w:sdt>
          <w:sdtPr>
            <w:alias w:val="skyrius"/>
            <w:tag w:val="part_58256caa98574452ae9eada2489d6dca"/>
            <w:lock w:val="sdtLocked"/>
            <w:richText/>
          </w:sdtPr>
          <w:sdtContent>
            <w:p>
              <w:pPr>
                <w:jc w:val="center"/>
                <w:rPr>
                  <w:b/>
                  <w:caps/>
                  <w:color w:val="000000"/>
                </w:rPr>
              </w:pPr>
              <w:sdt>
                <w:sdtPr>
                  <w:alias w:val="Numeris"/>
                  <w:tag w:val="nr_58256caa98574452ae9eada2489d6dca"/>
                  <w:lock w:val="sdtLocked"/>
                  <w:richText/>
                </w:sdtPr>
                <w:sdtContent>
                  <w:r>
                    <w:rPr>
                      <w:b/>
                      <w:caps/>
                      <w:color w:val="000000"/>
                    </w:rPr>
                    <w:t>I</w:t>
                  </w:r>
                </w:sdtContent>
              </w:sdt>
              <w:r>
                <w:rPr>
                  <w:b/>
                  <w:caps/>
                  <w:color w:val="000000"/>
                </w:rPr>
                <w:t xml:space="preserve">. </w:t>
              </w:r>
              <w:sdt>
                <w:sdtPr>
                  <w:alias w:val="Pavadinimas"/>
                  <w:tag w:val="title_58256caa98574452ae9eada2489d6dca"/>
                  <w:lock w:val="sdtLocked"/>
                  <w:richText/>
                </w:sdtPr>
                <w:sdtContent>
                  <w:r>
                    <w:rPr>
                      <w:b/>
                      <w:caps/>
                      <w:color w:val="000000"/>
                    </w:rPr>
                    <w:t>PROFILAKTINIŲ SVEIKATOS TIKRINIMŲ RŪŠYS</w:t>
                  </w:r>
                </w:sdtContent>
              </w:sdt>
            </w:p>
            <w:p>
              <w:pPr>
                <w:widowControl w:val="0"/>
                <w:tabs>
                  <w:tab w:val="left" w:pos="6253"/>
                </w:tabs>
                <w:ind w:left="1069"/>
                <w:jc w:val="both"/>
                <w:rPr>
                  <w:color w:val="000000"/>
                </w:rPr>
              </w:pPr>
            </w:p>
            <w:sdt>
              <w:sdtPr>
                <w:alias w:val="1 pr. 1 p."/>
                <w:tag w:val="part_f77d9f8e4c844d3aa3796dddc2ed25e8"/>
                <w:lock w:val="sdtLocked"/>
                <w:richText/>
              </w:sdtPr>
              <w:sdtContent>
                <w:p>
                  <w:pPr>
                    <w:widowControl w:val="0"/>
                    <w:ind w:firstLine="720"/>
                    <w:jc w:val="both"/>
                    <w:rPr>
                      <w:color w:val="000000"/>
                    </w:rPr>
                  </w:pPr>
                  <w:sdt>
                    <w:sdtPr>
                      <w:alias w:val="Numeris"/>
                      <w:tag w:val="nr_f77d9f8e4c844d3aa3796dddc2ed25e8"/>
                      <w:lock w:val="sdtLocked"/>
                      <w:richText/>
                    </w:sdtPr>
                    <w:sdtContent>
                      <w:r>
                        <w:rPr>
                          <w:color w:val="000000"/>
                        </w:rPr>
                        <w:t>1</w:t>
                      </w:r>
                    </w:sdtContent>
                  </w:sdt>
                  <w:r>
                    <w:rPr>
                      <w:color w:val="000000"/>
                    </w:rPr>
                    <w:t>. Profilaktiniai sveikatos tikrinimai:</w:t>
                  </w:r>
                </w:p>
                <w:sdt>
                  <w:sdtPr>
                    <w:alias w:val="1 pr. 1.1 p."/>
                    <w:tag w:val="part_f76e00e4df9b4a45a6bc48ee574d7c43"/>
                    <w:lock w:val="sdtLocked"/>
                    <w:richText/>
                  </w:sdtPr>
                  <w:sdtContent>
                    <w:p>
                      <w:pPr>
                        <w:widowControl w:val="0"/>
                        <w:ind w:firstLine="720"/>
                        <w:jc w:val="both"/>
                        <w:rPr>
                          <w:color w:val="000000"/>
                        </w:rPr>
                      </w:pPr>
                      <w:sdt>
                        <w:sdtPr>
                          <w:alias w:val="Numeris"/>
                          <w:tag w:val="nr_f76e00e4df9b4a45a6bc48ee574d7c43"/>
                          <w:lock w:val="sdtLocked"/>
                          <w:richText/>
                        </w:sdtPr>
                        <w:sdtContent>
                          <w:r>
                            <w:rPr>
                              <w:color w:val="000000"/>
                            </w:rPr>
                            <w:t>1.1</w:t>
                          </w:r>
                        </w:sdtContent>
                      </w:sdt>
                      <w:r>
                        <w:rPr>
                          <w:color w:val="000000"/>
                        </w:rPr>
                        <w:t>. nėščiųjų ir motinų, iki vaikui sukaks vieneri metai (2 priedas);</w:t>
                      </w:r>
                    </w:p>
                  </w:sdtContent>
                </w:sdt>
                <w:sdt>
                  <w:sdtPr>
                    <w:alias w:val="1 pr. 1.2 p."/>
                    <w:tag w:val="part_682b3a33a62a41e7970732757e845b61"/>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709"/>
                        <w:jc w:val="both"/>
                        <w:rPr>
                          <w:color w:val="000000"/>
                        </w:rPr>
                      </w:pPr>
                      <w:sdt>
                        <w:sdtPr>
                          <w:alias w:val="Numeris"/>
                          <w:tag w:val="nr_682b3a33a62a41e7970732757e845b61"/>
                          <w:lock w:val="sdtLocked"/>
                          <w:richText/>
                        </w:sdtPr>
                        <w:sdtContent>
                          <w:r>
                            <w:rPr>
                              <w:color w:val="000000"/>
                              <w:szCs w:val="24"/>
                              <w:lang w:eastAsia="lt-LT"/>
                            </w:rPr>
                            <w:t>1.2</w:t>
                          </w:r>
                        </w:sdtContent>
                      </w:sdt>
                      <w:r>
                        <w:rPr>
                          <w:color w:val="000000"/>
                          <w:szCs w:val="24"/>
                          <w:lang w:eastAsia="lt-LT"/>
                        </w:rPr>
                        <w:t xml:space="preserve"> vaikų </w:t>
                      </w:r>
                      <w:r>
                        <w:rPr>
                          <w:bCs/>
                          <w:szCs w:val="24"/>
                        </w:rPr>
                        <w:t>ir pilnamečių mokinių, ugdomų pagal bendrojo ugdymo programas</w:t>
                      </w:r>
                      <w:r>
                        <w:rPr>
                          <w:color w:val="000000"/>
                          <w:szCs w:val="24"/>
                          <w:lang w:eastAsia="lt-LT"/>
                        </w:rPr>
                        <w:t xml:space="preserve"> (3 priedas);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BACCBFCF39B">
                        <w:r w:rsidRPr="00532B9F">
                          <w:rPr>
                            <w:rFonts w:ascii="Times New Roman" w:eastAsia="MS Mincho" w:hAnsi="Times New Roman"/>
                            <w:sz w:val="20"/>
                            <w:i/>
                            <w:iCs/>
                            <w:color w:val="0000FF" w:themeColor="hyperlink"/>
                            <w:u w:val="single"/>
                          </w:rPr>
                          <w:t>V-586</w:t>
                        </w:r>
                      </w:fldSimple>
                      <w:r>
                        <w:rPr>
                          <w:rFonts w:ascii="Times New Roman" w:eastAsia="MS Mincho" w:hAnsi="Times New Roman"/>
                          <w:sz w:val="20"/>
                          <w:i/>
                          <w:iCs/>
                        </w:rPr>
                        <w:t>,
2010-06-18,
Žin., 2010, Nr.
74-3769 (2010-06-26), i. k. 1102250ISAK000V-586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595bc076f111e9b81587fcbd5a76f6">
                        <w:r w:rsidRPr="00532B9F">
                          <w:rPr>
                            <w:rFonts w:ascii="Times New Roman" w:eastAsia="MS Mincho" w:hAnsi="Times New Roman"/>
                            <w:sz w:val="20"/>
                            <w:i/>
                            <w:iCs/>
                            <w:color w:val="0000FF" w:themeColor="hyperlink"/>
                            <w:u w:val="single"/>
                          </w:rPr>
                          <w:t>V-566</w:t>
                        </w:r>
                      </w:fldSimple>
                      <w:r>
                        <w:rPr>
                          <w:rFonts w:ascii="Times New Roman" w:eastAsia="MS Mincho" w:hAnsi="Times New Roman"/>
                          <w:sz w:val="20"/>
                          <w:i/>
                          <w:iCs/>
                        </w:rPr>
                        <w:t>,
2019-05-14,
paskelbta TAR 2019-05-15, i. k. 2019-07703            </w:t>
                      </w:r>
                    </w:p>
                    <w:p/>
                  </w:sdtContent>
                </w:sdt>
                <w:sdt>
                  <w:sdtPr>
                    <w:alias w:val="1 pr. 1.3 p."/>
                    <w:tag w:val="part_574158a02cd54146b636cfb95c2aa311"/>
                    <w:lock w:val="sdtLocked"/>
                    <w:richText/>
                  </w:sdtPr>
                  <w:sdtContent>
                    <w:p>
                      <w:pPr>
                        <w:widowControl w:val="0"/>
                        <w:ind w:firstLine="720"/>
                        <w:jc w:val="both"/>
                        <w:rPr>
                          <w:color w:val="000000"/>
                        </w:rPr>
                      </w:pPr>
                      <w:sdt>
                        <w:sdtPr>
                          <w:alias w:val="Numeris"/>
                          <w:tag w:val="nr_574158a02cd54146b636cfb95c2aa311"/>
                          <w:lock w:val="sdtLocked"/>
                          <w:richText/>
                        </w:sdtPr>
                        <w:sdtContent>
                          <w:r>
                            <w:rPr>
                              <w:color w:val="000000"/>
                            </w:rPr>
                            <w:t>1.3</w:t>
                          </w:r>
                        </w:sdtContent>
                      </w:sdt>
                      <w:r>
                        <w:rPr>
                          <w:color w:val="000000"/>
                        </w:rPr>
                        <w:t>. stojančiųjų į profesinio mokymo mokyklas ir įdarbinamų nepilnamečių (4 priedas);</w:t>
                      </w:r>
                    </w:p>
                  </w:sdtContent>
                </w:sdt>
                <w:sdt>
                  <w:sdtPr>
                    <w:alias w:val="1 pr. 1.4 p."/>
                    <w:tag w:val="part_fbbd8393067d4e65b04e948c816bd9b7"/>
                    <w:lock w:val="sdtLocked"/>
                    <w:richText/>
                  </w:sdtPr>
                  <w:sdtContent>
                    <w:p>
                      <w:pPr>
                        <w:widowControl w:val="0"/>
                        <w:ind w:firstLine="720"/>
                        <w:jc w:val="both"/>
                        <w:rPr>
                          <w:color w:val="000000"/>
                        </w:rPr>
                      </w:pPr>
                      <w:sdt>
                        <w:sdtPr>
                          <w:alias w:val="Numeris"/>
                          <w:tag w:val="nr_fbbd8393067d4e65b04e948c816bd9b7"/>
                          <w:lock w:val="sdtLocked"/>
                          <w:richText/>
                        </w:sdtPr>
                        <w:sdtContent>
                          <w:r>
                            <w:rPr>
                              <w:color w:val="000000"/>
                            </w:rPr>
                            <w:t>1.4</w:t>
                          </w:r>
                        </w:sdtContent>
                      </w:sdt>
                      <w:r>
                        <w:rPr>
                          <w:color w:val="000000"/>
                        </w:rPr>
                        <w:t>. stojančiųjų į krašto apsaugos, vidaus reikalų sistemos aukštesniąsias ir aukštąsias mokyklas Krašto apsaugos ir Vidaus reikalų ministerijų nustatyta tvarka;</w:t>
                      </w:r>
                    </w:p>
                  </w:sdtContent>
                </w:sdt>
                <w:sdt>
                  <w:sdtPr>
                    <w:alias w:val="1 pr. 1.5 p."/>
                    <w:tag w:val="part_c87117f876384bf4b52f51ae1ef48fb4"/>
                    <w:lock w:val="sdtLocked"/>
                    <w:richText/>
                  </w:sdtPr>
                  <w:sdtContent>
                    <w:p>
                      <w:pPr>
                        <w:widowControl w:val="0"/>
                        <w:ind w:firstLine="720"/>
                        <w:jc w:val="both"/>
                        <w:rPr>
                          <w:color w:val="000000"/>
                        </w:rPr>
                      </w:pPr>
                      <w:sdt>
                        <w:sdtPr>
                          <w:alias w:val="Numeris"/>
                          <w:tag w:val="nr_c87117f876384bf4b52f51ae1ef48fb4"/>
                          <w:lock w:val="sdtLocked"/>
                          <w:richText/>
                        </w:sdtPr>
                        <w:sdtContent>
                          <w:r>
                            <w:rPr>
                              <w:color w:val="000000"/>
                            </w:rPr>
                            <w:t>1.5</w:t>
                          </w:r>
                        </w:sdtContent>
                      </w:sdt>
                      <w:r>
                        <w:rPr>
                          <w:color w:val="000000"/>
                        </w:rPr>
                        <w:t>. sportuojančių asmenų sveikatos tikrinimas (išskyrus profesionalus) (5 priedas);</w:t>
                      </w:r>
                    </w:p>
                  </w:sdtContent>
                </w:sdt>
                <w:sdt>
                  <w:sdtPr>
                    <w:alias w:val="1 pr. 1.6 p."/>
                    <w:tag w:val="part_800e4bfb391247409d6528006a7d7007"/>
                    <w:lock w:val="sdtLocked"/>
                    <w:richText/>
                  </w:sdtPr>
                  <w:sdtContent>
                    <w:p>
                      <w:pPr>
                        <w:widowControl w:val="0"/>
                        <w:ind w:firstLine="720"/>
                        <w:jc w:val="both"/>
                        <w:rPr>
                          <w:color w:val="000000"/>
                        </w:rPr>
                      </w:pPr>
                      <w:sdt>
                        <w:sdtPr>
                          <w:alias w:val="Numeris"/>
                          <w:tag w:val="nr_800e4bfb391247409d6528006a7d7007"/>
                          <w:lock w:val="sdtLocked"/>
                          <w:richText/>
                        </w:sdtPr>
                        <w:sdtContent>
                          <w:r>
                            <w:rPr>
                              <w:color w:val="000000"/>
                            </w:rPr>
                            <w:t>1.6</w:t>
                          </w:r>
                        </w:sdtContent>
                      </w:sdt>
                      <w:r>
                        <w:rPr>
                          <w:color w:val="000000"/>
                        </w:rPr>
                        <w:t>. neinfekcinių ligų profilaktikos ir kontrolės (6 priedas);</w:t>
                      </w:r>
                    </w:p>
                  </w:sdtContent>
                </w:sdt>
                <w:sdt>
                  <w:sdtPr>
                    <w:alias w:val="1 pr. 1.7 p."/>
                    <w:tag w:val="part_63aa5a0e6f9748efb0dfca04184b46dc"/>
                    <w:lock w:val="sdtLocked"/>
                    <w:richText/>
                  </w:sdtPr>
                  <w:sdtContent>
                    <w:p>
                      <w:pPr>
                        <w:widowControl w:val="0"/>
                        <w:ind w:firstLine="720"/>
                        <w:jc w:val="both"/>
                        <w:rPr>
                          <w:color w:val="000000"/>
                        </w:rPr>
                      </w:pPr>
                      <w:sdt>
                        <w:sdtPr>
                          <w:alias w:val="Numeris"/>
                          <w:tag w:val="nr_63aa5a0e6f9748efb0dfca04184b46dc"/>
                          <w:lock w:val="sdtLocked"/>
                          <w:richText/>
                        </w:sdtPr>
                        <w:sdtContent>
                          <w:r>
                            <w:rPr>
                              <w:color w:val="000000"/>
                            </w:rPr>
                            <w:t>1.7</w:t>
                          </w:r>
                        </w:sdtContent>
                      </w:sdt>
                      <w:r>
                        <w:rPr>
                          <w:color w:val="000000"/>
                        </w:rPr>
                        <w:t>. dispanserizuotųjų (atskira tvarka);</w:t>
                      </w:r>
                    </w:p>
                  </w:sdtContent>
                </w:sdt>
                <w:sdt>
                  <w:sdtPr>
                    <w:alias w:val="1 pr. 1.8 p."/>
                    <w:tag w:val="part_99763f4e1b2c494e96ae42a3f382b710"/>
                    <w:lock w:val="sdtLocked"/>
                    <w:richText/>
                  </w:sdtPr>
                  <w:sdtContent>
                    <w:p>
                      <w:pPr>
                        <w:ind w:firstLine="709"/>
                        <w:jc w:val="both"/>
                        <w:rPr>
                          <w:color w:val="000000"/>
                        </w:rPr>
                      </w:pPr>
                      <w:sdt>
                        <w:sdtPr>
                          <w:alias w:val="Numeris"/>
                          <w:tag w:val="nr_99763f4e1b2c494e96ae42a3f382b710"/>
                          <w:lock w:val="sdtLocked"/>
                          <w:richText/>
                        </w:sdtPr>
                        <w:sdtContent>
                          <w:r>
                            <w:t>1.8</w:t>
                          </w:r>
                        </w:sdtContent>
                      </w:sdt>
                      <w:r>
                        <w:t xml:space="preserve">. Vairuotojų (7 priedas)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693EEE35C8">
                        <w:r w:rsidRPr="00532B9F">
                          <w:rPr>
                            <w:rFonts w:ascii="Times New Roman" w:eastAsia="MS Mincho" w:hAnsi="Times New Roman"/>
                            <w:sz w:val="20"/>
                            <w:i/>
                            <w:iCs/>
                            <w:color w:val="0000FF" w:themeColor="hyperlink"/>
                            <w:u w:val="single"/>
                          </w:rPr>
                          <w:t>V-973</w:t>
                        </w:r>
                      </w:fldSimple>
                      <w:r>
                        <w:rPr>
                          <w:rFonts w:ascii="Times New Roman" w:eastAsia="MS Mincho" w:hAnsi="Times New Roman"/>
                          <w:sz w:val="20"/>
                          <w:i/>
                          <w:iCs/>
                        </w:rPr>
                        <w:t>,
2008-10-10,
Žin., 2008, Nr.
121-4626 (2008-10-21), i. k. 1082250ISAK000V-973            </w:t>
                      </w:r>
                    </w:p>
                    <w:p/>
                  </w:sdtContent>
                </w:sdt>
                <w:sdt>
                  <w:sdtPr>
                    <w:alias w:val="1 pr. 1.9 p."/>
                    <w:tag w:val="part_79776b24751a44c794c70a91470eb9e1"/>
                    <w:lock w:val="sdtLocked"/>
                    <w:richText/>
                  </w:sdtPr>
                  <w:sdtContent>
                    <w:p>
                      <w:pPr>
                        <w:widowControl w:val="0"/>
                        <w:ind w:firstLine="720"/>
                        <w:jc w:val="both"/>
                        <w:rPr>
                          <w:color w:val="000000"/>
                        </w:rPr>
                      </w:pPr>
                      <w:sdt>
                        <w:sdtPr>
                          <w:alias w:val="Numeris"/>
                          <w:tag w:val="nr_79776b24751a44c794c70a91470eb9e1"/>
                          <w:lock w:val="sdtLocked"/>
                          <w:richText/>
                        </w:sdtPr>
                        <w:sdtContent>
                          <w:r>
                            <w:rPr>
                              <w:color w:val="000000"/>
                            </w:rPr>
                            <w:t>1.9</w:t>
                          </w:r>
                        </w:sdtContent>
                      </w:sdt>
                      <w:r>
                        <w:rPr>
                          <w:color w:val="000000"/>
                        </w:rPr>
                        <w:t>. norinčiųjų įsigyti civilinį ginklą (8 priedas);</w:t>
                      </w:r>
                    </w:p>
                  </w:sdtContent>
                </w:sdt>
                <w:sdt>
                  <w:sdtPr>
                    <w:alias w:val="1 pr. 1.10 p."/>
                    <w:tag w:val="part_a9f7bbbbc45644d8acc2bfe01b26a242"/>
                    <w:lock w:val="sdtLocked"/>
                    <w:richText/>
                  </w:sdtPr>
                  <w:sdtContent>
                    <w:p>
                      <w:pPr>
                        <w:widowControl w:val="0"/>
                        <w:ind w:firstLine="720"/>
                        <w:jc w:val="both"/>
                        <w:rPr>
                          <w:color w:val="000000"/>
                        </w:rPr>
                      </w:pPr>
                      <w:sdt>
                        <w:sdtPr>
                          <w:alias w:val="Numeris"/>
                          <w:tag w:val="nr_a9f7bbbbc45644d8acc2bfe01b26a242"/>
                          <w:lock w:val="sdtLocked"/>
                          <w:richText/>
                        </w:sdtPr>
                        <w:sdtContent>
                          <w:r>
                            <w:rPr>
                              <w:color w:val="000000"/>
                            </w:rPr>
                            <w:t>1.10</w:t>
                          </w:r>
                        </w:sdtContent>
                      </w:sdt>
                      <w:r>
                        <w:rPr>
                          <w:color w:val="000000"/>
                        </w:rPr>
                        <w:t>. vykstančiųjų į užsienį (9 priedas);</w:t>
                      </w:r>
                    </w:p>
                  </w:sdtContent>
                </w:sdt>
                <w:sdt>
                  <w:sdtPr>
                    <w:alias w:val="1 pr. 1.11 p."/>
                    <w:tag w:val="part_74cd2b489515417982a9fe95637b5e2f"/>
                    <w:lock w:val="sdtLocked"/>
                    <w:richText/>
                  </w:sdtPr>
                  <w:sdtContent>
                    <w:p>
                      <w:pPr>
                        <w:ind w:firstLine="709"/>
                        <w:jc w:val="both"/>
                        <w:rPr>
                          <w:color w:val="000000"/>
                        </w:rPr>
                      </w:pPr>
                      <w:sdt>
                        <w:sdtPr>
                          <w:alias w:val="Numeris"/>
                          <w:tag w:val="nr_74cd2b489515417982a9fe95637b5e2f"/>
                          <w:lock w:val="sdtLocked"/>
                          <w:richText/>
                        </w:sdtPr>
                        <w:sdtContent>
                          <w:r>
                            <w:t>1.11</w:t>
                          </w:r>
                        </w:sdtContent>
                      </w:sdt>
                      <w:r>
                        <w:t xml:space="preserve">. Licencijuojamų civilinės aviacijos specialistų (10 priedas)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7E759DF5DFE">
                        <w:r w:rsidRPr="00532B9F">
                          <w:rPr>
                            <w:rFonts w:ascii="Times New Roman" w:eastAsia="MS Mincho" w:hAnsi="Times New Roman"/>
                            <w:sz w:val="20"/>
                            <w:i/>
                            <w:iCs/>
                            <w:color w:val="0000FF" w:themeColor="hyperlink"/>
                            <w:u w:val="single"/>
                          </w:rPr>
                          <w:t>V-649</w:t>
                        </w:r>
                      </w:fldSimple>
                      <w:r>
                        <w:rPr>
                          <w:rFonts w:ascii="Times New Roman" w:eastAsia="MS Mincho" w:hAnsi="Times New Roman"/>
                          <w:sz w:val="20"/>
                          <w:i/>
                          <w:iCs/>
                        </w:rPr>
                        <w:t>,
2008-06-28,
Žin., 2008, Nr.
76-3030 (2008-07-05), i. k. 1082250ISAK000V-649            </w:t>
                      </w:r>
                    </w:p>
                    <w:p/>
                  </w:sdtContent>
                </w:sdt>
                <w:sdt>
                  <w:sdtPr>
                    <w:alias w:val="1 pr. 1.12 p."/>
                    <w:tag w:val="part_bc3135c6bb29414a92a86ef0e9c34887"/>
                    <w:lock w:val="sdtLocked"/>
                    <w:richText/>
                  </w:sdtPr>
                  <w:sdtContent>
                    <w:p>
                      <w:pPr>
                        <w:widowControl w:val="0"/>
                        <w:ind w:firstLine="720"/>
                        <w:jc w:val="both"/>
                        <w:rPr>
                          <w:color w:val="000000"/>
                        </w:rPr>
                      </w:pPr>
                      <w:sdt>
                        <w:sdtPr>
                          <w:alias w:val="Numeris"/>
                          <w:tag w:val="nr_bc3135c6bb29414a92a86ef0e9c34887"/>
                          <w:lock w:val="sdtLocked"/>
                          <w:richText/>
                        </w:sdtPr>
                        <w:sdtContent>
                          <w:r>
                            <w:rPr>
                              <w:color w:val="000000"/>
                            </w:rPr>
                            <w:t>1.12</w:t>
                          </w:r>
                        </w:sdtContent>
                      </w:sdt>
                      <w:r>
                        <w:rPr>
                          <w:color w:val="000000"/>
                        </w:rPr>
                        <w:t>. išankstiniai (prieš pradedant darbą ar veiklą) ir periodiniai (darbo metu ar kai veikla tęsiama) profilaktiniai sveikatos tikrinimai:</w:t>
                      </w:r>
                    </w:p>
                    <w:sdt>
                      <w:sdtPr>
                        <w:alias w:val="1 pr. 1.12.1 p."/>
                        <w:tag w:val="part_d5b249b3963547638b6ff9a232b60fc4"/>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709"/>
                            <w:jc w:val="both"/>
                            <w:rPr>
                              <w:color w:val="000000"/>
                            </w:rPr>
                          </w:pPr>
                          <w:sdt>
                            <w:sdtPr>
                              <w:alias w:val="Numeris"/>
                              <w:tag w:val="nr_d5b249b3963547638b6ff9a232b60fc4"/>
                              <w:lock w:val="sdtLocked"/>
                              <w:richText/>
                            </w:sdtPr>
                            <w:sdtContent>
                              <w:r>
                                <w:rPr>
                                  <w:color w:val="000000"/>
                                  <w:szCs w:val="24"/>
                                </w:rPr>
                                <w:t>1.12.1</w:t>
                              </w:r>
                            </w:sdtContent>
                          </w:sdt>
                          <w:r>
                            <w:rPr>
                              <w:color w:val="000000"/>
                              <w:szCs w:val="24"/>
                            </w:rPr>
                            <w:t>. jūrininkų ir vidaus vandenų transporto specialistų bei motorinių pramoginių laivų ir kitų motorinių plaukiojimo priemonių laivavedžių (11 priedas);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fd07d0a53f11e3aeb49a67165e3ad3">
                            <w:r w:rsidRPr="00532B9F">
                              <w:rPr>
                                <w:rFonts w:ascii="Times New Roman" w:eastAsia="MS Mincho" w:hAnsi="Times New Roman"/>
                                <w:sz w:val="20"/>
                                <w:i/>
                                <w:iCs/>
                                <w:color w:val="0000FF" w:themeColor="hyperlink"/>
                                <w:u w:val="single"/>
                              </w:rPr>
                              <w:t>V-320</w:t>
                            </w:r>
                          </w:fldSimple>
                          <w:r>
                            <w:rPr>
                              <w:rFonts w:ascii="Times New Roman" w:eastAsia="MS Mincho" w:hAnsi="Times New Roman"/>
                              <w:sz w:val="20"/>
                              <w:i/>
                              <w:iCs/>
                            </w:rPr>
                            <w:t>,
2014-03-05,
paskelbta TAR 2014-03-06, i. k. 2014-02740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401b00a81711ebbcbbc2971cdac3cb">
                            <w:r w:rsidRPr="00532B9F">
                              <w:rPr>
                                <w:rFonts w:ascii="Times New Roman" w:eastAsia="MS Mincho" w:hAnsi="Times New Roman"/>
                                <w:sz w:val="20"/>
                                <w:i/>
                                <w:iCs/>
                                <w:color w:val="0000FF" w:themeColor="hyperlink"/>
                                <w:u w:val="single"/>
                              </w:rPr>
                              <w:t>V-967</w:t>
                            </w:r>
                          </w:fldSimple>
                          <w:r>
                            <w:rPr>
                              <w:rFonts w:ascii="Times New Roman" w:eastAsia="MS Mincho" w:hAnsi="Times New Roman"/>
                              <w:sz w:val="20"/>
                              <w:i/>
                              <w:iCs/>
                            </w:rPr>
                            <w:t>,
2021-04-28,
paskelbta TAR 2021-04-28, i. k. 2021-08887            </w:t>
                          </w:r>
                        </w:p>
                        <w:p/>
                      </w:sdtContent>
                    </w:sdt>
                    <w:sdt>
                      <w:sdtPr>
                        <w:alias w:val="1 pr. 1.12.2 p."/>
                        <w:tag w:val="part_d80316c485154c629457dfc609cd4452"/>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709"/>
                            <w:jc w:val="both"/>
                            <w:rPr>
                              <w:color w:val="000000"/>
                            </w:rPr>
                          </w:pPr>
                          <w:sdt>
                            <w:sdtPr>
                              <w:alias w:val="Numeris"/>
                              <w:tag w:val="nr_d80316c485154c629457dfc609cd4452"/>
                              <w:lock w:val="sdtLocked"/>
                              <w:richText/>
                            </w:sdtPr>
                            <w:sdtContent>
                              <w:r>
                                <w:rPr>
                                  <w:color w:val="000000"/>
                                  <w:szCs w:val="24"/>
                                  <w:lang w:eastAsia="lt-LT"/>
                                </w:rPr>
                                <w:t>1.12.2</w:t>
                              </w:r>
                            </w:sdtContent>
                          </w:sdt>
                          <w:r>
                            <w:rPr>
                              <w:color w:val="000000"/>
                              <w:szCs w:val="24"/>
                              <w:lang w:eastAsia="lt-LT"/>
                            </w:rPr>
                            <w:t xml:space="preserve">. traukinio mašinistų ir  </w:t>
                          </w:r>
                          <w:r>
                            <w:rPr>
                              <w:color w:val="000000"/>
                              <w:szCs w:val="24"/>
                            </w:rPr>
                            <w:t>darbuotojų, atliekančių eismo saugai užtikrinti svarbias užduotis</w:t>
                          </w:r>
                          <w:r>
                            <w:rPr>
                              <w:color w:val="000000"/>
                              <w:szCs w:val="24"/>
                              <w:lang w:eastAsia="lt-LT"/>
                            </w:rPr>
                            <w:t xml:space="preserve"> (12 priedas);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82D19C6A6B6">
                            <w:r w:rsidRPr="00532B9F">
                              <w:rPr>
                                <w:rFonts w:ascii="Times New Roman" w:eastAsia="MS Mincho" w:hAnsi="Times New Roman"/>
                                <w:sz w:val="20"/>
                                <w:i/>
                                <w:iCs/>
                                <w:color w:val="0000FF" w:themeColor="hyperlink"/>
                                <w:u w:val="single"/>
                              </w:rPr>
                              <w:t>V-1062</w:t>
                            </w:r>
                          </w:fldSimple>
                          <w:r>
                            <w:rPr>
                              <w:rFonts w:ascii="Times New Roman" w:eastAsia="MS Mincho" w:hAnsi="Times New Roman"/>
                              <w:sz w:val="20"/>
                              <w:i/>
                              <w:iCs/>
                            </w:rPr>
                            <w:t>,
2009-12-23,
Žin., 2010, Nr.
1-45 (2010-01-05), i. k. 1092250ISAK00V-1062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401b00a81711ebbcbbc2971cdac3cb">
                            <w:r w:rsidRPr="00532B9F">
                              <w:rPr>
                                <w:rFonts w:ascii="Times New Roman" w:eastAsia="MS Mincho" w:hAnsi="Times New Roman"/>
                                <w:sz w:val="20"/>
                                <w:i/>
                                <w:iCs/>
                                <w:color w:val="0000FF" w:themeColor="hyperlink"/>
                                <w:u w:val="single"/>
                              </w:rPr>
                              <w:t>V-967</w:t>
                            </w:r>
                          </w:fldSimple>
                          <w:r>
                            <w:rPr>
                              <w:rFonts w:ascii="Times New Roman" w:eastAsia="MS Mincho" w:hAnsi="Times New Roman"/>
                              <w:sz w:val="20"/>
                              <w:i/>
                              <w:iCs/>
                            </w:rPr>
                            <w:t>,
2021-04-28,
paskelbta TAR 2021-04-28, i. k. 2021-08887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0f81cd0e33011ed9978886e85107ab2">
                            <w:r w:rsidRPr="00532B9F">
                              <w:rPr>
                                <w:rFonts w:ascii="Times New Roman" w:eastAsia="MS Mincho" w:hAnsi="Times New Roman"/>
                                <w:sz w:val="20"/>
                                <w:i/>
                                <w:iCs/>
                                <w:color w:val="0000FF" w:themeColor="hyperlink"/>
                                <w:u w:val="single"/>
                              </w:rPr>
                              <w:t>V-506</w:t>
                            </w:r>
                          </w:fldSimple>
                          <w:r>
                            <w:rPr>
                              <w:rFonts w:ascii="Times New Roman" w:eastAsia="MS Mincho" w:hAnsi="Times New Roman"/>
                              <w:sz w:val="20"/>
                              <w:i/>
                              <w:iCs/>
                            </w:rPr>
                            <w:t>,
2023-04-25,
paskelbta TAR 2023-04-25, i. k. 2023-07901            </w:t>
                          </w:r>
                        </w:p>
                        <w:p/>
                      </w:sdtContent>
                    </w:sdt>
                    <w:sdt>
                      <w:sdtPr>
                        <w:alias w:val="1 pr. 1.12.3 p."/>
                        <w:tag w:val="part_90d70fb014ff49d5ac2e778dbe167b58"/>
                        <w:lock w:val="sdtLocked"/>
                        <w:richText/>
                      </w:sdtPr>
                      <w:sdtContent>
                        <w:p>
                          <w:pPr>
                            <w:widowControl w:val="0"/>
                            <w:ind w:firstLine="720"/>
                            <w:jc w:val="both"/>
                            <w:rPr>
                              <w:color w:val="000000"/>
                            </w:rPr>
                          </w:pPr>
                          <w:sdt>
                            <w:sdtPr>
                              <w:alias w:val="Numeris"/>
                              <w:tag w:val="nr_90d70fb014ff49d5ac2e778dbe167b58"/>
                              <w:lock w:val="sdtLocked"/>
                              <w:richText/>
                            </w:sdtPr>
                            <w:sdtContent>
                              <w:r>
                                <w:rPr>
                                  <w:color w:val="000000"/>
                                </w:rPr>
                                <w:t>1.12.3</w:t>
                              </w:r>
                            </w:sdtContent>
                          </w:sdt>
                          <w:r>
                            <w:rPr>
                              <w:color w:val="000000"/>
                            </w:rPr>
                            <w:t>. aviacijos darbuotojų (10 priedas);</w:t>
                          </w:r>
                        </w:p>
                      </w:sdtContent>
                    </w:sdt>
                    <w:sdt>
                      <w:sdtPr>
                        <w:alias w:val="1 pr. 1.12.4 p."/>
                        <w:tag w:val="part_0d1e4cc016b74c12beeced825a545ce0"/>
                        <w:lock w:val="sdtLocked"/>
                        <w:richText/>
                      </w:sdtPr>
                      <w:sdtContent>
                        <w:p>
                          <w:pPr>
                            <w:widowControl w:val="0"/>
                            <w:ind w:firstLine="720"/>
                            <w:jc w:val="both"/>
                            <w:rPr>
                              <w:color w:val="000000"/>
                            </w:rPr>
                          </w:pPr>
                          <w:sdt>
                            <w:sdtPr>
                              <w:alias w:val="Numeris"/>
                              <w:tag w:val="nr_0d1e4cc016b74c12beeced825a545ce0"/>
                              <w:lock w:val="sdtLocked"/>
                              <w:richText/>
                            </w:sdtPr>
                            <w:sdtContent>
                              <w:r>
                                <w:rPr>
                                  <w:color w:val="000000"/>
                                </w:rPr>
                                <w:t>1.12.4</w:t>
                              </w:r>
                            </w:sdtContent>
                          </w:sdt>
                          <w:r>
                            <w:rPr>
                              <w:color w:val="000000"/>
                            </w:rPr>
                            <w:t>. vairuotojų (7 priedas);</w:t>
                          </w:r>
                        </w:p>
                      </w:sdtContent>
                    </w:sdt>
                    <w:sdt>
                      <w:sdtPr>
                        <w:alias w:val="1 pr. 1.12.5 p."/>
                        <w:tag w:val="part_f000a85fcb5c4df4a56060c6dae985a0"/>
                        <w:lock w:val="sdtLocked"/>
                        <w:richText/>
                      </w:sdtPr>
                      <w:sdtContent>
                        <w:p>
                          <w:pPr>
                            <w:widowControl w:val="0"/>
                            <w:ind w:firstLine="720"/>
                            <w:jc w:val="both"/>
                            <w:rPr>
                              <w:color w:val="000000"/>
                            </w:rPr>
                          </w:pPr>
                          <w:sdt>
                            <w:sdtPr>
                              <w:alias w:val="Numeris"/>
                              <w:tag w:val="nr_f000a85fcb5c4df4a56060c6dae985a0"/>
                              <w:lock w:val="sdtLocked"/>
                              <w:richText/>
                            </w:sdtPr>
                            <w:sdtContent>
                              <w:r>
                                <w:rPr>
                                  <w:color w:val="000000"/>
                                </w:rPr>
                                <w:t>1.12.5</w:t>
                              </w:r>
                            </w:sdtContent>
                          </w:sdt>
                          <w:r>
                            <w:rPr>
                              <w:color w:val="000000"/>
                            </w:rPr>
                            <w:t>. asmenų, norinčių pradėti dirbti ar dirbančių galimos profesinės rizikos sąlygomis (sveikatai kenksmingų veiksnių poveikyje ar pavojingus darbus) (13 priedas);</w:t>
                          </w:r>
                        </w:p>
                      </w:sdtContent>
                    </w:sdt>
                    <w:sdt>
                      <w:sdtPr>
                        <w:alias w:val="1 pr. 1.12.6 p."/>
                        <w:tag w:val="part_796c7d8b235349e9a896c5ae2341d151"/>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709"/>
                            <w:jc w:val="both"/>
                            <w:rPr>
                              <w:color w:val="000000"/>
                            </w:rPr>
                          </w:pPr>
                          <w:sdt>
                            <w:sdtPr>
                              <w:alias w:val="Numeris"/>
                              <w:tag w:val="nr_796c7d8b235349e9a896c5ae2341d151"/>
                              <w:lock w:val="sdtLocked"/>
                              <w:richText/>
                            </w:sdtPr>
                            <w:sdtContent>
                              <w:r>
                                <w:rPr>
                                  <w:szCs w:val="24"/>
                                </w:rPr>
                                <w:t>1.12.6</w:t>
                              </w:r>
                            </w:sdtContent>
                          </w:sdt>
                          <w:r>
                            <w:rPr>
                              <w:szCs w:val="24"/>
                            </w:rPr>
                            <w:t xml:space="preserve">. darbuotojų, kuriems leidžiama dirbti tik iš anksto pasitikrinusiems ir vėliau periodiškai besitikrinantiems, ar neserga užkrečiamosiomis ligomis (atliekami vadovaujantis </w:t>
                          </w:r>
                          <w:r>
                            <w:rPr>
                              <w:color w:val="000000"/>
                              <w:szCs w:val="24"/>
                            </w:rPr>
                            <w:t xml:space="preserve">Darbų ir veiklos sričių, kuriose leidžiama dirbti darbuotojams, tik iš anksto pasitikrinusiems ir vėliau periodiškai besitikrinantiems, ar neserga užkrečiamosiomis ligomis, sąrašu ir Darbuotojų, kuriems leidžiama dirbti tik iš anksto pasitikrinusiems ir vėliau periodiškai besitikrinantiems, ar neserga užkrečiamosiomis ligomis, sveikatos tikrinimosi tvarka, patvirtintais </w:t>
                          </w:r>
                          <w:r>
                            <w:rPr>
                              <w:szCs w:val="24"/>
                            </w:rPr>
                            <w:t xml:space="preserve">Lietuvos Respublikos Vyriausybės 1999 m. gegužės 7 d. nutarimu Nr. 544 „Dėl Darbų ir veiklos sričių, kuriose leidžiama dirbti darbuotojams, tik iš anksto pasitikrinusiems ir vėliau periodiškai besitikrinantiems, ar neserga užkrečiamosiomis ligomis, sąrašo, </w:t>
                          </w:r>
                          <w:r>
                            <w:rPr>
                              <w:szCs w:val="24"/>
                              <w:lang w:eastAsia="lt-LT"/>
                            </w:rPr>
                            <w:t>Darbų ir veiklos sričių, kuriose leidžiama dirbti darbuotojams, pasitikrinusiems ir (ar) periodiškai besitikrinantiems, ar neserga užkrečiamąja liga, dėl kurios yra paskelbta valstybės lygio ekstremalioji situacija ir (ar) karantinas, sąrašo</w:t>
                          </w:r>
                          <w:r>
                            <w:rPr>
                              <w:szCs w:val="24"/>
                            </w:rPr>
                            <w:t xml:space="preserve"> ir šių darbuotojų sveikatos tikrinimosi tvarkos patvirtinimo“);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6f3b7046d011ec992fe4cdfceb5666">
                            <w:r w:rsidRPr="00532B9F">
                              <w:rPr>
                                <w:rFonts w:ascii="Times New Roman" w:eastAsia="MS Mincho" w:hAnsi="Times New Roman"/>
                                <w:sz w:val="20"/>
                                <w:i/>
                                <w:iCs/>
                                <w:color w:val="0000FF" w:themeColor="hyperlink"/>
                                <w:u w:val="single"/>
                              </w:rPr>
                              <w:t>V-2596</w:t>
                            </w:r>
                          </w:fldSimple>
                          <w:r>
                            <w:rPr>
                              <w:rFonts w:ascii="Times New Roman" w:eastAsia="MS Mincho" w:hAnsi="Times New Roman"/>
                              <w:sz w:val="20"/>
                              <w:i/>
                              <w:iCs/>
                            </w:rPr>
                            <w:t>,
2021-11-16,
paskelbta TAR 2021-11-16, i. k. 2021-23674            </w:t>
                          </w:r>
                        </w:p>
                        <w:p/>
                      </w:sdtContent>
                    </w:sdt>
                  </w:sdtContent>
                </w:sdt>
                <w:sdt>
                  <w:sdtPr>
                    <w:alias w:val="1 pr. 1.13 p."/>
                    <w:tag w:val="part_21aaa503a97e40b1bf86f9971f370a9c"/>
                    <w:lock w:val="sdtLocked"/>
                    <w:richText/>
                  </w:sdtPr>
                  <w:sdtContent>
                    <w:p>
                      <w:pPr>
                        <w:widowControl w:val="0"/>
                        <w:ind w:firstLine="720"/>
                        <w:jc w:val="both"/>
                        <w:rPr>
                          <w:color w:val="000000"/>
                        </w:rPr>
                      </w:pPr>
                      <w:sdt>
                        <w:sdtPr>
                          <w:alias w:val="Numeris"/>
                          <w:tag w:val="nr_21aaa503a97e40b1bf86f9971f370a9c"/>
                          <w:lock w:val="sdtLocked"/>
                          <w:richText/>
                        </w:sdtPr>
                        <w:sdtContent>
                          <w:r>
                            <w:rPr>
                              <w:color w:val="000000"/>
                            </w:rPr>
                            <w:t>1.13</w:t>
                          </w:r>
                        </w:sdtContent>
                      </w:sdt>
                      <w:r>
                        <w:rPr>
                          <w:color w:val="000000"/>
                        </w:rPr>
                        <w:t>. kiti profilaktiniai sveikatos tikrinimai:</w:t>
                      </w:r>
                    </w:p>
                    <w:sdt>
                      <w:sdtPr>
                        <w:alias w:val="1 pr. 1.13.1 p."/>
                        <w:tag w:val="part_fcac63615b3346b898c32020472318bc"/>
                        <w:lock w:val="sdtLocked"/>
                        <w:richText/>
                      </w:sdtPr>
                      <w:sdtContent>
                        <w:p>
                          <w:pPr>
                            <w:tabs>
                              <w:tab w:val="left" w:pos="142"/>
                              <w:tab w:val="left" w:pos="851"/>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720"/>
                            <w:jc w:val="both"/>
                            <w:rPr>
                              <w:color w:val="000000"/>
                            </w:rPr>
                          </w:pPr>
                          <w:sdt>
                            <w:sdtPr>
                              <w:alias w:val="Numeris"/>
                              <w:tag w:val="nr_fcac63615b3346b898c32020472318bc"/>
                              <w:lock w:val="sdtLocked"/>
                              <w:richText/>
                            </w:sdtPr>
                            <w:sdtContent>
                              <w:r>
                                <w:rPr>
                                  <w:szCs w:val="24"/>
                                </w:rPr>
                                <w:t>1.13.1</w:t>
                              </w:r>
                            </w:sdtContent>
                          </w:sdt>
                          <w:r>
                            <w:rPr>
                              <w:szCs w:val="24"/>
                            </w:rPr>
                            <w:t>. gydytojų, norinčių gauti medicinos praktikos licenciją (15 priedas);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c9c90465d11e5a38cd6cdb94b0c51">
                            <w:r w:rsidRPr="00532B9F">
                              <w:rPr>
                                <w:rFonts w:ascii="Times New Roman" w:eastAsia="MS Mincho" w:hAnsi="Times New Roman"/>
                                <w:sz w:val="20"/>
                                <w:i/>
                                <w:iCs/>
                                <w:color w:val="0000FF" w:themeColor="hyperlink"/>
                                <w:u w:val="single"/>
                              </w:rPr>
                              <w:t>V-990</w:t>
                            </w:r>
                          </w:fldSimple>
                          <w:r>
                            <w:rPr>
                              <w:rFonts w:ascii="Times New Roman" w:eastAsia="MS Mincho" w:hAnsi="Times New Roman"/>
                              <w:sz w:val="20"/>
                              <w:i/>
                              <w:iCs/>
                            </w:rPr>
                            <w:t>,
2015-08-18,
paskelbta TAR 2015-08-19, i. k. 2015-12418            </w:t>
                          </w:r>
                        </w:p>
                        <w:p/>
                      </w:sdtContent>
                    </w:sdt>
                    <w:sdt>
                      <w:sdtPr>
                        <w:alias w:val="1 pr. 1.13.2 p."/>
                        <w:tag w:val="part_8eb6fa25fc39415896db9c48e1f9d629"/>
                        <w:lock w:val="sdtLocked"/>
                        <w:richText/>
                      </w:sdtPr>
                      <w:sdtContent>
                        <w:p>
                          <w:pPr>
                            <w:pStyle w:val="PlainText"/>
                            <w:ind w:firstLine="567"/>
                            <w:jc w:val="both"/>
                            <w:rPr>
                              <w:rFonts w:ascii="Times New Roman" w:hAnsi="Times New Roman"/>
                              <w:b/>
                              <w:bCs/>
                              <w:sz w:val="22"/>
                            </w:rPr>
                          </w:pPr>
                          <w:r>
                            <w:rPr>
                              <w:rFonts w:ascii="Times New Roman" w:hAnsi="Times New Roman"/>
                              <w:sz w:val="22"/>
                            </w:rPr>
                            <w:t>1.13.2</w:t>
                          </w:r>
                          <w:r>
                            <w:rPr>
                              <w:rFonts w:ascii="Times New Roman" w:hAnsi="Times New Roman"/>
                              <w:sz w:val="22"/>
                            </w:rPr>
                            <w:t>.</w:t>
                          </w:r>
                          <w:r>
                            <w:rPr>
                              <w:rFonts w:ascii="Times New Roman" w:eastAsia="MS Mincho" w:hAnsi="Times New Roman"/>
                              <w:sz w:val="20"/>
                              <w:i/>
                              <w:iCs/>
                            </w:rPr>
                            <w:t xml:space="preserve"> Neteko galios nuo 2015-08-22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a1f2e047c611e5a38cd6cdb94b0c51">
                            <w:r w:rsidRPr="00532B9F">
                              <w:rPr>
                                <w:rFonts w:ascii="Times New Roman" w:eastAsia="MS Mincho" w:hAnsi="Times New Roman"/>
                                <w:sz w:val="20"/>
                                <w:i/>
                                <w:iCs/>
                                <w:color w:val="0000FF" w:themeColor="hyperlink"/>
                                <w:u w:val="single"/>
                              </w:rPr>
                              <w:t>V-974</w:t>
                            </w:r>
                          </w:fldSimple>
                          <w:r>
                            <w:rPr>
                              <w:rFonts w:ascii="Times New Roman" w:eastAsia="MS Mincho" w:hAnsi="Times New Roman"/>
                              <w:sz w:val="20"/>
                              <w:i/>
                              <w:iCs/>
                            </w:rPr>
                            <w:t>,
2015-08-18,
paskelbta TAR 2015-08-21, i. k. 2015-12478        </w:t>
                          </w:r>
                        </w:p>
                        <w:p/>
                      </w:sdtContent>
                    </w:sdt>
                    <w:sdt>
                      <w:sdtPr>
                        <w:alias w:val="1 pr. 1.13.3 p."/>
                        <w:tag w:val="part_41bf8167eb4f490094a1a5ec5a884d51"/>
                        <w:lock w:val="sdtLocked"/>
                        <w:richText/>
                      </w:sdtPr>
                      <w:sdtContent>
                        <w:p>
                          <w:pPr>
                            <w:widowControl w:val="0"/>
                            <w:ind w:firstLine="720"/>
                            <w:jc w:val="both"/>
                            <w:rPr>
                              <w:color w:val="000000"/>
                            </w:rPr>
                          </w:pPr>
                          <w:sdt>
                            <w:sdtPr>
                              <w:alias w:val="Numeris"/>
                              <w:tag w:val="nr_41bf8167eb4f490094a1a5ec5a884d51"/>
                              <w:lock w:val="sdtLocked"/>
                              <w:richText/>
                            </w:sdtPr>
                            <w:sdtContent>
                              <w:r>
                                <w:rPr>
                                  <w:color w:val="000000"/>
                                </w:rPr>
                                <w:t>1.13.3</w:t>
                              </w:r>
                            </w:sdtContent>
                          </w:sdt>
                          <w:r>
                            <w:rPr>
                              <w:color w:val="000000"/>
                            </w:rPr>
                            <w:t>. asmenų, atvykusių tikrintis savo noru, profilaktiniai sveikatos tikrinimai (tarp jų – asmenų, norinčių susituokti (17 priedas));</w:t>
                          </w:r>
                        </w:p>
                      </w:sdtContent>
                    </w:sdt>
                    <w:sdt>
                      <w:sdtPr>
                        <w:alias w:val="1.13.4 pp."/>
                        <w:tag w:val="part_61f4a437cc6d4651887e180ab4136172"/>
                        <w:lock w:val="sdtLocked"/>
                        <w:richText/>
                      </w:sdtPr>
                      <w:sdtContent>
                        <w:p>
                          <w:pPr>
                            <w:tabs>
                              <w:tab w:val="left" w:pos="142"/>
                              <w:tab w:val="left" w:pos="851"/>
                              <w:tab w:val="left" w:pos="993"/>
                              <w:tab w:val="left" w:pos="1134"/>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709"/>
                            <w:jc w:val="both"/>
                            <w:rPr>
                              <w:color w:val="000000"/>
                            </w:rPr>
                          </w:pPr>
                          <w:sdt>
                            <w:sdtPr>
                              <w:alias w:val="Numeris"/>
                              <w:tag w:val="nr_61f4a437cc6d4651887e180ab4136172"/>
                              <w:lock w:val="sdtLocked"/>
                              <w:richText/>
                            </w:sdtPr>
                            <w:sdtContent>
                              <w:r>
                                <w:rPr>
                                  <w:szCs w:val="24"/>
                                </w:rPr>
                                <w:t>1.13.4</w:t>
                              </w:r>
                            </w:sdtContent>
                          </w:sdt>
                          <w:r>
                            <w:rPr>
                              <w:szCs w:val="24"/>
                            </w:rPr>
                            <w:t>. Ambulatorinių slaugos ir akušerijos ankstyvosios intervencijos paslaugų šeimoms (19 priedas).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742710121811efbcbfb318996800a8">
                            <w:r w:rsidRPr="00532B9F">
                              <w:rPr>
                                <w:rFonts w:ascii="Times New Roman" w:eastAsia="MS Mincho" w:hAnsi="Times New Roman"/>
                                <w:sz w:val="20"/>
                                <w:i/>
                                <w:iCs/>
                                <w:color w:val="0000FF" w:themeColor="hyperlink"/>
                                <w:u w:val="single"/>
                              </w:rPr>
                              <w:t>V-530</w:t>
                            </w:r>
                          </w:fldSimple>
                          <w:r>
                            <w:rPr>
                              <w:rFonts w:ascii="Times New Roman" w:eastAsia="MS Mincho" w:hAnsi="Times New Roman"/>
                              <w:sz w:val="20"/>
                              <w:i/>
                              <w:iCs/>
                            </w:rPr>
                            <w:t>,
2024-05-13,
paskelbta TAR 2024-05-15, i. k. 2024-08858        </w:t>
                          </w:r>
                        </w:p>
                        <w:p/>
                      </w:sdtContent>
                    </w:sdt>
                  </w:sdtContent>
                </w:sdt>
                <w:sdt>
                  <w:sdtPr>
                    <w:alias w:val="1 pr. 1.14 p."/>
                    <w:tag w:val="part_07e8ee926c814645863b769717a19734"/>
                    <w:lock w:val="sdtLocked"/>
                    <w:richText/>
                  </w:sdtPr>
                  <w:sdtContent>
                    <w:p>
                      <w:pPr>
                        <w:pStyle w:val="PlainText"/>
                        <w:ind w:firstLine="567"/>
                        <w:jc w:val="both"/>
                        <w:rPr>
                          <w:rFonts w:ascii="Times New Roman" w:hAnsi="Times New Roman"/>
                          <w:b/>
                          <w:bCs/>
                          <w:sz w:val="22"/>
                        </w:rPr>
                      </w:pPr>
                      <w:r>
                        <w:rPr>
                          <w:rFonts w:ascii="Times New Roman" w:hAnsi="Times New Roman"/>
                          <w:sz w:val="22"/>
                        </w:rPr>
                        <w:t>1.14</w:t>
                      </w:r>
                      <w:r>
                        <w:rPr>
                          <w:rFonts w:ascii="Times New Roman" w:hAnsi="Times New Roman"/>
                          <w:sz w:val="22"/>
                        </w:rPr>
                        <w:t>.</w:t>
                      </w:r>
                      <w:r>
                        <w:rPr>
                          <w:rFonts w:ascii="Times New Roman" w:eastAsia="MS Mincho" w:hAnsi="Times New Roman"/>
                          <w:sz w:val="20"/>
                          <w:i/>
                          <w:iCs/>
                        </w:rPr>
                        <w:t xml:space="preserve"> Neteko galios nuo 2015-08-20</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c9c90465d11e5a38cd6cdb94b0c51">
                        <w:r w:rsidRPr="00532B9F">
                          <w:rPr>
                            <w:rFonts w:ascii="Times New Roman" w:eastAsia="MS Mincho" w:hAnsi="Times New Roman"/>
                            <w:sz w:val="20"/>
                            <w:i/>
                            <w:iCs/>
                            <w:color w:val="0000FF" w:themeColor="hyperlink"/>
                            <w:u w:val="single"/>
                          </w:rPr>
                          <w:t>V-990</w:t>
                        </w:r>
                      </w:fldSimple>
                      <w:r>
                        <w:rPr>
                          <w:rFonts w:ascii="Times New Roman" w:eastAsia="MS Mincho" w:hAnsi="Times New Roman"/>
                          <w:sz w:val="20"/>
                          <w:i/>
                          <w:iCs/>
                        </w:rPr>
                        <w:t>,
2015-08-18,
paskelbta TAR 2015-08-19, i. k. 2015-12418        </w:t>
                      </w:r>
                    </w:p>
                    <w:p/>
                  </w:sdtContent>
                </w:sdt>
              </w:sdtContent>
            </w:sdt>
          </w:sdtContent>
        </w:sdt>
        <w:sdt>
          <w:sdtPr>
            <w:alias w:val="skyrius"/>
            <w:tag w:val="part_a5c38340b80e4e2dab7fc6276dab8f95"/>
            <w:lock w:val="sdtLocked"/>
            <w:richText/>
          </w:sdtPr>
          <w:sdtContent>
            <w:p>
              <w:pPr>
                <w:jc w:val="center"/>
                <w:rPr>
                  <w:b/>
                  <w:caps/>
                  <w:color w:val="000000"/>
                </w:rPr>
              </w:pPr>
              <w:sdt>
                <w:sdtPr>
                  <w:alias w:val="Numeris"/>
                  <w:tag w:val="nr_a5c38340b80e4e2dab7fc6276dab8f95"/>
                  <w:lock w:val="sdtLocked"/>
                  <w:richText/>
                </w:sdtPr>
                <w:sdtContent>
                  <w:r>
                    <w:rPr>
                      <w:b/>
                      <w:caps/>
                      <w:color w:val="000000"/>
                    </w:rPr>
                    <w:t>II</w:t>
                  </w:r>
                </w:sdtContent>
              </w:sdt>
              <w:r>
                <w:rPr>
                  <w:b/>
                  <w:caps/>
                  <w:color w:val="000000"/>
                </w:rPr>
                <w:t xml:space="preserve">. </w:t>
              </w:r>
              <w:sdt>
                <w:sdtPr>
                  <w:alias w:val="Pavadinimas"/>
                  <w:tag w:val="title_a5c38340b80e4e2dab7fc6276dab8f95"/>
                  <w:lock w:val="sdtLocked"/>
                  <w:richText/>
                </w:sdtPr>
                <w:sdtContent>
                  <w:r>
                    <w:rPr>
                      <w:b/>
                      <w:caps/>
                      <w:color w:val="000000"/>
                    </w:rPr>
                    <w:t>PROFILAKTINIŲ SVEIKATOS TIKRINIMŲ APMOKĖJIMO TVARKA</w:t>
                  </w:r>
                </w:sdtContent>
              </w:sdt>
            </w:p>
            <w:p>
              <w:pPr>
                <w:widowControl w:val="0"/>
                <w:tabs>
                  <w:tab w:val="left" w:pos="6253"/>
                </w:tabs>
                <w:ind w:left="1069"/>
                <w:jc w:val="both"/>
                <w:rPr>
                  <w:color w:val="000000"/>
                </w:rPr>
              </w:pPr>
            </w:p>
            <w:sdt>
              <w:sdtPr>
                <w:alias w:val="1 pr. 2 p."/>
                <w:tag w:val="part_a4a2ccc73d334771a68f6e7ac9afd583"/>
                <w:lock w:val="sdtLocked"/>
                <w:richText/>
              </w:sdtPr>
              <w:sdtContent>
                <w:p>
                  <w:pPr>
                    <w:tabs>
                      <w:tab w:val="left" w:pos="851"/>
                      <w:tab w:val="left" w:pos="993"/>
                      <w:tab w:val="left" w:pos="1134"/>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744"/>
                    <w:jc w:val="both"/>
                    <w:rPr>
                      <w:color w:val="000000"/>
                    </w:rPr>
                  </w:pPr>
                  <w:sdt>
                    <w:sdtPr>
                      <w:alias w:val="Numeris"/>
                      <w:tag w:val="nr_a4a2ccc73d334771a68f6e7ac9afd583"/>
                      <w:lock w:val="sdtLocked"/>
                      <w:richText/>
                    </w:sdtPr>
                    <w:sdtContent>
                      <w:r>
                        <w:rPr>
                          <w:szCs w:val="24"/>
                        </w:rPr>
                        <w:t>2</w:t>
                      </w:r>
                    </w:sdtContent>
                  </w:sdt>
                  <w:r>
                    <w:rPr>
                      <w:b/>
                      <w:bCs/>
                      <w:szCs w:val="24"/>
                    </w:rPr>
                    <w:t xml:space="preserve">. </w:t>
                  </w:r>
                  <w:r>
                    <w:rPr>
                      <w:color w:val="000000"/>
                    </w:rPr>
                    <w:t xml:space="preserve">Pirminės ir antrinės sveikatos priežiūros paslaugos, teikiamos atliekant profilaktinius sveikatos tikrinimus, nurodytus 1.1–1.3, 1.5–1.7 ir 1.13-1-1.13.3 papunkčiuose, apdraustiesiems privalomuoju sveikatos draudimu (toliau – apdraustieji) apmokamos iš Privalomojo sveikatos draudimo fondo biudžeto lėšų. Pirminės sveikatos priežiūros paslaugos (šeimos gydytojo ar gydytojo specialisto, teikiančio šeimos gydytojo paslaugas) apmokamos pagal nustatytą metinę vieno gyventojo pirminės sveikatos priežiūros bazinę kainą, šiuo įsakymu reglamentuojamos gydytojų specialistų konsultacijos – pagal gydytojų specialistų profilaktinio tikrinimo bazinę kainą, nurodytą Asmens sveikatos priežiūros paslaugų (išskyrus aktyviojo gydymo), apmokamų Privalomojo sveikatos draudimo fondo biudžeto lėšomis, ir jų bazinių kainų sąraše, patvirtintame Lietuvos Respublikos sveikatos apsaugos ministro 2022 m. lapkričio 3 d. įsakymu Nr. V-1630 „Dėl asmens sveikatos priežiūros paslaugų ir jų bazinių kainų sąrašo bei su šiomis paslaugomis susijusių priemokų, mokamų Privalomojo sveikatos draudimo fondo biudžeto lėšomis, sąrašų patvirtinimo“. Pirminės asmens sveikatos priežiūros paslaugos, teikiamos atliekant profilaktinius sveikatos tikrinimus, nurodytus  1.13.4 papunktyje, </w:t>
                  </w:r>
                  <w:r>
                    <w:t xml:space="preserve">apdraustiesiems apmokamos iš Privalomojo sveikatos draudimo fondo biudžeto lėšų </w:t>
                  </w:r>
                  <w:r>
                    <w:rPr>
                      <w:color w:val="000000"/>
                    </w:rPr>
                    <w:t xml:space="preserve">Pirminės ambulatorinės asmens sveikatos priežiūros paslaugų teikimo organizavimo ir šių paslaugų išlaidų apmokėjimo tvarkos aprašo, patvirtinto </w:t>
                  </w:r>
                  <w:r>
                    <w:t xml:space="preserve">Lietuvos Respublikos sveikatos apsaugos ministro 2005 m. gruodžio 5 d. įsakymu Nr. V-943 „Dėl Pirminės ambulatorinės asmens sveikatos priežiūros paslaugų teikimo organizavimo ir šių paslaugų išlaidų apmokėjimo tvarkos aprašo tvirtinimo“, 35 punkte nustatyta tvarka. </w:t>
                  </w:r>
                  <w:r>
                    <w:rPr>
                      <w:color w:val="101010"/>
                      <w:shd w:val="clear" w:color="auto" w:fill="FFFFFF"/>
                    </w:rPr>
                    <w:t>Lietuvos sporto centro Sporto medicinos departamente </w:t>
                  </w:r>
                  <w:r>
                    <w:rPr>
                      <w:color w:val="000000"/>
                    </w:rPr>
                    <w:t>profilaktiniai sveikatos tikrinimai atliekami vadovaujantis Sportuojančių asmenų sveikatos tikrinimo tvarką (5 priedas). Šių tikrinimų išlaidos apmokamos lėšomis, skirtomis </w:t>
                  </w:r>
                  <w:r>
                    <w:rPr>
                      <w:color w:val="101010"/>
                      <w:shd w:val="clear" w:color="auto" w:fill="FFFFFF"/>
                    </w:rPr>
                    <w:t>Lietuvos sporto centro Sporto medicinos departamentui </w:t>
                  </w:r>
                  <w:r>
                    <w:rPr>
                      <w:color w:val="000000"/>
                    </w:rPr>
                    <w:t>išlaikyti.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61250a64511ed8df094f359a60216">
                    <w:r w:rsidRPr="00532B9F">
                      <w:rPr>
                        <w:rFonts w:ascii="Times New Roman" w:eastAsia="MS Mincho" w:hAnsi="Times New Roman"/>
                        <w:sz w:val="20"/>
                        <w:i/>
                        <w:iCs/>
                        <w:color w:val="0000FF" w:themeColor="hyperlink"/>
                        <w:u w:val="single"/>
                      </w:rPr>
                      <w:t>V-175</w:t>
                    </w:r>
                  </w:fldSimple>
                  <w:r>
                    <w:rPr>
                      <w:rFonts w:ascii="Times New Roman" w:eastAsia="MS Mincho" w:hAnsi="Times New Roman"/>
                      <w:sz w:val="20"/>
                      <w:i/>
                      <w:iCs/>
                    </w:rPr>
                    <w:t>,
2023-02-06,
paskelbta TAR 2023-02-06, i. k. 2023-02219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742710121811efbcbfb318996800a8">
                    <w:r w:rsidRPr="00532B9F">
                      <w:rPr>
                        <w:rFonts w:ascii="Times New Roman" w:eastAsia="MS Mincho" w:hAnsi="Times New Roman"/>
                        <w:sz w:val="20"/>
                        <w:i/>
                        <w:iCs/>
                        <w:color w:val="0000FF" w:themeColor="hyperlink"/>
                        <w:u w:val="single"/>
                      </w:rPr>
                      <w:t>V-530</w:t>
                    </w:r>
                  </w:fldSimple>
                  <w:r>
                    <w:rPr>
                      <w:rFonts w:ascii="Times New Roman" w:eastAsia="MS Mincho" w:hAnsi="Times New Roman"/>
                      <w:sz w:val="20"/>
                      <w:i/>
                      <w:iCs/>
                    </w:rPr>
                    <w:t>,
2024-05-13,
paskelbta TAR 2024-05-15, i. k. 2024-08858            </w:t>
                  </w:r>
                </w:p>
                <w:p/>
              </w:sdtContent>
            </w:sdt>
            <w:sdt>
              <w:sdtPr>
                <w:alias w:val="1 pr. 3 p."/>
                <w:tag w:val="part_d2065fb0008c4d8b9ec327d548a265ec"/>
                <w:lock w:val="sdtLocked"/>
                <w:richText/>
              </w:sdtPr>
              <w:sdtContent>
                <w:p>
                  <w:pPr>
                    <w:widowControl w:val="0"/>
                    <w:ind w:firstLine="720"/>
                    <w:jc w:val="both"/>
                    <w:rPr>
                      <w:color w:val="000000"/>
                    </w:rPr>
                  </w:pPr>
                  <w:sdt>
                    <w:sdtPr>
                      <w:alias w:val="Numeris"/>
                      <w:tag w:val="nr_d2065fb0008c4d8b9ec327d548a265ec"/>
                      <w:lock w:val="sdtLocked"/>
                      <w:richText/>
                    </w:sdtPr>
                    <w:sdtContent>
                      <w:r>
                        <w:rPr>
                          <w:color w:val="000000"/>
                        </w:rPr>
                        <w:t>3</w:t>
                      </w:r>
                    </w:sdtContent>
                  </w:sdt>
                  <w:r>
                    <w:rPr>
                      <w:color w:val="000000"/>
                    </w:rPr>
                    <w:t>. Pirminės ir antrinės sveikatos priežiūros paslaugos, teikiamos atliekant profilaktinius sveikatos tikrinimus, nurodytus 1.4 punkte, krašto apsaugos, vidaus reikalų sistemos sveikatos priežiūros įstaigose apmokamos iš lėšų, skirtų šioms įstaigoms išlaikyti. Šiais atvejais asmens sveikatos priežiūros įstaiga, kurią pacientai yra pasirinkę, išduoda išrašą (F Nr. 027/a) iš asmens sveikatos istorijos (F Nr. 025/a) ar asmens sveikatos istoriją (F Nr. 025/a), ne trumpesnę kaip paskutinių 5 metų (F Nr. 025/a išduodama tik prašant asmens sveikatos priežiūros įstaigai).</w:t>
                  </w:r>
                </w:p>
              </w:sdtContent>
            </w:sdt>
            <w:sdt>
              <w:sdtPr>
                <w:alias w:val="1 pr. 4 p."/>
                <w:tag w:val="part_2b731c66709e4c328681cbff896cfffa"/>
                <w:lock w:val="sdtLocked"/>
                <w:richText/>
              </w:sdtPr>
              <w:sdtContent>
                <w:p>
                  <w:pPr>
                    <w:widowControl w:val="0"/>
                    <w:ind w:firstLine="720"/>
                    <w:jc w:val="both"/>
                    <w:rPr>
                      <w:color w:val="000000"/>
                    </w:rPr>
                  </w:pPr>
                  <w:sdt>
                    <w:sdtPr>
                      <w:alias w:val="Numeris"/>
                      <w:tag w:val="nr_2b731c66709e4c328681cbff896cfffa"/>
                      <w:lock w:val="sdtLocked"/>
                      <w:richText/>
                    </w:sdtPr>
                    <w:sdtContent>
                      <w:r>
                        <w:rPr>
                          <w:color w:val="000000"/>
                        </w:rPr>
                        <w:t>4</w:t>
                      </w:r>
                    </w:sdtContent>
                  </w:sdt>
                  <w:r>
                    <w:rPr>
                      <w:color w:val="000000"/>
                    </w:rPr>
                    <w:t xml:space="preserve">. Pirminės ir antrinės sveikatos priežiūros paslaugas, teikiamas atliekant profilaktinius sveikatos tikrinimus, nurodytus 1.8–1.11 punktuose, apmoka pacientas arba už jį moka kiti fiziniai ar juridiniai asmenys pagal sveikatos apsaugos ministro 1999 07 30 įsakymu Nr. 357 „Dėl mokamų asmens sveikatos priežiūros paslaugų sąrašo, kainų nustatymo ir jų indeksavimo tvarkos bei šių paslaugų teikimo ir apmokėjimo tvarkos“ (Žin., 1999, Nr. </w:t>
                  </w:r>
                  <w:hyperlink r:id="rId24" w:tgtFrame="_blank" w:history="1">
                    <w:r>
                      <w:rPr>
                        <w:color w:val="0000FF" w:themeColor="hyperlink"/>
                        <w:u w:val="single"/>
                      </w:rPr>
                      <w:t>67-2175</w:t>
                    </w:r>
                  </w:hyperlink>
                  <w:r>
                    <w:rPr>
                      <w:color w:val="000000"/>
                    </w:rPr>
                    <w:t>) patvirtintas mokamų asmens sveikatos priežiūros paslaugų kainas.</w:t>
                  </w:r>
                </w:p>
              </w:sdtContent>
            </w:sdt>
            <w:sdt>
              <w:sdtPr>
                <w:alias w:val="1 pr. 5 p."/>
                <w:tag w:val="part_43ea2376ca7e4ff380f65cf5472c2d17"/>
                <w:lock w:val="sdtLocked"/>
                <w:richText/>
              </w:sdtPr>
              <w:sdtContent>
                <w:p>
                  <w:pPr>
                    <w:widowControl w:val="0"/>
                    <w:ind w:firstLine="720"/>
                    <w:jc w:val="both"/>
                    <w:rPr>
                      <w:color w:val="000000"/>
                    </w:rPr>
                  </w:pPr>
                  <w:sdt>
                    <w:sdtPr>
                      <w:alias w:val="Numeris"/>
                      <w:tag w:val="nr_43ea2376ca7e4ff380f65cf5472c2d17"/>
                      <w:lock w:val="sdtLocked"/>
                      <w:richText/>
                    </w:sdtPr>
                    <w:sdtContent>
                      <w:r>
                        <w:rPr>
                          <w:color w:val="000000"/>
                        </w:rPr>
                        <w:t>5</w:t>
                      </w:r>
                    </w:sdtContent>
                  </w:sdt>
                  <w:r>
                    <w:rPr>
                      <w:color w:val="000000"/>
                    </w:rPr>
                    <w:t>. Išankstinių (prieš pradedant darbą) ir periodinių profilaktinių 1.12 papunkčiuose nurodytų sveikatos tikrinimų paslaugos apmokamos šia tvarka:</w:t>
                  </w:r>
                </w:p>
                <w:sdt>
                  <w:sdtPr>
                    <w:alias w:val="1 pr. 5.1 p."/>
                    <w:tag w:val="part_920f51a0aa434881be848a632dd5ff1f"/>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709"/>
                        <w:jc w:val="both"/>
                        <w:rPr>
                          <w:color w:val="000000"/>
                        </w:rPr>
                      </w:pPr>
                      <w:sdt>
                        <w:sdtPr>
                          <w:alias w:val="Numeris"/>
                          <w:tag w:val="nr_920f51a0aa434881be848a632dd5ff1f"/>
                          <w:lock w:val="sdtLocked"/>
                          <w:richText/>
                        </w:sdtPr>
                        <w:sdtContent>
                          <w:r>
                            <w:rPr>
                              <w:szCs w:val="24"/>
                              <w:lang w:eastAsia="lt-LT"/>
                            </w:rPr>
                            <w:t>5.1</w:t>
                          </w:r>
                        </w:sdtContent>
                      </w:sdt>
                      <w:r>
                        <w:rPr>
                          <w:szCs w:val="24"/>
                          <w:lang w:eastAsia="lt-LT"/>
                        </w:rPr>
                        <w:t>. įsidarbinant (1.12 papunktis) numatytos šios tvarkos prieduose pirminės sveikatos priežiūros paslaugų išlaidos apdraustiesiems apmokamos iš Privalomojo sveikatos draudimo fondo biudžeto lėšų (nustatytos pirminės sveikatos priežiūros metinės vieno gyventojo bazinės kainos), 1.12.1–1.12.5 papunkčiuose nurodytų sveikatos tikrinimų antrinės sveikatos priežiūros paslaugos ir pirminės sveikatos priežiūros specializuotos darbo medicinos paslaugos apmokamos iš darbdavio lėšų pagal šiuo įsakymu patvirtintą profilaktinio tikrinimo kainą. 1.12.6 papunktyje nurodytų sveikatos tikrinimų (</w:t>
                      </w:r>
                      <w:r>
                        <w:rPr>
                          <w:szCs w:val="24"/>
                        </w:rPr>
                        <w:t>darbuotojų, kuriems leidžiama dirbti tik iš anksto pasitikrinusiems ir vėliau periodiškai besitikrinantiems, ar neserga užkrečiamosiomis ligomis</w:t>
                      </w:r>
                      <w:r>
                        <w:rPr>
                          <w:szCs w:val="24"/>
                          <w:lang w:eastAsia="lt-LT"/>
                        </w:rPr>
                        <w:t>) antrinės sveikatos priežiūros paslaugas apmoka pats pacientas arba už jį moka kiti fiziniai ar juridiniai asmenys pagal šiuo įsakymu patvirtintą profilaktinio tikrinimo kainą;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6f3b7046d011ec992fe4cdfceb5666">
                        <w:r w:rsidRPr="00532B9F">
                          <w:rPr>
                            <w:rFonts w:ascii="Times New Roman" w:eastAsia="MS Mincho" w:hAnsi="Times New Roman"/>
                            <w:sz w:val="20"/>
                            <w:i/>
                            <w:iCs/>
                            <w:color w:val="0000FF" w:themeColor="hyperlink"/>
                            <w:u w:val="single"/>
                          </w:rPr>
                          <w:t>V-2596</w:t>
                        </w:r>
                      </w:fldSimple>
                      <w:r>
                        <w:rPr>
                          <w:rFonts w:ascii="Times New Roman" w:eastAsia="MS Mincho" w:hAnsi="Times New Roman"/>
                          <w:sz w:val="20"/>
                          <w:i/>
                          <w:iCs/>
                        </w:rPr>
                        <w:t>,
2021-11-16,
paskelbta TAR 2021-11-16, i. k. 2021-23674            </w:t>
                      </w:r>
                    </w:p>
                    <w:p/>
                  </w:sdtContent>
                </w:sdt>
                <w:sdt>
                  <w:sdtPr>
                    <w:alias w:val="1 pr. 5.2 p."/>
                    <w:tag w:val="part_5517faf5e2f542ea9dbac563d67ae0d2"/>
                    <w:lock w:val="sdtLocked"/>
                    <w:richText/>
                  </w:sdtPr>
                  <w:sdtContent>
                    <w:p>
                      <w:pPr>
                        <w:widowControl w:val="0"/>
                        <w:ind w:firstLine="720"/>
                        <w:jc w:val="both"/>
                        <w:rPr>
                          <w:color w:val="000000"/>
                        </w:rPr>
                      </w:pPr>
                      <w:sdt>
                        <w:sdtPr>
                          <w:alias w:val="Numeris"/>
                          <w:tag w:val="nr_5517faf5e2f542ea9dbac563d67ae0d2"/>
                          <w:lock w:val="sdtLocked"/>
                          <w:richText/>
                        </w:sdtPr>
                        <w:sdtContent>
                          <w:r>
                            <w:rPr>
                              <w:color w:val="000000"/>
                            </w:rPr>
                            <w:t>5.2</w:t>
                          </w:r>
                        </w:sdtContent>
                      </w:sdt>
                      <w:r>
                        <w:rPr>
                          <w:color w:val="000000"/>
                        </w:rPr>
                        <w:t>. periodinių sveikatos tikrinimų (1.12 papunktis) išlaidos apmokamos iš darbdavio lėšų.</w:t>
                      </w:r>
                    </w:p>
                  </w:sdtContent>
                </w:sdt>
                <w:sdt>
                  <w:sdtPr>
                    <w:alias w:val="1 pr. 5.3 p."/>
                    <w:tag w:val="part_3eadeabdf5124ec986efb7665b3334c3"/>
                    <w:lock w:val="sdtLocked"/>
                    <w:richText/>
                  </w:sdtPr>
                  <w:sdtContent>
                    <w:p>
                      <w:pPr>
                        <w:ind w:firstLine="851"/>
                        <w:jc w:val="both"/>
                      </w:pPr>
                      <w:sdt>
                        <w:sdtPr>
                          <w:alias w:val="Numeris"/>
                          <w:tag w:val="nr_3eadeabdf5124ec986efb7665b3334c3"/>
                          <w:lock w:val="sdtLocked"/>
                          <w:richText/>
                        </w:sdtPr>
                        <w:sdtContent>
                          <w:r>
                            <w:rPr>
                              <w:szCs w:val="24"/>
                              <w:lang w:eastAsia="lt-LT"/>
                            </w:rPr>
                            <w:t>5.3</w:t>
                          </w:r>
                        </w:sdtContent>
                      </w:sdt>
                      <w:r>
                        <w:rPr>
                          <w:szCs w:val="24"/>
                          <w:lang w:eastAsia="lt-LT"/>
                        </w:rPr>
                        <w:t>. Profilaktinių sveikatos tikrinimų kainos, nurodytos Profilaktinių sveikatos tikrinimų, už kuriuos moka pats darbuotojas, darbdavys ar kiti asmenys, kainų sąraše (18 priedas), gali būti indeksuojamos taikant koeficientą, apskaičiuotą Mokamų asmens sveikatos priežiūros paslaugų kainų nustatymo ir jų indeksavimo tvarkos, patvirtintos Lietuvos Respublikos sveikatos apsaugos ministro 1999 m. liepos 30 d. įsakymu Nr. 357 „Dėl Mokamų asmens sveikatos priežiūros paslaugų sąrašo, kainų nustatymo ir jų indeksavimo tvarkos bei šių paslaugų teikimo ir apmokėjimo tvarkos“, 2 punkte nustatyta tvarka. Kainos gali būti indeksuojamos, kai koeficientas yra ne mažesnis kaip 1,2.</w:t>
                      </w:r>
                      <w:r>
                        <w:t xml:space="preserve"> </w:t>
                      </w:r>
                    </w:p>
                    <w:p>
                      <w:pPr>
                        <w:jc w:val="both"/>
                        <w:rPr>
                          <w:color w:val="000000"/>
                        </w:rPr>
                      </w:pPr>
                      <w:r>
                        <w:rPr>
                          <w:b/>
                          <w:i/>
                          <w:sz w:val="20"/>
                          <w:lang w:eastAsia="lt-LT"/>
                        </w:rPr>
                        <w:t>TAR pastaba</w:t>
                      </w:r>
                      <w:r>
                        <w:rPr>
                          <w:i/>
                          <w:sz w:val="20"/>
                          <w:lang w:eastAsia="lt-LT"/>
                        </w:rPr>
                        <w:t>: įsakymo pakeitimo nuostatos taikomos atsiskaitant už asmens sveikatos priežiūros paslaugas, suteiktas nuo 2023 m. sausio 1 d</w:t>
                      </w:r>
                      <w:r>
                        <w:rPr>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AF677B2B031">
                        <w:r w:rsidRPr="00532B9F">
                          <w:rPr>
                            <w:rFonts w:ascii="Times New Roman" w:eastAsia="MS Mincho" w:hAnsi="Times New Roman"/>
                            <w:sz w:val="20"/>
                            <w:i/>
                            <w:iCs/>
                            <w:color w:val="0000FF" w:themeColor="hyperlink"/>
                            <w:u w:val="single"/>
                          </w:rPr>
                          <w:t>V-481</w:t>
                        </w:r>
                      </w:fldSimple>
                      <w:r>
                        <w:rPr>
                          <w:rFonts w:ascii="Times New Roman" w:eastAsia="MS Mincho" w:hAnsi="Times New Roman"/>
                          <w:sz w:val="20"/>
                          <w:i/>
                          <w:iCs/>
                        </w:rPr>
                        <w:t>,
2011-05-19,
Žin., 2011, Nr.
63-3002 (2011-05-26), i. k. 1112250ISAK000V-481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c9c90465d11e5a38cd6cdb94b0c51">
                        <w:r w:rsidRPr="00532B9F">
                          <w:rPr>
                            <w:rFonts w:ascii="Times New Roman" w:eastAsia="MS Mincho" w:hAnsi="Times New Roman"/>
                            <w:sz w:val="20"/>
                            <w:i/>
                            <w:iCs/>
                            <w:color w:val="0000FF" w:themeColor="hyperlink"/>
                            <w:u w:val="single"/>
                          </w:rPr>
                          <w:t>V-990</w:t>
                        </w:r>
                      </w:fldSimple>
                      <w:r>
                        <w:rPr>
                          <w:rFonts w:ascii="Times New Roman" w:eastAsia="MS Mincho" w:hAnsi="Times New Roman"/>
                          <w:sz w:val="20"/>
                          <w:i/>
                          <w:iCs/>
                        </w:rPr>
                        <w:t>,
2015-08-18,
paskelbta TAR 2015-08-19, i. k. 2015-12418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331b102b1511eabe008ea93139d588">
                        <w:r w:rsidRPr="00532B9F">
                          <w:rPr>
                            <w:rFonts w:ascii="Times New Roman" w:eastAsia="MS Mincho" w:hAnsi="Times New Roman"/>
                            <w:sz w:val="20"/>
                            <w:i/>
                            <w:iCs/>
                            <w:color w:val="0000FF" w:themeColor="hyperlink"/>
                            <w:u w:val="single"/>
                          </w:rPr>
                          <w:t>V-1512</w:t>
                        </w:r>
                      </w:fldSimple>
                      <w:r>
                        <w:rPr>
                          <w:rFonts w:ascii="Times New Roman" w:eastAsia="MS Mincho" w:hAnsi="Times New Roman"/>
                          <w:sz w:val="20"/>
                          <w:i/>
                          <w:iCs/>
                        </w:rPr>
                        <w:t>,
2019-12-30,
paskelbta TAR 2019-12-31, i. k. 2019-21686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61250a64511ed8df094f359a60216">
                        <w:r w:rsidRPr="00532B9F">
                          <w:rPr>
                            <w:rFonts w:ascii="Times New Roman" w:eastAsia="MS Mincho" w:hAnsi="Times New Roman"/>
                            <w:sz w:val="20"/>
                            <w:i/>
                            <w:iCs/>
                            <w:color w:val="0000FF" w:themeColor="hyperlink"/>
                            <w:u w:val="single"/>
                          </w:rPr>
                          <w:t>V-175</w:t>
                        </w:r>
                      </w:fldSimple>
                      <w:r>
                        <w:rPr>
                          <w:rFonts w:ascii="Times New Roman" w:eastAsia="MS Mincho" w:hAnsi="Times New Roman"/>
                          <w:sz w:val="20"/>
                          <w:i/>
                          <w:iCs/>
                        </w:rPr>
                        <w:t>,
2023-02-06,
paskelbta TAR 2023-02-06, i. k. 2023-02219            </w:t>
                      </w:r>
                    </w:p>
                    <w:p/>
                  </w:sdtContent>
                </w:sdt>
              </w:sdtContent>
            </w:sdt>
            <w:sdt>
              <w:sdtPr>
                <w:alias w:val="1 pr. 6 p."/>
                <w:tag w:val="part_0cd2f975c3264c48a6431b523231041b"/>
                <w:lock w:val="sdtLocked"/>
                <w:richText/>
              </w:sdtPr>
              <w:sdtContent>
                <w:p>
                  <w:pPr>
                    <w:widowControl w:val="0"/>
                    <w:ind w:firstLine="720"/>
                    <w:jc w:val="both"/>
                    <w:rPr>
                      <w:color w:val="000000"/>
                    </w:rPr>
                  </w:pPr>
                  <w:sdt>
                    <w:sdtPr>
                      <w:alias w:val="Numeris"/>
                      <w:tag w:val="nr_0cd2f975c3264c48a6431b523231041b"/>
                      <w:lock w:val="sdtLocked"/>
                      <w:richText/>
                    </w:sdtPr>
                    <w:sdtContent>
                      <w:r>
                        <w:rPr>
                          <w:color w:val="000000"/>
                        </w:rPr>
                        <w:t>6</w:t>
                      </w:r>
                    </w:sdtContent>
                  </w:sdt>
                  <w:r>
                    <w:rPr>
                      <w:color w:val="000000"/>
                    </w:rPr>
                    <w:t xml:space="preserve">. Neapdraustieji privalomuoju sveikatos draudimu (išskyrus nėščiąsias) už visas profilaktinio sveikatos tikrinimo paslaugas moka patys ar už juos moka kiti fiziniai ar juridiniai asmenys pagal profilaktinių tikrinimų ar paslaugų kainas, nustatytas Sveikatos apsaugos ministerijos 1996 03 26 įsakymu Nr. 178 „Dėl valstybės ir savivaldybių remiamų asmens sveikatos priežiūros paslaugų kainyno patvirtinimo“ (Žin.,1996, Nr. </w:t>
                  </w:r>
                  <w:hyperlink r:id="rId25" w:tgtFrame="_blank" w:history="1">
                    <w:r>
                      <w:rPr>
                        <w:color w:val="0000FF" w:themeColor="hyperlink"/>
                        <w:u w:val="single"/>
                      </w:rPr>
                      <w:t>35-892</w:t>
                    </w:r>
                  </w:hyperlink>
                  <w:r>
                    <w:rPr>
                      <w:color w:val="000000"/>
                    </w:rPr>
                    <w:t>).</w:t>
                  </w:r>
                </w:p>
              </w:sdtContent>
            </w:sdt>
            <w:sdt>
              <w:sdtPr>
                <w:alias w:val="1 pr. 7 p."/>
                <w:tag w:val="part_53b9ec944d254592a5c32db30318cbb0"/>
                <w:lock w:val="sdtLocked"/>
                <w:richText/>
              </w:sdtPr>
              <w:sdtContent>
                <w:p>
                  <w:pPr>
                    <w:widowControl w:val="0"/>
                    <w:ind w:firstLine="720"/>
                    <w:jc w:val="both"/>
                    <w:rPr>
                      <w:color w:val="000000"/>
                    </w:rPr>
                  </w:pPr>
                  <w:sdt>
                    <w:sdtPr>
                      <w:alias w:val="Numeris"/>
                      <w:tag w:val="nr_53b9ec944d254592a5c32db30318cbb0"/>
                      <w:lock w:val="sdtLocked"/>
                      <w:richText/>
                    </w:sdtPr>
                    <w:sdtContent>
                      <w:r>
                        <w:rPr>
                          <w:color w:val="000000"/>
                        </w:rPr>
                        <w:t>7</w:t>
                      </w:r>
                    </w:sdtContent>
                  </w:sdt>
                  <w:r>
                    <w:rPr>
                      <w:color w:val="000000"/>
                    </w:rPr>
                    <w:t>. Jei asmuo tuo pačiu metu kreipiasi dėl kelių profilaktinių sveikatos tikrinimų, tai mokama tik už vieną, daugiau kainuojantį, sveikatos tikrinimą.</w:t>
                  </w:r>
                </w:p>
              </w:sdtContent>
            </w:sdt>
            <w:sdt>
              <w:sdtPr>
                <w:alias w:val="1 pr. 8 p."/>
                <w:tag w:val="part_cc5e6cc8391b443ca427ec562decb388"/>
                <w:lock w:val="sdtLocked"/>
                <w:richText/>
              </w:sdtPr>
              <w:sdtContent>
                <w:p>
                  <w:pPr>
                    <w:widowControl w:val="0"/>
                    <w:ind w:firstLine="720"/>
                    <w:jc w:val="both"/>
                    <w:rPr>
                      <w:color w:val="000000"/>
                    </w:rPr>
                  </w:pPr>
                  <w:sdt>
                    <w:sdtPr>
                      <w:alias w:val="Numeris"/>
                      <w:tag w:val="nr_cc5e6cc8391b443ca427ec562decb388"/>
                      <w:lock w:val="sdtLocked"/>
                      <w:richText/>
                    </w:sdtPr>
                    <w:sdtContent>
                      <w:r>
                        <w:rPr>
                          <w:color w:val="000000"/>
                        </w:rPr>
                        <w:t>8</w:t>
                      </w:r>
                    </w:sdtContent>
                  </w:sdt>
                  <w:r>
                    <w:rPr>
                      <w:color w:val="000000"/>
                    </w:rPr>
                    <w:t>. Pirminės sveikatos priežiūros paslaugos apdraustiesiems šios tvarkos numatytais atvejais apmokamos iš Privalomojo sveikatos draudimo fondo biudžeto lėšų (pirminės sveikatos priežiūros metinės vieno gyventojo bazinės kainos), kai apdraustiesiems šios paslaugos suteikiamos toje sveikatos priežiūros įstaigoje, kurią jie nustatyta tvarka yra pasirinkę. Jei apdraustieji dėl šių paslaugų kreipiasi į kitą sveikatos priežiūros įstaigą, už paslaugas moka patys arba už juos moka kiti fiziniai ar juridiniai asmenys. Pirminės sveikatos priežiūros profilaktinių sveikatos tikrinimų paslaugos atliekamos vadovaujantis Lietuvos medicinos norma MN 14:1999 „Bendrosios praktikos gydytojas. Teisės, pareigos, kompetencija ir atsakomybė“.</w:t>
                  </w:r>
                </w:p>
              </w:sdtContent>
            </w:sdt>
            <w:sdt>
              <w:sdtPr>
                <w:alias w:val="1 pr. 9 p."/>
                <w:tag w:val="part_d2a8947929b54755b3620c68251855b8"/>
                <w:lock w:val="sdtLocked"/>
                <w:richText/>
              </w:sdtPr>
              <w:sdtContent>
                <w:p>
                  <w:pPr>
                    <w:widowControl w:val="0"/>
                    <w:ind w:firstLine="720"/>
                    <w:jc w:val="both"/>
                    <w:rPr>
                      <w:color w:val="000000"/>
                    </w:rPr>
                  </w:pPr>
                  <w:sdt>
                    <w:sdtPr>
                      <w:alias w:val="Numeris"/>
                      <w:tag w:val="nr_d2a8947929b54755b3620c68251855b8"/>
                      <w:lock w:val="sdtLocked"/>
                      <w:richText/>
                    </w:sdtPr>
                    <w:sdtContent>
                      <w:r>
                        <w:rPr>
                          <w:color w:val="000000"/>
                        </w:rPr>
                        <w:t>9</w:t>
                      </w:r>
                    </w:sdtContent>
                  </w:sdt>
                  <w:r>
                    <w:rPr>
                      <w:color w:val="000000"/>
                    </w:rPr>
                    <w:t>. Pacientas gali būti siunčiamas konsultuotis pas kitus gydytojus specialistus (nenurodytus šio įsakymo prieduose), jei profilaktinio sveikatos tikrinimo metu nustatomos medicininės indikacijos. Šios konsultacijos apmokamos pagal patvirtintą gydytojo specialisto konsultacijos bazinę kainą iš Privalomojo sveikatos draudimo fondo biudžeto lėšų.</w:t>
                  </w:r>
                </w:p>
              </w:sdtContent>
            </w:sdt>
            <w:sdt>
              <w:sdtPr>
                <w:alias w:val="1 pr. 10 p."/>
                <w:tag w:val="part_83850d30df4c4b10a06565142949c3b8"/>
                <w:lock w:val="sdtLocked"/>
                <w:richText/>
              </w:sdtPr>
              <w:sdtContent>
                <w:p>
                  <w:pPr>
                    <w:widowControl w:val="0"/>
                    <w:ind w:firstLine="720"/>
                    <w:jc w:val="both"/>
                    <w:rPr>
                      <w:color w:val="000000"/>
                    </w:rPr>
                  </w:pPr>
                  <w:sdt>
                    <w:sdtPr>
                      <w:alias w:val="Numeris"/>
                      <w:tag w:val="nr_83850d30df4c4b10a06565142949c3b8"/>
                      <w:lock w:val="sdtLocked"/>
                      <w:richText/>
                    </w:sdtPr>
                    <w:sdtContent>
                      <w:r>
                        <w:rPr>
                          <w:color w:val="000000"/>
                        </w:rPr>
                        <w:t>10</w:t>
                      </w:r>
                    </w:sdtContent>
                  </w:sdt>
                  <w:r>
                    <w:rPr>
                      <w:color w:val="000000"/>
                    </w:rPr>
                    <w:t>. Atvykusių savo noru profilaktinių sveikatos tikrinimų (1.13.3 papunktis), jei teisės aktai nenumato kitaip, periodiškumą, siuntimą atlikti tyrimus ir konsultuotis nustato pirminės sveikatos priežiūros paslaugas teikiantis gydytojas. Šios sveikatos priežiūros paslaugos apdraustiesiems apmokamos iš Privalomojo sveikatos draudimo fondo biudžeto lėšų (pirminės sveikatos priežiūros metinės vieno gyventojo bazinės kainos). Pas specialistus konsultuotis siunčiama tik esant medicininių indikacijų.</w:t>
                  </w:r>
                </w:p>
                <w:p>
                  <w:pPr>
                    <w:widowControl w:val="0"/>
                    <w:tabs>
                      <w:tab w:val="left" w:pos="6253"/>
                    </w:tabs>
                    <w:ind w:left="1069"/>
                    <w:jc w:val="both"/>
                    <w:rPr>
                      <w:color w:val="000000"/>
                    </w:rPr>
                  </w:pPr>
                </w:p>
              </w:sdtContent>
            </w:sdt>
          </w:sdtContent>
        </w:sdt>
        <w:sdt>
          <w:sdtPr>
            <w:alias w:val="skyrius"/>
            <w:tag w:val="part_762932fea13d47da8ebe953f76e1a78b"/>
            <w:lock w:val="sdtLocked"/>
            <w:richText/>
          </w:sdtPr>
          <w:sdtContent>
            <w:p>
              <w:pPr>
                <w:jc w:val="center"/>
                <w:rPr>
                  <w:b/>
                  <w:caps/>
                  <w:color w:val="000000"/>
                </w:rPr>
              </w:pPr>
              <w:sdt>
                <w:sdtPr>
                  <w:alias w:val="Numeris"/>
                  <w:tag w:val="nr_762932fea13d47da8ebe953f76e1a78b"/>
                  <w:lock w:val="sdtLocked"/>
                  <w:richText/>
                </w:sdtPr>
                <w:sdtContent>
                  <w:r>
                    <w:rPr>
                      <w:b/>
                      <w:caps/>
                      <w:color w:val="000000"/>
                    </w:rPr>
                    <w:t>III</w:t>
                  </w:r>
                </w:sdtContent>
              </w:sdt>
              <w:r>
                <w:rPr>
                  <w:b/>
                  <w:caps/>
                  <w:color w:val="000000"/>
                </w:rPr>
                <w:t xml:space="preserve">. </w:t>
              </w:r>
              <w:sdt>
                <w:sdtPr>
                  <w:alias w:val="Pavadinimas"/>
                  <w:tag w:val="title_762932fea13d47da8ebe953f76e1a78b"/>
                  <w:lock w:val="sdtLocked"/>
                  <w:richText/>
                </w:sdtPr>
                <w:sdtContent>
                  <w:r>
                    <w:rPr>
                      <w:b/>
                      <w:caps/>
                      <w:color w:val="000000"/>
                    </w:rPr>
                    <w:t>MEDICININĖS DOKUMENTACIJOS PILDYMAS ATLIKUS PROFILAKTINIUS SVEIKATOS TIKRINIMUS</w:t>
                  </w:r>
                </w:sdtContent>
              </w:sdt>
            </w:p>
            <w:p>
              <w:pPr>
                <w:widowControl w:val="0"/>
                <w:tabs>
                  <w:tab w:val="left" w:pos="6253"/>
                </w:tabs>
                <w:ind w:left="1069"/>
                <w:jc w:val="both"/>
                <w:rPr>
                  <w:color w:val="000000"/>
                </w:rPr>
              </w:pPr>
            </w:p>
            <w:sdt>
              <w:sdtPr>
                <w:alias w:val="1 pr. 11 p."/>
                <w:tag w:val="part_d48b677f49cd4d4690e084ab3a5536f0"/>
                <w:lock w:val="sdtLocked"/>
                <w:richText/>
              </w:sdtPr>
              <w:sdtContent>
                <w:p>
                  <w:pPr>
                    <w:widowControl w:val="0"/>
                    <w:ind w:firstLine="720"/>
                    <w:jc w:val="both"/>
                    <w:rPr>
                      <w:color w:val="000000"/>
                    </w:rPr>
                  </w:pPr>
                  <w:sdt>
                    <w:sdtPr>
                      <w:alias w:val="Numeris"/>
                      <w:tag w:val="nr_d48b677f49cd4d4690e084ab3a5536f0"/>
                      <w:lock w:val="sdtLocked"/>
                      <w:richText/>
                    </w:sdtPr>
                    <w:sdtContent>
                      <w:r>
                        <w:rPr>
                          <w:color w:val="000000"/>
                        </w:rPr>
                        <w:t>11</w:t>
                      </w:r>
                    </w:sdtContent>
                  </w:sdt>
                  <w:r>
                    <w:rPr>
                      <w:color w:val="000000"/>
                    </w:rPr>
                    <w:t>. Profilaktinių sveikatos tikrinimų duomenys įrašomi į paciento asmens sveikatos istoriją (F Nr. 025/a) ar vaiko sveikatos raidos istoriją (F Nr. 025-</w:t>
                  </w:r>
                  <w:smartTag w:uri="urn:schemas-microsoft-com:office:smarttags" w:element="metricconverter">
                    <w:smartTagPr>
                      <w:attr w:name="ProductID" w:val="112 a"/>
                    </w:smartTagPr>
                    <w:r>
                      <w:rPr>
                        <w:color w:val="000000"/>
                      </w:rPr>
                      <w:t>112 a</w:t>
                    </w:r>
                  </w:smartTag>
                  <w:r>
                    <w:rPr>
                      <w:color w:val="000000"/>
                    </w:rPr>
                    <w:t>) ir kitus reikiamus dokumentus.</w:t>
                  </w:r>
                </w:p>
              </w:sdtContent>
            </w:sdt>
            <w:sdt>
              <w:sdtPr>
                <w:alias w:val="1 pr. 12 p."/>
                <w:tag w:val="part_78b99775aec247998092b3d1be2912ea"/>
                <w:lock w:val="sdtLocked"/>
                <w:richText/>
              </w:sdtPr>
              <w:sdtContent>
                <w:p>
                  <w:pPr>
                    <w:widowControl w:val="0"/>
                    <w:ind w:firstLine="720"/>
                    <w:jc w:val="both"/>
                    <w:rPr>
                      <w:color w:val="000000"/>
                    </w:rPr>
                  </w:pPr>
                  <w:sdt>
                    <w:sdtPr>
                      <w:alias w:val="Numeris"/>
                      <w:tag w:val="nr_78b99775aec247998092b3d1be2912ea"/>
                      <w:lock w:val="sdtLocked"/>
                      <w:richText/>
                    </w:sdtPr>
                    <w:sdtContent>
                      <w:r>
                        <w:rPr>
                          <w:color w:val="000000"/>
                        </w:rPr>
                        <w:t>12</w:t>
                      </w:r>
                    </w:sdtContent>
                  </w:sdt>
                  <w:r>
                    <w:rPr>
                      <w:color w:val="000000"/>
                    </w:rPr>
                    <w:t>. Atlikus profilaktinį tikrinimą, pacientui išduodama nustatytos formos pažyma.</w:t>
                  </w:r>
                </w:p>
                <w:p>
                  <w:pPr>
                    <w:tabs>
                      <w:tab w:val="left" w:pos="1304"/>
                      <w:tab w:val="left" w:pos="1457"/>
                      <w:tab w:val="left" w:pos="1604"/>
                      <w:tab w:val="left" w:pos="1757"/>
                    </w:tabs>
                    <w:jc w:val="center"/>
                    <w:rPr>
                      <w:color w:val="000000"/>
                    </w:rPr>
                  </w:pPr>
                  <w:r>
                    <w:rPr>
                      <w:color w:val="000000"/>
                    </w:rPr>
                    <w:t>______________</w:t>
                  </w:r>
                </w:p>
              </w:sdtContent>
            </w:sdt>
          </w:sdtContent>
        </w:sdt>
      </w:sdtContent>
    </w:sdt>
    <w:sdt>
      <w:sdtPr>
        <w:alias w:val="2 pr."/>
        <w:tag w:val="part_8ae6e116f4634be680858dabb08f7081"/>
        <w:lock w:val="sdtLocked"/>
        <w:richText/>
      </w:sdtPr>
      <w:sdtContent>
        <w:p>
          <w:pPr>
            <w:tabs>
              <w:tab w:val="left" w:pos="1304"/>
              <w:tab w:val="left" w:pos="1457"/>
              <w:tab w:val="left" w:pos="1604"/>
              <w:tab w:val="left" w:pos="1757"/>
            </w:tabs>
            <w:ind w:left="5102"/>
            <w:sectPr>
              <w:pgSz w:w="11907" w:h="16840" w:code="9"/>
              <w:pgMar w:top="1134" w:right="1134" w:bottom="1134" w:left="1701" w:header="709" w:footer="709" w:gutter="0"/>
              <w:pgNumType w:start="1"/>
              <w:cols w:space="708"/>
              <w:titlePg/>
              <w:docGrid w:linePitch="326"/>
            </w:sectPr>
          </w:pPr>
        </w:p>
        <w:p>
          <w:pPr>
            <w:tabs>
              <w:tab w:val="left" w:pos="1304"/>
              <w:tab w:val="left" w:pos="1457"/>
              <w:tab w:val="left" w:pos="1604"/>
              <w:tab w:val="left" w:pos="1757"/>
            </w:tabs>
            <w:ind w:left="5102"/>
            <w:rPr>
              <w:color w:val="000000"/>
            </w:rPr>
          </w:pPr>
          <w:r>
            <w:rPr>
              <w:color w:val="000000"/>
            </w:rPr>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widowControl w:val="0"/>
            <w:tabs>
              <w:tab w:val="left" w:pos="6253"/>
            </w:tabs>
            <w:ind w:left="5462"/>
            <w:rPr>
              <w:color w:val="000000"/>
            </w:rPr>
          </w:pPr>
        </w:p>
        <w:p>
          <w:pPr>
            <w:tabs>
              <w:tab w:val="left" w:pos="1304"/>
              <w:tab w:val="left" w:pos="1457"/>
              <w:tab w:val="left" w:pos="1604"/>
              <w:tab w:val="left" w:pos="1757"/>
            </w:tabs>
            <w:ind w:left="5102"/>
            <w:rPr>
              <w:color w:val="000000"/>
            </w:rPr>
          </w:pPr>
          <w:sdt>
            <w:sdtPr>
              <w:alias w:val="Numeris"/>
              <w:tag w:val="nr_8ae6e116f4634be680858dabb08f7081"/>
              <w:lock w:val="sdtLocked"/>
              <w:richText/>
            </w:sdtPr>
            <w:sdtContent>
              <w:r>
                <w:rPr>
                  <w:color w:val="000000"/>
                </w:rPr>
                <w:t>2</w:t>
              </w:r>
            </w:sdtContent>
          </w:sdt>
          <w:r>
            <w:rPr>
              <w:color w:val="000000"/>
            </w:rPr>
            <w:t xml:space="preserve"> priedas</w:t>
          </w:r>
        </w:p>
        <w:p>
          <w:pPr>
            <w:widowControl w:val="0"/>
            <w:tabs>
              <w:tab w:val="left" w:pos="6253"/>
            </w:tabs>
            <w:ind w:left="1069"/>
            <w:jc w:val="both"/>
            <w:rPr>
              <w:color w:val="000000"/>
            </w:rPr>
          </w:pPr>
        </w:p>
        <w:p>
          <w:pPr>
            <w:jc w:val="center"/>
            <w:rPr>
              <w:b/>
              <w:caps/>
              <w:color w:val="000000"/>
            </w:rPr>
          </w:pPr>
          <w:sdt>
            <w:sdtPr>
              <w:alias w:val="Pavadinimas"/>
              <w:tag w:val="title_8ae6e116f4634be680858dabb08f7081"/>
              <w:lock w:val="sdtLocked"/>
              <w:richText/>
            </w:sdtPr>
            <w:sdtContent>
              <w:r>
                <w:rPr>
                  <w:b/>
                  <w:caps/>
                  <w:color w:val="000000"/>
                </w:rPr>
                <w:t>NĖŠČIŲJŲ IR MOTINŲ, IKI VAIKUI SUKAKS VIENERI METAI, SVEIKATOS TIKRINIMO TVARKA</w:t>
              </w:r>
            </w:sdtContent>
          </w:sdt>
        </w:p>
        <w:p>
          <w:pPr>
            <w:jc w:val="center"/>
            <w:rPr>
              <w:b/>
              <w:caps/>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128"/>
            <w:gridCol w:w="2024"/>
            <w:gridCol w:w="2101"/>
            <w:gridCol w:w="1964"/>
            <w:gridCol w:w="2420"/>
          </w:tblGrid>
          <w:tr>
            <w:tc>
              <w:tcPr>
                <w:tcW w:w="1128" w:type="dxa"/>
                <w:vMerge w:val="restart"/>
                <w:shd w:val="clear" w:color="auto" w:fill="auto"/>
              </w:tcPr>
              <w:p>
                <w:pPr>
                  <w:widowControl w:val="0"/>
                  <w:ind w:left="360"/>
                  <w:jc w:val="center"/>
                  <w:rPr>
                    <w:sz w:val="14"/>
                  </w:rPr>
                </w:pPr>
                <w:r>
                  <w:rPr>
                    <w:sz w:val="14"/>
                  </w:rPr>
                  <w:t>Eil. Nr.</w:t>
                </w:r>
              </w:p>
              <w:p>
                <w:pPr>
                  <w:widowControl w:val="0"/>
                  <w:ind w:left="360"/>
                  <w:jc w:val="center"/>
                  <w:rPr>
                    <w:sz w:val="14"/>
                  </w:rPr>
                </w:pPr>
              </w:p>
            </w:tc>
            <w:tc>
              <w:tcPr>
                <w:tcW w:w="2024" w:type="dxa"/>
                <w:vMerge w:val="restart"/>
                <w:shd w:val="clear" w:color="auto" w:fill="auto"/>
              </w:tcPr>
              <w:p>
                <w:pPr>
                  <w:widowControl w:val="0"/>
                  <w:ind w:left="360"/>
                  <w:jc w:val="center"/>
                  <w:rPr>
                    <w:sz w:val="14"/>
                  </w:rPr>
                </w:pPr>
                <w:r>
                  <w:rPr>
                    <w:sz w:val="14"/>
                  </w:rPr>
                  <w:t>Tikrinamųjų kontingentai</w:t>
                </w:r>
              </w:p>
            </w:tc>
            <w:tc>
              <w:tcPr>
                <w:tcW w:w="4065" w:type="dxa"/>
                <w:gridSpan w:val="2"/>
                <w:vMerge w:val="restart"/>
                <w:shd w:val="clear" w:color="auto" w:fill="auto"/>
              </w:tcPr>
              <w:p>
                <w:pPr>
                  <w:widowControl w:val="0"/>
                  <w:ind w:left="360"/>
                  <w:jc w:val="center"/>
                  <w:rPr>
                    <w:sz w:val="14"/>
                  </w:rPr>
                </w:pPr>
                <w:r>
                  <w:rPr>
                    <w:sz w:val="14"/>
                  </w:rPr>
                  <w:t>Tikrintojas</w:t>
                </w:r>
              </w:p>
            </w:tc>
            <w:tc>
              <w:tcPr>
                <w:tcW w:w="2420" w:type="dxa"/>
                <w:shd w:val="clear" w:color="auto" w:fill="auto"/>
              </w:tcPr>
              <w:p>
                <w:pPr>
                  <w:widowControl w:val="0"/>
                  <w:ind w:left="360"/>
                  <w:jc w:val="center"/>
                  <w:rPr>
                    <w:sz w:val="14"/>
                  </w:rPr>
                </w:pPr>
                <w:r>
                  <w:rPr>
                    <w:sz w:val="14"/>
                  </w:rPr>
                  <w:t>Sveikatos tikrinimų tvarką reglamentuojantys teisės aktai</w:t>
                </w:r>
              </w:p>
            </w:tc>
          </w:tr>
          <w:tr>
            <w:trPr>
              <w:trHeight w:val="230"/>
            </w:trPr>
            <w:tc>
              <w:tcPr>
                <w:tcW w:w="1128" w:type="dxa"/>
                <w:vMerge/>
                <w:shd w:val="clear" w:color="auto" w:fill="auto"/>
              </w:tcPr>
              <w:p>
                <w:pPr>
                  <w:widowControl w:val="0"/>
                  <w:ind w:left="360"/>
                  <w:jc w:val="center"/>
                  <w:rPr>
                    <w:sz w:val="14"/>
                  </w:rPr>
                </w:pPr>
              </w:p>
            </w:tc>
            <w:tc>
              <w:tcPr>
                <w:tcW w:w="2024" w:type="dxa"/>
                <w:vMerge/>
                <w:shd w:val="clear" w:color="auto" w:fill="auto"/>
              </w:tcPr>
              <w:p>
                <w:pPr>
                  <w:widowControl w:val="0"/>
                  <w:ind w:left="360"/>
                  <w:jc w:val="center"/>
                  <w:rPr>
                    <w:sz w:val="14"/>
                  </w:rPr>
                </w:pPr>
              </w:p>
            </w:tc>
            <w:tc>
              <w:tcPr>
                <w:tcW w:w="4065" w:type="dxa"/>
                <w:gridSpan w:val="2"/>
                <w:vMerge/>
                <w:shd w:val="clear" w:color="auto" w:fill="auto"/>
              </w:tcPr>
              <w:p>
                <w:pPr>
                  <w:widowControl w:val="0"/>
                  <w:ind w:left="360"/>
                  <w:jc w:val="center"/>
                  <w:rPr>
                    <w:sz w:val="14"/>
                  </w:rPr>
                </w:pPr>
              </w:p>
            </w:tc>
            <w:tc>
              <w:tcPr>
                <w:tcW w:w="2420" w:type="dxa"/>
                <w:vMerge w:val="restart"/>
                <w:shd w:val="clear" w:color="auto" w:fill="auto"/>
              </w:tcPr>
              <w:p>
                <w:pPr>
                  <w:widowControl w:val="0"/>
                  <w:ind w:left="360"/>
                  <w:jc w:val="center"/>
                  <w:rPr>
                    <w:sz w:val="14"/>
                  </w:rPr>
                </w:pPr>
              </w:p>
            </w:tc>
          </w:tr>
          <w:tr>
            <w:trPr>
              <w:trHeight w:val="905"/>
            </w:trPr>
            <w:tc>
              <w:tcPr>
                <w:tcW w:w="1128" w:type="dxa"/>
                <w:vMerge/>
                <w:tcBorders>
                  <w:bottom w:val="single" w:sz="4" w:space="0" w:color="auto"/>
                </w:tcBorders>
                <w:shd w:val="clear" w:color="auto" w:fill="auto"/>
              </w:tcPr>
              <w:p>
                <w:pPr>
                  <w:widowControl w:val="0"/>
                  <w:ind w:left="360"/>
                  <w:jc w:val="center"/>
                  <w:rPr>
                    <w:sz w:val="14"/>
                  </w:rPr>
                </w:pPr>
              </w:p>
            </w:tc>
            <w:tc>
              <w:tcPr>
                <w:tcW w:w="2024" w:type="dxa"/>
                <w:vMerge/>
                <w:tcBorders>
                  <w:bottom w:val="single" w:sz="4" w:space="0" w:color="auto"/>
                </w:tcBorders>
                <w:shd w:val="clear" w:color="auto" w:fill="auto"/>
              </w:tcPr>
              <w:p>
                <w:pPr>
                  <w:widowControl w:val="0"/>
                  <w:ind w:left="360"/>
                  <w:jc w:val="center"/>
                  <w:rPr>
                    <w:sz w:val="14"/>
                  </w:rPr>
                </w:pPr>
              </w:p>
            </w:tc>
            <w:tc>
              <w:tcPr>
                <w:tcW w:w="2101" w:type="dxa"/>
                <w:tcBorders>
                  <w:bottom w:val="single" w:sz="4" w:space="0" w:color="auto"/>
                </w:tcBorders>
                <w:shd w:val="clear" w:color="auto" w:fill="auto"/>
              </w:tcPr>
              <w:p>
                <w:pPr>
                  <w:widowControl w:val="0"/>
                  <w:ind w:left="360"/>
                  <w:jc w:val="center"/>
                  <w:rPr>
                    <w:sz w:val="14"/>
                  </w:rPr>
                </w:pPr>
                <w:r>
                  <w:rPr>
                    <w:sz w:val="14"/>
                  </w:rPr>
                  <w:t>Pirminio lygio asmens sveikatos priežiūros gydytojai</w:t>
                </w:r>
              </w:p>
            </w:tc>
            <w:tc>
              <w:tcPr>
                <w:tcW w:w="1964" w:type="dxa"/>
                <w:tcBorders>
                  <w:bottom w:val="single" w:sz="4" w:space="0" w:color="auto"/>
                </w:tcBorders>
                <w:shd w:val="clear" w:color="auto" w:fill="auto"/>
              </w:tcPr>
              <w:p>
                <w:pPr>
                  <w:widowControl w:val="0"/>
                  <w:ind w:left="360"/>
                  <w:jc w:val="center"/>
                  <w:rPr>
                    <w:sz w:val="14"/>
                  </w:rPr>
                </w:pPr>
                <w:r>
                  <w:rPr>
                    <w:sz w:val="14"/>
                  </w:rPr>
                  <w:t>Privalomos antrinio lygio gydytojų specialistų konsultacijos</w:t>
                </w:r>
              </w:p>
            </w:tc>
            <w:tc>
              <w:tcPr>
                <w:tcW w:w="2420" w:type="dxa"/>
                <w:vMerge/>
                <w:tcBorders>
                  <w:bottom w:val="single" w:sz="4" w:space="0" w:color="auto"/>
                </w:tcBorders>
                <w:shd w:val="clear" w:color="auto" w:fill="auto"/>
              </w:tcPr>
              <w:p>
                <w:pPr>
                  <w:widowControl w:val="0"/>
                  <w:ind w:left="360"/>
                  <w:jc w:val="center"/>
                  <w:rPr>
                    <w:sz w:val="14"/>
                  </w:rPr>
                </w:pPr>
              </w:p>
            </w:tc>
          </w:tr>
          <w:tr>
            <w:trPr>
              <w:trHeight w:val="4075"/>
            </w:trPr>
            <w:tc>
              <w:tcPr>
                <w:tcW w:w="1128" w:type="dxa"/>
                <w:shd w:val="clear" w:color="auto" w:fill="auto"/>
              </w:tcPr>
              <w:p>
                <w:pPr>
                  <w:widowControl w:val="0"/>
                  <w:ind w:left="360"/>
                  <w:rPr>
                    <w:sz w:val="14"/>
                  </w:rPr>
                </w:pPr>
                <w:r>
                  <w:rPr>
                    <w:sz w:val="14"/>
                  </w:rPr>
                  <w:t>1.</w:t>
                </w:r>
              </w:p>
            </w:tc>
            <w:tc>
              <w:tcPr>
                <w:tcW w:w="2024" w:type="dxa"/>
                <w:shd w:val="clear" w:color="auto" w:fill="auto"/>
              </w:tcPr>
              <w:p>
                <w:pPr>
                  <w:widowControl w:val="0"/>
                  <w:ind w:left="360"/>
                  <w:rPr>
                    <w:sz w:val="14"/>
                  </w:rPr>
                </w:pPr>
                <w:r>
                  <w:rPr>
                    <w:sz w:val="14"/>
                  </w:rPr>
                  <w:t>Ambulatorinė nėščiųjų priežiūra</w:t>
                </w:r>
              </w:p>
            </w:tc>
            <w:tc>
              <w:tcPr>
                <w:tcW w:w="2101" w:type="dxa"/>
                <w:shd w:val="clear" w:color="auto" w:fill="auto"/>
              </w:tcPr>
              <w:p>
                <w:pPr>
                  <w:widowControl w:val="0"/>
                  <w:ind w:left="360"/>
                  <w:rPr>
                    <w:sz w:val="14"/>
                  </w:rPr>
                </w:pPr>
                <w:r>
                  <w:rPr>
                    <w:sz w:val="14"/>
                  </w:rPr>
                  <w:t xml:space="preserve">Akušeris-ginekologas arba BPG (pagal Lietuvos medicinos normą MN 14:1999 „Bendrosios praktikos gydytojas. Teisės, pareigos, kompetencija ir atsakomybė“ (Žin., 1999, Nr. </w:t>
                </w:r>
                <w:hyperlink r:id="rId26" w:history="1">
                  <w:r>
                    <w:rPr>
                      <w:sz w:val="14"/>
                    </w:rPr>
                    <w:t>109-3196</w:t>
                  </w:r>
                </w:hyperlink>
                <w:r>
                  <w:rPr>
                    <w:sz w:val="14"/>
                  </w:rPr>
                  <w:t>) arba kvalifikuota akušerė</w:t>
                </w:r>
              </w:p>
              <w:p>
                <w:pPr>
                  <w:widowControl w:val="0"/>
                  <w:ind w:left="360"/>
                  <w:rPr>
                    <w:sz w:val="14"/>
                  </w:rPr>
                </w:pPr>
                <w:r>
                  <w:rPr>
                    <w:sz w:val="14"/>
                    <w:u w:val="single"/>
                  </w:rPr>
                  <w:t>Privaloma:</w:t>
                </w:r>
              </w:p>
              <w:p>
                <w:pPr>
                  <w:widowControl w:val="0"/>
                  <w:ind w:left="360"/>
                  <w:rPr>
                    <w:sz w:val="14"/>
                  </w:rPr>
                </w:pPr>
                <w:r>
                  <w:rPr>
                    <w:sz w:val="14"/>
                  </w:rPr>
                  <w:t>• Odontologo konsultacija • BPG ar apylinkės terapeuto konsultacija, jei tikrina akušeris-ginekologas</w:t>
                </w:r>
              </w:p>
            </w:tc>
            <w:tc>
              <w:tcPr>
                <w:tcW w:w="1964" w:type="dxa"/>
                <w:shd w:val="clear" w:color="auto" w:fill="auto"/>
              </w:tcPr>
              <w:p>
                <w:pPr>
                  <w:widowControl w:val="0"/>
                  <w:ind w:left="360"/>
                  <w:rPr>
                    <w:sz w:val="14"/>
                  </w:rPr>
                </w:pPr>
                <w:r>
                  <w:rPr>
                    <w:sz w:val="14"/>
                  </w:rPr>
                  <w:t>Oftalmologo</w:t>
                </w:r>
              </w:p>
              <w:p>
                <w:pPr>
                  <w:widowControl w:val="0"/>
                  <w:ind w:left="360"/>
                  <w:rPr>
                    <w:sz w:val="14"/>
                  </w:rPr>
                </w:pPr>
                <w:r>
                  <w:rPr>
                    <w:sz w:val="14"/>
                  </w:rPr>
                  <w:t>Kitų specialistų, jei yra indikacijų</w:t>
                </w:r>
              </w:p>
            </w:tc>
            <w:tc>
              <w:tcPr>
                <w:tcW w:w="2420" w:type="dxa"/>
                <w:shd w:val="clear" w:color="auto" w:fill="auto"/>
              </w:tcPr>
              <w:p>
                <w:pPr>
                  <w:widowControl w:val="0"/>
                  <w:ind w:left="360"/>
                  <w:rPr>
                    <w:sz w:val="14"/>
                  </w:rPr>
                </w:pPr>
                <w:r>
                  <w:rPr>
                    <w:sz w:val="14"/>
                  </w:rPr>
                  <w:t xml:space="preserve">Sveikatos apsaugos ministro 1999 03 15 įsakymas Nr. 117 „Dėl nėščiųjų, gimdyvių ir naujagimių sveikatos priežiūros tvarkos patvirtinimo“ (Žin., 1999, Nr. </w:t>
                </w:r>
                <w:hyperlink r:id="rId27" w:history="1">
                  <w:r>
                    <w:rPr>
                      <w:sz w:val="14"/>
                    </w:rPr>
                    <w:t>28-811</w:t>
                  </w:r>
                </w:hyperlink>
                <w:r>
                  <w:rPr>
                    <w:sz w:val="14"/>
                  </w:rPr>
                  <w:t>)</w:t>
                </w:r>
              </w:p>
            </w:tc>
          </w:tr>
          <w:tr>
            <w:trPr>
              <w:trHeight w:val="2125"/>
            </w:trPr>
            <w:tc>
              <w:tcPr>
                <w:tcW w:w="1128" w:type="dxa"/>
                <w:shd w:val="clear" w:color="auto" w:fill="auto"/>
              </w:tcPr>
              <w:p>
                <w:pPr>
                  <w:widowControl w:val="0"/>
                  <w:ind w:left="360"/>
                  <w:rPr>
                    <w:sz w:val="14"/>
                  </w:rPr>
                </w:pPr>
                <w:r>
                  <w:rPr>
                    <w:sz w:val="14"/>
                  </w:rPr>
                  <w:t>2.</w:t>
                </w:r>
              </w:p>
            </w:tc>
            <w:tc>
              <w:tcPr>
                <w:tcW w:w="2024" w:type="dxa"/>
                <w:shd w:val="clear" w:color="auto" w:fill="auto"/>
              </w:tcPr>
              <w:p>
                <w:pPr>
                  <w:widowControl w:val="0"/>
                  <w:ind w:left="360"/>
                  <w:rPr>
                    <w:sz w:val="14"/>
                  </w:rPr>
                </w:pPr>
                <w:r>
                  <w:rPr>
                    <w:sz w:val="14"/>
                  </w:rPr>
                  <w:t>Motinų, iki vaikui sukaks vieneri metai, sveikatos tikrinimas</w:t>
                </w:r>
              </w:p>
            </w:tc>
            <w:tc>
              <w:tcPr>
                <w:tcW w:w="2101" w:type="dxa"/>
                <w:shd w:val="clear" w:color="auto" w:fill="auto"/>
              </w:tcPr>
              <w:p>
                <w:pPr>
                  <w:widowControl w:val="0"/>
                  <w:ind w:left="360"/>
                  <w:rPr>
                    <w:sz w:val="14"/>
                  </w:rPr>
                </w:pPr>
                <w:r>
                  <w:rPr>
                    <w:sz w:val="14"/>
                  </w:rPr>
                  <w:t>Akušerės patronažas</w:t>
                </w:r>
              </w:p>
              <w:p>
                <w:pPr>
                  <w:widowControl w:val="0"/>
                  <w:ind w:left="360"/>
                  <w:rPr>
                    <w:sz w:val="14"/>
                  </w:rPr>
                </w:pPr>
                <w:r>
                  <w:rPr>
                    <w:sz w:val="14"/>
                  </w:rPr>
                  <w:t>Akušerio-ginekologo (arba BPG) apžiūra 6-8 savaitę po gimdymo</w:t>
                </w:r>
              </w:p>
            </w:tc>
            <w:tc>
              <w:tcPr>
                <w:tcW w:w="1964" w:type="dxa"/>
                <w:shd w:val="clear" w:color="auto" w:fill="auto"/>
              </w:tcPr>
              <w:p>
                <w:pPr>
                  <w:widowControl w:val="0"/>
                  <w:ind w:left="360"/>
                  <w:rPr>
                    <w:sz w:val="14"/>
                  </w:rPr>
                </w:pPr>
                <w:r>
                  <w:rPr>
                    <w:sz w:val="14"/>
                  </w:rPr>
                  <w:t>Krūtinės ląstos rentgenologinis tyrimas</w:t>
                </w:r>
              </w:p>
              <w:p>
                <w:pPr>
                  <w:widowControl w:val="0"/>
                  <w:ind w:left="360"/>
                  <w:rPr>
                    <w:sz w:val="14"/>
                  </w:rPr>
                </w:pPr>
                <w:r>
                  <w:rPr>
                    <w:sz w:val="14"/>
                  </w:rPr>
                  <w:t>Kitų specialistų konsultacijos ir tyrimai, jei yra indikacijų</w:t>
                </w:r>
              </w:p>
            </w:tc>
            <w:tc>
              <w:tcPr>
                <w:tcW w:w="2420" w:type="dxa"/>
                <w:shd w:val="clear" w:color="auto" w:fill="auto"/>
              </w:tcPr>
              <w:p>
                <w:pPr>
                  <w:widowControl w:val="0"/>
                  <w:ind w:left="360"/>
                  <w:rPr>
                    <w:sz w:val="14"/>
                  </w:rPr>
                </w:pPr>
                <w:r>
                  <w:rPr>
                    <w:sz w:val="14"/>
                  </w:rPr>
                  <w:t>Sveikatos apsaugos ministro 1999 03 15</w:t>
                </w:r>
              </w:p>
              <w:p>
                <w:pPr>
                  <w:widowControl w:val="0"/>
                  <w:ind w:left="360"/>
                  <w:rPr>
                    <w:sz w:val="14"/>
                  </w:rPr>
                </w:pPr>
                <w:r>
                  <w:rPr>
                    <w:sz w:val="14"/>
                  </w:rPr>
                  <w:t xml:space="preserve">įsakymas Nr. 117 „Dėl nėščiųjų, gimdyvių ir naujagimių sveikatos priežiūros tvarkos patvirtinimo“ (Žin., 1999, Nr. </w:t>
                </w:r>
                <w:hyperlink r:id="rId28" w:history="1">
                  <w:r>
                    <w:rPr>
                      <w:sz w:val="14"/>
                    </w:rPr>
                    <w:t>28-811</w:t>
                  </w:r>
                </w:hyperlink>
                <w:r>
                  <w:rPr>
                    <w:sz w:val="14"/>
                  </w:rPr>
                  <w:t>)</w:t>
                </w:r>
              </w:p>
            </w:tc>
          </w:tr>
        </w:tbl>
        <w:p>
          <w:pPr>
            <w:jc w:val="center"/>
            <w:rPr>
              <w:color w:val="000000"/>
            </w:rPr>
          </w:pPr>
          <w:r>
            <w:rPr>
              <w:color w:val="000000"/>
            </w:rPr>
            <w:t>______________</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E4955D5C12C">
            <w:r w:rsidRPr="00532B9F">
              <w:rPr>
                <w:rFonts w:ascii="Times New Roman" w:eastAsia="MS Mincho" w:hAnsi="Times New Roman"/>
                <w:sz w:val="20"/>
                <w:i/>
                <w:iCs/>
                <w:color w:val="0000FF" w:themeColor="hyperlink"/>
                <w:u w:val="single"/>
              </w:rPr>
              <w:t>V-79</w:t>
            </w:r>
          </w:fldSimple>
          <w:r>
            <w:rPr>
              <w:rFonts w:ascii="Times New Roman" w:eastAsia="MS Mincho" w:hAnsi="Times New Roman"/>
              <w:sz w:val="20"/>
              <w:i/>
              <w:iCs/>
            </w:rPr>
            <w:t>,
2004-02-20,
Žin., 2004, Nr.
32-1030 (2004-02-28), i. k. 1042250ISAK0000V-79            </w:t>
          </w:r>
        </w:p>
        <w:p/>
      </w:sdtContent>
    </w:sdt>
    <w:sdt>
      <w:sdtPr>
        <w:alias w:val="3 pr."/>
        <w:tag w:val="part_a040cfa09ec74c89951ceeebba2595fe"/>
        <w:lock w:val="sdtLocked"/>
        <w:richText/>
      </w:sdtPr>
      <w:sdtContent>
        <w:p>
          <w:pPr>
            <w:tabs>
              <w:tab w:val="left" w:pos="6521"/>
            </w:tabs>
            <w:ind w:left="3888" w:firstLine="2633"/>
            <w:sectPr>
              <w:headerReference w:type="even" r:id="rId29"/>
              <w:headerReference w:type="default" r:id="rId30"/>
              <w:footerReference w:type="even" r:id="rId31"/>
              <w:footerReference w:type="default" r:id="rId32"/>
              <w:headerReference w:type="first" r:id="rId33"/>
              <w:footerReference w:type="first" r:id="rId34"/>
              <w:pgSz w:w="11906" w:h="16838" w:code="9"/>
              <w:pgMar w:top="1134" w:right="567" w:bottom="1134" w:left="1701" w:header="1134" w:footer="1134" w:gutter="0"/>
              <w:cols w:space="720"/>
              <w:titlePg/>
            </w:sectPr>
          </w:pPr>
        </w:p>
        <w:p>
          <w:pPr>
            <w:tabs>
              <w:tab w:val="left" w:pos="6521"/>
            </w:tabs>
            <w:ind w:left="3894" w:firstLine="1776"/>
            <w:rPr>
              <w:szCs w:val="24"/>
            </w:rPr>
          </w:pPr>
          <w:r>
            <w:rPr>
              <w:szCs w:val="24"/>
            </w:rPr>
            <w:t>PATVIRTINTA</w:t>
          </w:r>
        </w:p>
        <w:p>
          <w:pPr>
            <w:ind w:left="3894" w:firstLine="1776"/>
            <w:jc w:val="both"/>
            <w:rPr>
              <w:szCs w:val="24"/>
            </w:rPr>
          </w:pPr>
          <w:r>
            <w:rPr>
              <w:szCs w:val="24"/>
            </w:rPr>
            <w:t xml:space="preserve">Lietuvos Respublikos </w:t>
          </w:r>
        </w:p>
        <w:p>
          <w:pPr>
            <w:ind w:left="3894" w:firstLine="1776"/>
            <w:jc w:val="both"/>
            <w:rPr>
              <w:szCs w:val="24"/>
            </w:rPr>
          </w:pPr>
          <w:r>
            <w:rPr>
              <w:szCs w:val="24"/>
            </w:rPr>
            <w:t xml:space="preserve">sveikatos apsaugos ministro </w:t>
          </w:r>
        </w:p>
        <w:p>
          <w:pPr>
            <w:ind w:left="3894" w:firstLine="1776"/>
            <w:jc w:val="both"/>
            <w:rPr>
              <w:szCs w:val="24"/>
            </w:rPr>
          </w:pPr>
          <w:r>
            <w:rPr>
              <w:szCs w:val="24"/>
            </w:rPr>
            <w:t xml:space="preserve">2000 m. gegužės 31 d. įsakymu Nr. 301 </w:t>
          </w:r>
        </w:p>
        <w:p>
          <w:pPr>
            <w:ind w:left="3894" w:firstLine="1776"/>
            <w:jc w:val="both"/>
            <w:rPr>
              <w:szCs w:val="24"/>
            </w:rPr>
          </w:pPr>
          <w:r>
            <w:rPr>
              <w:szCs w:val="24"/>
            </w:rPr>
            <w:t xml:space="preserve">(Lietuvos Respublikos </w:t>
          </w:r>
        </w:p>
        <w:p>
          <w:pPr>
            <w:ind w:left="3894" w:firstLine="1776"/>
            <w:jc w:val="both"/>
            <w:rPr>
              <w:szCs w:val="24"/>
            </w:rPr>
          </w:pPr>
          <w:r>
            <w:rPr>
              <w:szCs w:val="24"/>
            </w:rPr>
            <w:t xml:space="preserve">sveikatos apsaugos ministro </w:t>
          </w:r>
        </w:p>
        <w:p>
          <w:pPr>
            <w:ind w:left="5670"/>
            <w:jc w:val="both"/>
            <w:rPr>
              <w:szCs w:val="24"/>
            </w:rPr>
          </w:pPr>
          <w:r>
            <w:rPr>
              <w:szCs w:val="24"/>
            </w:rPr>
            <w:t>2015 m. kovo 23 d. įsakymo</w:t>
          </w:r>
        </w:p>
        <w:p>
          <w:pPr>
            <w:ind w:left="5670"/>
            <w:jc w:val="both"/>
            <w:rPr>
              <w:szCs w:val="24"/>
            </w:rPr>
          </w:pPr>
          <w:r>
            <w:rPr>
              <w:szCs w:val="24"/>
            </w:rPr>
            <w:t>Nr. V-383 redakcija)</w:t>
          </w:r>
        </w:p>
        <w:p>
          <w:pPr>
            <w:ind w:left="5670"/>
            <w:jc w:val="both"/>
            <w:rPr>
              <w:szCs w:val="24"/>
            </w:rPr>
          </w:pPr>
          <w:sdt>
            <w:sdtPr>
              <w:alias w:val="Numeris"/>
              <w:tag w:val="nr_a040cfa09ec74c89951ceeebba2595fe"/>
              <w:lock w:val="sdtLocked"/>
              <w:richText/>
            </w:sdtPr>
            <w:sdtContent>
              <w:r>
                <w:rPr>
                  <w:szCs w:val="24"/>
                </w:rPr>
                <w:t>3</w:t>
              </w:r>
            </w:sdtContent>
          </w:sdt>
          <w:r>
            <w:rPr>
              <w:szCs w:val="24"/>
            </w:rPr>
            <w:t xml:space="preserve"> priedas</w:t>
          </w:r>
        </w:p>
        <w:p>
          <w:pPr>
            <w:jc w:val="center"/>
            <w:rPr>
              <w:b/>
              <w:caps/>
              <w:color w:val="000000"/>
              <w:szCs w:val="24"/>
            </w:rPr>
          </w:pPr>
        </w:p>
        <w:p>
          <w:pPr>
            <w:jc w:val="center"/>
            <w:rPr>
              <w:b/>
              <w:caps/>
              <w:color w:val="000000"/>
              <w:szCs w:val="24"/>
            </w:rPr>
          </w:pPr>
        </w:p>
        <w:p>
          <w:pPr>
            <w:jc w:val="center"/>
            <w:rPr>
              <w:b/>
              <w:caps/>
              <w:color w:val="000000"/>
              <w:szCs w:val="24"/>
            </w:rPr>
          </w:pPr>
          <w:sdt>
            <w:sdtPr>
              <w:alias w:val="Pavadinimas"/>
              <w:tag w:val="title_a040cfa09ec74c89951ceeebba2595fe"/>
              <w:lock w:val="sdtLocked"/>
              <w:richText/>
            </w:sdtPr>
            <w:sdtContent>
              <w:r>
                <w:rPr>
                  <w:b/>
                  <w:caps/>
                  <w:color w:val="000000"/>
                  <w:szCs w:val="24"/>
                </w:rPr>
                <w:t xml:space="preserve">VAIKŲ IR PILNAMEČIŲ MOKINIŲ, UGDOMŲ PAGAL BENDROJO UGDYMO PROGRAMAS, SVEIKATOS TIKRINIMO TVARKOS APRAŠAS </w:t>
              </w:r>
            </w:sdtContent>
          </w:sdt>
        </w:p>
        <w:p>
          <w:pPr>
            <w:snapToGrid w:val="0"/>
            <w:jc w:val="center"/>
            <w:rPr>
              <w:color w:val="000000"/>
              <w:szCs w:val="24"/>
            </w:rPr>
          </w:pPr>
        </w:p>
        <w:p>
          <w:pPr>
            <w:pStyle w:val="PlainText"/>
            <w:rPr>
              <w:rFonts w:ascii="Times New Roman" w:eastAsia="MS Mincho" w:hAnsi="Times New Roman"/>
              <w:sz w:val="20"/>
              <w:i/>
              <w:iCs/>
            </w:rPr>
          </w:pPr>
          <w:r>
            <w:rPr>
              <w:rFonts w:ascii="Times New Roman" w:eastAsia="MS Mincho" w:hAnsi="Times New Roman"/>
              <w:sz w:val="20"/>
              <w:i/>
              <w:iCs/>
            </w:rPr>
            <w:t>Pakeistas priedo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595bc076f111e9b81587fcbd5a76f6">
            <w:r w:rsidRPr="00532B9F">
              <w:rPr>
                <w:rFonts w:ascii="Times New Roman" w:eastAsia="MS Mincho" w:hAnsi="Times New Roman"/>
                <w:sz w:val="20"/>
                <w:i/>
                <w:iCs/>
                <w:color w:val="0000FF" w:themeColor="hyperlink"/>
                <w:u w:val="single"/>
              </w:rPr>
              <w:t>V-566</w:t>
            </w:r>
          </w:fldSimple>
          <w:r>
            <w:rPr>
              <w:rFonts w:ascii="Times New Roman" w:eastAsia="MS Mincho" w:hAnsi="Times New Roman"/>
              <w:sz w:val="20"/>
              <w:i/>
              <w:iCs/>
            </w:rPr>
            <w:t>,
2019-05-14,
paskelbta TAR 2019-05-15, i. k. 2019-07703        </w:t>
          </w:r>
        </w:p>
        <w:p/>
        <w:sdt>
          <w:sdtPr>
            <w:alias w:val="skyrius"/>
            <w:tag w:val="part_fb9892e1576644058c6853638be99e39"/>
            <w:lock w:val="sdtLocked"/>
            <w:richText/>
          </w:sdtPr>
          <w:sdtContent>
            <w:p>
              <w:pPr>
                <w:ind w:left="360"/>
                <w:jc w:val="center"/>
                <w:rPr>
                  <w:b/>
                  <w:caps/>
                  <w:color w:val="000000"/>
                  <w:szCs w:val="24"/>
                </w:rPr>
              </w:pPr>
              <w:sdt>
                <w:sdtPr>
                  <w:alias w:val="Numeris"/>
                  <w:tag w:val="nr_fb9892e1576644058c6853638be99e39"/>
                  <w:lock w:val="sdtLocked"/>
                  <w:richText/>
                </w:sdtPr>
                <w:sdtContent>
                  <w:r>
                    <w:rPr>
                      <w:b/>
                      <w:caps/>
                      <w:color w:val="000000"/>
                      <w:szCs w:val="24"/>
                    </w:rPr>
                    <w:t>I</w:t>
                  </w:r>
                </w:sdtContent>
              </w:sdt>
              <w:r>
                <w:rPr>
                  <w:b/>
                  <w:caps/>
                  <w:color w:val="000000"/>
                  <w:szCs w:val="24"/>
                </w:rPr>
                <w:t xml:space="preserve"> SKYRIUS</w:t>
              </w:r>
            </w:p>
            <w:p>
              <w:pPr>
                <w:ind w:left="360"/>
                <w:jc w:val="center"/>
                <w:rPr>
                  <w:b/>
                  <w:caps/>
                  <w:color w:val="000000"/>
                  <w:szCs w:val="24"/>
                </w:rPr>
              </w:pPr>
              <w:sdt>
                <w:sdtPr>
                  <w:alias w:val="Pavadinimas"/>
                  <w:tag w:val="title_fb9892e1576644058c6853638be99e39"/>
                  <w:lock w:val="sdtLocked"/>
                  <w:richText/>
                </w:sdtPr>
                <w:sdtContent>
                  <w:r>
                    <w:rPr>
                      <w:b/>
                      <w:caps/>
                      <w:color w:val="000000"/>
                      <w:szCs w:val="24"/>
                    </w:rPr>
                    <w:t>BENDROSIOS NUOSTATOS</w:t>
                  </w:r>
                </w:sdtContent>
              </w:sdt>
            </w:p>
            <w:p>
              <w:pPr>
                <w:ind w:left="360"/>
                <w:jc w:val="center"/>
                <w:rPr>
                  <w:b/>
                  <w:caps/>
                  <w:color w:val="000000"/>
                  <w:szCs w:val="24"/>
                </w:rPr>
              </w:pPr>
            </w:p>
            <w:sdt>
              <w:sdtPr>
                <w:alias w:val="3 pr. 1 p."/>
                <w:tag w:val="part_e590613e73de43299d891ecef0c98105"/>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szCs w:val="24"/>
                    </w:rPr>
                  </w:pPr>
                  <w:sdt>
                    <w:sdtPr>
                      <w:alias w:val="Numeris"/>
                      <w:tag w:val="nr_e590613e73de43299d891ecef0c98105"/>
                      <w:lock w:val="sdtLocked"/>
                      <w:richText/>
                    </w:sdtPr>
                    <w:sdtContent>
                      <w:r>
                        <w:rPr>
                          <w:szCs w:val="24"/>
                          <w:lang w:eastAsia="lt-LT"/>
                        </w:rPr>
                        <w:t>1</w:t>
                      </w:r>
                    </w:sdtContent>
                  </w:sdt>
                  <w:r>
                    <w:rPr>
                      <w:szCs w:val="24"/>
                      <w:lang w:eastAsia="lt-LT"/>
                    </w:rPr>
                    <w:t xml:space="preserve">. Vaikų </w:t>
                  </w:r>
                  <w:r>
                    <w:rPr>
                      <w:bCs/>
                      <w:szCs w:val="24"/>
                    </w:rPr>
                    <w:t>ir pilnamečių mokinių, ugdomų pagal bendrojo ugdymo programas,</w:t>
                  </w:r>
                  <w:r>
                    <w:rPr>
                      <w:color w:val="000000"/>
                      <w:szCs w:val="24"/>
                      <w:lang w:eastAsia="lt-LT"/>
                    </w:rPr>
                    <w:t xml:space="preserve"> </w:t>
                  </w:r>
                  <w:r>
                    <w:rPr>
                      <w:szCs w:val="24"/>
                      <w:lang w:eastAsia="lt-LT"/>
                    </w:rPr>
                    <w:t xml:space="preserve">sveikatos tikrinimo tvarkos aprašas (toliau – Aprašas) nustato privalomo profilaktinio vaikų, Lietuvos Respublikos sveikatos draudimo įstatymo 6 straipsnio 4 dalies 7 punkte nurodytų 18 metų ir vyresnių mokinių, kurie mokosi Lietuvos Respublikos mokyklose pagal bendrojo ugdymo programas,      (toliau – pilnamečių mokinių) sveikatos bei ankstyvojo amžiaus vaikų (iki 4 metų) psichomotorinės raidos tikrinimo reikalavimus, šių paslaugų teikimo tvarką.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595bc076f111e9b81587fcbd5a76f6">
                    <w:r w:rsidRPr="00532B9F">
                      <w:rPr>
                        <w:rFonts w:ascii="Times New Roman" w:eastAsia="MS Mincho" w:hAnsi="Times New Roman"/>
                        <w:sz w:val="20"/>
                        <w:i/>
                        <w:iCs/>
                        <w:color w:val="0000FF" w:themeColor="hyperlink"/>
                        <w:u w:val="single"/>
                      </w:rPr>
                      <w:t>V-566</w:t>
                    </w:r>
                  </w:fldSimple>
                  <w:r>
                    <w:rPr>
                      <w:rFonts w:ascii="Times New Roman" w:eastAsia="MS Mincho" w:hAnsi="Times New Roman"/>
                      <w:sz w:val="20"/>
                      <w:i/>
                      <w:iCs/>
                    </w:rPr>
                    <w:t>,
2019-05-14,
paskelbta TAR 2019-05-15, i. k. 2019-07703            </w:t>
                  </w:r>
                </w:p>
                <w:p/>
              </w:sdtContent>
            </w:sdt>
            <w:sdt>
              <w:sdtPr>
                <w:alias w:val="3 pr. 2 p."/>
                <w:tag w:val="part_bcc4d858d3d54ca784b9c03b4d23281a"/>
                <w:lock w:val="sdtLocked"/>
                <w:richText/>
              </w:sdtPr>
              <w:sdtContent>
                <w:p>
                  <w:pPr>
                    <w:tabs>
                      <w:tab w:val="left" w:pos="851"/>
                    </w:tabs>
                    <w:ind w:firstLine="851"/>
                    <w:jc w:val="both"/>
                    <w:rPr>
                      <w:szCs w:val="24"/>
                    </w:rPr>
                  </w:pPr>
                  <w:sdt>
                    <w:sdtPr>
                      <w:alias w:val="Numeris"/>
                      <w:tag w:val="nr_bcc4d858d3d54ca784b9c03b4d23281a"/>
                      <w:lock w:val="sdtLocked"/>
                      <w:richText/>
                    </w:sdtPr>
                    <w:sdtContent>
                      <w:r>
                        <w:rPr>
                          <w:szCs w:val="24"/>
                        </w:rPr>
                        <w:t>2</w:t>
                      </w:r>
                    </w:sdtContent>
                  </w:sdt>
                  <w:r>
                    <w:rPr>
                      <w:szCs w:val="24"/>
                    </w:rPr>
                    <w:t>. Vaiko amžiaus tarpsniai:</w:t>
                  </w:r>
                </w:p>
                <w:sdt>
                  <w:sdtPr>
                    <w:alias w:val="3 pr. 2.1 pp."/>
                    <w:tag w:val="part_96ab6c074341447e9232b3dd63b28cb6"/>
                    <w:lock w:val="sdtLocked"/>
                    <w:richText/>
                  </w:sdtPr>
                  <w:sdtContent>
                    <w:p>
                      <w:pPr>
                        <w:tabs>
                          <w:tab w:val="left" w:pos="851"/>
                        </w:tabs>
                        <w:ind w:firstLine="851"/>
                        <w:jc w:val="both"/>
                        <w:rPr>
                          <w:bCs/>
                          <w:color w:val="000000"/>
                          <w:szCs w:val="24"/>
                        </w:rPr>
                      </w:pPr>
                      <w:sdt>
                        <w:sdtPr>
                          <w:alias w:val="Numeris"/>
                          <w:tag w:val="nr_96ab6c074341447e9232b3dd63b28cb6"/>
                          <w:lock w:val="sdtLocked"/>
                          <w:richText/>
                        </w:sdtPr>
                        <w:sdtContent>
                          <w:r>
                            <w:rPr>
                              <w:szCs w:val="24"/>
                            </w:rPr>
                            <w:t>2.1</w:t>
                          </w:r>
                        </w:sdtContent>
                      </w:sdt>
                      <w:r>
                        <w:rPr>
                          <w:szCs w:val="24"/>
                        </w:rPr>
                        <w:t xml:space="preserve">. </w:t>
                      </w:r>
                      <w:r>
                        <w:rPr>
                          <w:bCs/>
                          <w:color w:val="000000"/>
                          <w:szCs w:val="24"/>
                        </w:rPr>
                        <w:t>naujagimis</w:t>
                      </w:r>
                      <w:r>
                        <w:rPr>
                          <w:b/>
                          <w:bCs/>
                          <w:color w:val="000000"/>
                          <w:szCs w:val="24"/>
                        </w:rPr>
                        <w:t xml:space="preserve"> – </w:t>
                      </w:r>
                      <w:r>
                        <w:rPr>
                          <w:szCs w:val="24"/>
                        </w:rPr>
                        <w:t xml:space="preserve">nuo </w:t>
                      </w:r>
                      <w:r>
                        <w:rPr>
                          <w:bCs/>
                          <w:color w:val="000000"/>
                          <w:szCs w:val="24"/>
                        </w:rPr>
                        <w:t xml:space="preserve">gimimo iki 28 dienų </w:t>
                      </w:r>
                      <w:r>
                        <w:rPr>
                          <w:szCs w:val="24"/>
                        </w:rPr>
                        <w:t>amžiaus</w:t>
                      </w:r>
                      <w:r>
                        <w:rPr>
                          <w:bCs/>
                          <w:color w:val="000000"/>
                          <w:szCs w:val="24"/>
                        </w:rPr>
                        <w:t>;</w:t>
                      </w:r>
                    </w:p>
                  </w:sdtContent>
                </w:sdt>
                <w:sdt>
                  <w:sdtPr>
                    <w:alias w:val="3 pr. 2.2 pp."/>
                    <w:tag w:val="part_62d838a4d7fd4db58bec03c53a8fa33a"/>
                    <w:lock w:val="sdtLocked"/>
                    <w:richText/>
                  </w:sdtPr>
                  <w:sdtContent>
                    <w:p>
                      <w:pPr>
                        <w:tabs>
                          <w:tab w:val="left" w:pos="851"/>
                        </w:tabs>
                        <w:ind w:firstLine="851"/>
                        <w:jc w:val="both"/>
                        <w:rPr>
                          <w:color w:val="000000"/>
                          <w:szCs w:val="24"/>
                        </w:rPr>
                      </w:pPr>
                      <w:sdt>
                        <w:sdtPr>
                          <w:alias w:val="Numeris"/>
                          <w:tag w:val="nr_62d838a4d7fd4db58bec03c53a8fa33a"/>
                          <w:lock w:val="sdtLocked"/>
                          <w:richText/>
                        </w:sdtPr>
                        <w:sdtContent>
                          <w:r>
                            <w:rPr>
                              <w:bCs/>
                              <w:color w:val="000000"/>
                              <w:szCs w:val="24"/>
                            </w:rPr>
                            <w:t>2.2</w:t>
                          </w:r>
                        </w:sdtContent>
                      </w:sdt>
                      <w:r>
                        <w:rPr>
                          <w:bCs/>
                          <w:color w:val="000000"/>
                          <w:szCs w:val="24"/>
                        </w:rPr>
                        <w:t>. kūdikis</w:t>
                      </w:r>
                      <w:r>
                        <w:rPr>
                          <w:b/>
                          <w:bCs/>
                          <w:color w:val="000000"/>
                          <w:szCs w:val="24"/>
                        </w:rPr>
                        <w:t xml:space="preserve"> – </w:t>
                      </w:r>
                      <w:r>
                        <w:rPr>
                          <w:bCs/>
                          <w:color w:val="000000"/>
                          <w:szCs w:val="24"/>
                        </w:rPr>
                        <w:t xml:space="preserve">nuo gimimo iki 1 metų </w:t>
                      </w:r>
                      <w:r>
                        <w:rPr>
                          <w:szCs w:val="24"/>
                        </w:rPr>
                        <w:t>amžiaus</w:t>
                      </w:r>
                      <w:r>
                        <w:rPr>
                          <w:bCs/>
                          <w:color w:val="000000"/>
                          <w:szCs w:val="24"/>
                        </w:rPr>
                        <w:t>;</w:t>
                      </w:r>
                      <w:r>
                        <w:rPr>
                          <w:szCs w:val="24"/>
                        </w:rPr>
                        <w:tab/>
                      </w:r>
                    </w:p>
                  </w:sdtContent>
                </w:sdt>
                <w:sdt>
                  <w:sdtPr>
                    <w:alias w:val="3 pr. 2.3 pp."/>
                    <w:tag w:val="part_8aa77f118ab249ad85e9bf4b723c954f"/>
                    <w:lock w:val="sdtLocked"/>
                    <w:richText/>
                  </w:sdtPr>
                  <w:sdtContent>
                    <w:p>
                      <w:pPr>
                        <w:tabs>
                          <w:tab w:val="left" w:pos="851"/>
                        </w:tabs>
                        <w:ind w:firstLine="851"/>
                        <w:jc w:val="both"/>
                        <w:rPr>
                          <w:szCs w:val="24"/>
                        </w:rPr>
                      </w:pPr>
                      <w:sdt>
                        <w:sdtPr>
                          <w:alias w:val="Numeris"/>
                          <w:tag w:val="nr_8aa77f118ab249ad85e9bf4b723c954f"/>
                          <w:lock w:val="sdtLocked"/>
                          <w:richText/>
                        </w:sdtPr>
                        <w:sdtContent>
                          <w:r>
                            <w:rPr>
                              <w:szCs w:val="24"/>
                            </w:rPr>
                            <w:t>2.3</w:t>
                          </w:r>
                        </w:sdtContent>
                      </w:sdt>
                      <w:r>
                        <w:rPr>
                          <w:szCs w:val="24"/>
                        </w:rPr>
                        <w:t>.</w:t>
                      </w:r>
                      <w:r>
                        <w:rPr>
                          <w:b/>
                          <w:szCs w:val="24"/>
                        </w:rPr>
                        <w:t xml:space="preserve"> </w:t>
                      </w:r>
                      <w:r>
                        <w:rPr>
                          <w:szCs w:val="24"/>
                        </w:rPr>
                        <w:t>ankstyvojo amžiaus vaikas</w:t>
                      </w:r>
                      <w:r>
                        <w:rPr>
                          <w:b/>
                          <w:szCs w:val="24"/>
                        </w:rPr>
                        <w:t xml:space="preserve">  – </w:t>
                      </w:r>
                      <w:r>
                        <w:rPr>
                          <w:szCs w:val="24"/>
                        </w:rPr>
                        <w:t>nuo</w:t>
                      </w:r>
                      <w:r>
                        <w:rPr>
                          <w:b/>
                          <w:szCs w:val="24"/>
                        </w:rPr>
                        <w:t xml:space="preserve"> </w:t>
                      </w:r>
                      <w:r>
                        <w:rPr>
                          <w:bCs/>
                          <w:color w:val="000000"/>
                          <w:szCs w:val="24"/>
                        </w:rPr>
                        <w:t xml:space="preserve">1 iki 4 metų </w:t>
                      </w:r>
                      <w:r>
                        <w:rPr>
                          <w:szCs w:val="24"/>
                        </w:rPr>
                        <w:t>amžiaus;</w:t>
                      </w:r>
                    </w:p>
                  </w:sdtContent>
                </w:sdt>
                <w:sdt>
                  <w:sdtPr>
                    <w:alias w:val="3 pr. 2.4 pp."/>
                    <w:tag w:val="part_cd388879d08c48f3bb3c5a4bb5475a57"/>
                    <w:lock w:val="sdtLocked"/>
                    <w:richText/>
                  </w:sdtPr>
                  <w:sdtContent>
                    <w:p>
                      <w:pPr>
                        <w:tabs>
                          <w:tab w:val="left" w:pos="851"/>
                        </w:tabs>
                        <w:ind w:firstLine="851"/>
                        <w:jc w:val="both"/>
                        <w:rPr>
                          <w:b/>
                          <w:szCs w:val="24"/>
                        </w:rPr>
                      </w:pPr>
                      <w:sdt>
                        <w:sdtPr>
                          <w:alias w:val="Numeris"/>
                          <w:tag w:val="nr_cd388879d08c48f3bb3c5a4bb5475a57"/>
                          <w:lock w:val="sdtLocked"/>
                          <w:richText/>
                        </w:sdtPr>
                        <w:sdtContent>
                          <w:r>
                            <w:rPr>
                              <w:szCs w:val="24"/>
                            </w:rPr>
                            <w:t>2.4</w:t>
                          </w:r>
                        </w:sdtContent>
                      </w:sdt>
                      <w:r>
                        <w:rPr>
                          <w:szCs w:val="24"/>
                        </w:rPr>
                        <w:t>. viduriniojo amžiaus vaikas</w:t>
                      </w:r>
                      <w:r>
                        <w:rPr>
                          <w:b/>
                          <w:szCs w:val="24"/>
                        </w:rPr>
                        <w:t xml:space="preserve">  –</w:t>
                      </w:r>
                      <w:r>
                        <w:rPr>
                          <w:szCs w:val="24"/>
                        </w:rPr>
                        <w:t xml:space="preserve"> nuo 4 iki 10 metų amžiaus;</w:t>
                      </w:r>
                    </w:p>
                  </w:sdtContent>
                </w:sdt>
                <w:sdt>
                  <w:sdtPr>
                    <w:alias w:val="3 pr. 2.5 pp."/>
                    <w:tag w:val="part_8bf0c62b7fdb4da88d61293a845bd271"/>
                    <w:lock w:val="sdtLocked"/>
                    <w:richText/>
                  </w:sdtPr>
                  <w:sdtContent>
                    <w:p>
                      <w:pPr>
                        <w:tabs>
                          <w:tab w:val="left" w:pos="851"/>
                        </w:tabs>
                        <w:ind w:firstLine="851"/>
                        <w:jc w:val="both"/>
                        <w:rPr>
                          <w:szCs w:val="24"/>
                        </w:rPr>
                      </w:pPr>
                      <w:sdt>
                        <w:sdtPr>
                          <w:alias w:val="Numeris"/>
                          <w:tag w:val="nr_8bf0c62b7fdb4da88d61293a845bd271"/>
                          <w:lock w:val="sdtLocked"/>
                          <w:richText/>
                        </w:sdtPr>
                        <w:sdtContent>
                          <w:r>
                            <w:rPr>
                              <w:szCs w:val="24"/>
                            </w:rPr>
                            <w:t>2.5</w:t>
                          </w:r>
                        </w:sdtContent>
                      </w:sdt>
                      <w:r>
                        <w:rPr>
                          <w:szCs w:val="24"/>
                        </w:rPr>
                        <w:t>.</w:t>
                      </w:r>
                      <w:r>
                        <w:rPr>
                          <w:b/>
                          <w:szCs w:val="24"/>
                        </w:rPr>
                        <w:t xml:space="preserve"> </w:t>
                      </w:r>
                      <w:r>
                        <w:rPr>
                          <w:szCs w:val="24"/>
                        </w:rPr>
                        <w:t xml:space="preserve">paauglys </w:t>
                      </w:r>
                      <w:r>
                        <w:rPr>
                          <w:color w:val="000000"/>
                          <w:szCs w:val="24"/>
                        </w:rPr>
                        <w:t>–</w:t>
                      </w:r>
                      <w:r>
                        <w:rPr>
                          <w:bCs/>
                          <w:color w:val="000000"/>
                          <w:szCs w:val="24"/>
                        </w:rPr>
                        <w:t xml:space="preserve"> nuo </w:t>
                      </w:r>
                      <w:r>
                        <w:rPr>
                          <w:szCs w:val="24"/>
                        </w:rPr>
                        <w:t>10 iki 18 metų amžiaus.</w:t>
                        <w:tab/>
                      </w:r>
                    </w:p>
                  </w:sdtContent>
                </w:sdt>
              </w:sdtContent>
            </w:sdt>
            <w:sdt>
              <w:sdtPr>
                <w:alias w:val="3 pr. 3 p."/>
                <w:tag w:val="part_df2ce585f04e4a6f8a69076c298ca8ae"/>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szCs w:val="24"/>
                    </w:rPr>
                  </w:pPr>
                  <w:sdt>
                    <w:sdtPr>
                      <w:alias w:val="Numeris"/>
                      <w:tag w:val="nr_df2ce585f04e4a6f8a69076c298ca8ae"/>
                      <w:lock w:val="sdtLocked"/>
                      <w:richText/>
                    </w:sdtPr>
                    <w:sdtContent>
                      <w:r>
                        <w:rPr>
                          <w:szCs w:val="24"/>
                          <w:lang w:eastAsia="lt-LT"/>
                        </w:rPr>
                        <w:t>3</w:t>
                      </w:r>
                    </w:sdtContent>
                  </w:sdt>
                  <w:r>
                    <w:rPr>
                      <w:szCs w:val="24"/>
                      <w:lang w:eastAsia="lt-LT"/>
                    </w:rPr>
                    <w:t xml:space="preserve">. </w:t>
                  </w:r>
                  <w:r>
                    <w:rPr>
                      <w:color w:val="000000"/>
                      <w:szCs w:val="24"/>
                      <w:lang w:eastAsia="lt-LT"/>
                    </w:rPr>
                    <w:t xml:space="preserve">Apraše nustatyto profilaktinio </w:t>
                  </w:r>
                  <w:r>
                    <w:rPr>
                      <w:szCs w:val="24"/>
                      <w:lang w:eastAsia="lt-LT"/>
                    </w:rPr>
                    <w:t xml:space="preserve">vaikų ir pilnamečių mokinių sveikatos  tikrinimo tikslas – išaiškinti ir koreguoti rizikos sveikatai veiksnius, nustatyti, ar tikrinamo asmens sveikatos būklė atitinka jo augimo ir brendimo pagal amžių ir lytį normatyvus, ar  dėl sveikatos būklės jis gali lankyti švietimo įstaigą ir  pan.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595bc076f111e9b81587fcbd5a76f6">
                    <w:r w:rsidRPr="00532B9F">
                      <w:rPr>
                        <w:rFonts w:ascii="Times New Roman" w:eastAsia="MS Mincho" w:hAnsi="Times New Roman"/>
                        <w:sz w:val="20"/>
                        <w:i/>
                        <w:iCs/>
                        <w:color w:val="0000FF" w:themeColor="hyperlink"/>
                        <w:u w:val="single"/>
                      </w:rPr>
                      <w:t>V-566</w:t>
                    </w:r>
                  </w:fldSimple>
                  <w:r>
                    <w:rPr>
                      <w:rFonts w:ascii="Times New Roman" w:eastAsia="MS Mincho" w:hAnsi="Times New Roman"/>
                      <w:sz w:val="20"/>
                      <w:i/>
                      <w:iCs/>
                    </w:rPr>
                    <w:t>,
2019-05-14,
paskelbta TAR 2019-05-15, i. k. 2019-07703            </w:t>
                  </w:r>
                </w:p>
                <w:p/>
              </w:sdtContent>
            </w:sdt>
            <w:sdt>
              <w:sdtPr>
                <w:alias w:val="3 pr. 4 p."/>
                <w:tag w:val="part_7767116a6d7b474bb402dd02a0a65f23"/>
                <w:lock w:val="sdtLocked"/>
                <w:richText/>
              </w:sdtPr>
              <w:sdtContent>
                <w:p>
                  <w:pPr>
                    <w:ind w:firstLine="851"/>
                    <w:jc w:val="both"/>
                    <w:rPr>
                      <w:color w:val="000000"/>
                      <w:szCs w:val="24"/>
                    </w:rPr>
                  </w:pPr>
                  <w:sdt>
                    <w:sdtPr>
                      <w:alias w:val="Numeris"/>
                      <w:tag w:val="nr_7767116a6d7b474bb402dd02a0a65f23"/>
                      <w:lock w:val="sdtLocked"/>
                      <w:richText/>
                    </w:sdtPr>
                    <w:sdtContent>
                      <w:r>
                        <w:rPr>
                          <w:szCs w:val="24"/>
                        </w:rPr>
                        <w:t>4</w:t>
                      </w:r>
                    </w:sdtContent>
                  </w:sdt>
                  <w:r>
                    <w:rPr>
                      <w:szCs w:val="24"/>
                    </w:rPr>
                    <w:t xml:space="preserve">. </w:t>
                  </w:r>
                  <w:r>
                    <w:rPr>
                      <w:color w:val="000000"/>
                      <w:szCs w:val="24"/>
                    </w:rPr>
                    <w:t xml:space="preserve">Apraše nustatyto vaikų psichomotorinės raidos tikrinimo tikslas – ankstyvas vaikų, turinčių raidos sutrikimų riziką, išaiškinimas ir  siuntimas toliau tirti bei gydyti. </w:t>
                  </w:r>
                </w:p>
              </w:sdtContent>
            </w:sdt>
            <w:sdt>
              <w:sdtPr>
                <w:alias w:val="3 pr. 5 p."/>
                <w:tag w:val="part_3d3645cb4b694f6d91dc1f0ead9a6363"/>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color w:val="000000"/>
                      <w:szCs w:val="24"/>
                    </w:rPr>
                  </w:pPr>
                  <w:sdt>
                    <w:sdtPr>
                      <w:alias w:val="Numeris"/>
                      <w:tag w:val="nr_3d3645cb4b694f6d91dc1f0ead9a6363"/>
                      <w:lock w:val="sdtLocked"/>
                      <w:richText/>
                    </w:sdtPr>
                    <w:sdtContent>
                      <w:r>
                        <w:rPr>
                          <w:szCs w:val="24"/>
                          <w:lang w:eastAsia="lt-LT"/>
                        </w:rPr>
                        <w:t>5</w:t>
                      </w:r>
                    </w:sdtContent>
                  </w:sdt>
                  <w:r>
                    <w:rPr>
                      <w:szCs w:val="24"/>
                      <w:lang w:eastAsia="lt-LT"/>
                    </w:rPr>
                    <w:t xml:space="preserve">. Vaikų, pilnamečių mokinių sveikatos ir vaikų psichomotorinės raidos tikrinimas atliekamas licenciją teikti asmens sveikatos priežiūros paslaugas turinčioje įstaigoje (toliau – ASPĮ), kurioje asmuo yra prirašytas Lietuvos Respublikos sveikatos apsaugos ministro 2001 m. lapkričio      9 d. įsakymo Nr. 583 „Dėl gyventojų prisirašymo prie pirminės asmens sveikatos priežiūros įstaigų tvarkos“ nustatyta tvarka (toliau – prirašytas). Vaikų sveikatos tikrinimą atlieka šeimos medicinos paslaugas teikiantis šeimos gydytojas ar vaikų ligų gydytojas, kurį pacientas (jo tėvai ar kiti atstovai pagal įstatymą) yra pasirinkęs. Pilnamečių mokinių sveikatos tikrinimą atlieka šeimos medicinos paslaugas teikiantis šeimos gydytojas ar vidaus ligų gydytojas, kurį pacientas yra pasirinkęs.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595bc076f111e9b81587fcbd5a76f6">
                    <w:r w:rsidRPr="00532B9F">
                      <w:rPr>
                        <w:rFonts w:ascii="Times New Roman" w:eastAsia="MS Mincho" w:hAnsi="Times New Roman"/>
                        <w:sz w:val="20"/>
                        <w:i/>
                        <w:iCs/>
                        <w:color w:val="0000FF" w:themeColor="hyperlink"/>
                        <w:u w:val="single"/>
                      </w:rPr>
                      <w:t>V-566</w:t>
                    </w:r>
                  </w:fldSimple>
                  <w:r>
                    <w:rPr>
                      <w:rFonts w:ascii="Times New Roman" w:eastAsia="MS Mincho" w:hAnsi="Times New Roman"/>
                      <w:sz w:val="20"/>
                      <w:i/>
                      <w:iCs/>
                    </w:rPr>
                    <w:t>,
2019-05-14,
paskelbta TAR 2019-05-15, i. k. 2019-07703            </w:t>
                  </w:r>
                </w:p>
                <w:p/>
              </w:sdtContent>
            </w:sdt>
            <w:sdt>
              <w:sdtPr>
                <w:alias w:val="3 pr. 6 p."/>
                <w:tag w:val="part_5538dd5c1be44eb393b0a441d008c534"/>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color w:val="000000"/>
                      <w:szCs w:val="24"/>
                    </w:rPr>
                  </w:pPr>
                  <w:sdt>
                    <w:sdtPr>
                      <w:alias w:val="Numeris"/>
                      <w:tag w:val="nr_5538dd5c1be44eb393b0a441d008c534"/>
                      <w:lock w:val="sdtLocked"/>
                      <w:richText/>
                    </w:sdtPr>
                    <w:sdtContent>
                      <w:r>
                        <w:rPr>
                          <w:color w:val="000000"/>
                          <w:szCs w:val="24"/>
                          <w:lang w:eastAsia="lt-LT"/>
                        </w:rPr>
                        <w:t>6</w:t>
                      </w:r>
                    </w:sdtContent>
                  </w:sdt>
                  <w:r>
                    <w:rPr>
                      <w:color w:val="000000"/>
                      <w:szCs w:val="24"/>
                      <w:lang w:eastAsia="lt-LT"/>
                    </w:rPr>
                    <w:t>.</w:t>
                  </w:r>
                  <w:r>
                    <w:rPr>
                      <w:szCs w:val="24"/>
                      <w:lang w:eastAsia="lt-LT"/>
                    </w:rPr>
                    <w:t xml:space="preserve"> Vaikų ir pilnamečių mokinių dantų ir burnos higienos būklę pagal kompetenciją tikrina ir informavimo dantų ir burnos ligų profilaktikos klausimais paslaugą teikia gydytojas odontologas arba gydytojas odontologas specialistas, arba burnos higienistas ASPĮ, teikiančiose pirminės odontologinės sveikatos priežiūros paslaugas.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595bc076f111e9b81587fcbd5a76f6">
                    <w:r w:rsidRPr="00532B9F">
                      <w:rPr>
                        <w:rFonts w:ascii="Times New Roman" w:eastAsia="MS Mincho" w:hAnsi="Times New Roman"/>
                        <w:sz w:val="20"/>
                        <w:i/>
                        <w:iCs/>
                        <w:color w:val="0000FF" w:themeColor="hyperlink"/>
                        <w:u w:val="single"/>
                      </w:rPr>
                      <w:t>V-566</w:t>
                    </w:r>
                  </w:fldSimple>
                  <w:r>
                    <w:rPr>
                      <w:rFonts w:ascii="Times New Roman" w:eastAsia="MS Mincho" w:hAnsi="Times New Roman"/>
                      <w:sz w:val="20"/>
                      <w:i/>
                      <w:iCs/>
                    </w:rPr>
                    <w:t>,
2019-05-14,
paskelbta TAR 2019-05-15, i. k. 2019-07703            </w:t>
                  </w:r>
                </w:p>
                <w:p/>
              </w:sdtContent>
            </w:sdt>
            <w:sdt>
              <w:sdtPr>
                <w:alias w:val="3 pr. 7 p."/>
                <w:tag w:val="part_5c4cbf7f3d07488aa9be70f64d1e484f"/>
                <w:lock w:val="sdtLocked"/>
                <w:richText/>
              </w:sdtPr>
              <w:sdtContent>
                <w:p>
                  <w:pPr>
                    <w:tabs>
                      <w:tab w:val="left" w:pos="851"/>
                    </w:tabs>
                    <w:ind w:firstLine="851"/>
                    <w:jc w:val="both"/>
                    <w:rPr>
                      <w:szCs w:val="24"/>
                    </w:rPr>
                  </w:pPr>
                  <w:sdt>
                    <w:sdtPr>
                      <w:alias w:val="Numeris"/>
                      <w:tag w:val="nr_5c4cbf7f3d07488aa9be70f64d1e484f"/>
                      <w:lock w:val="sdtLocked"/>
                      <w:richText/>
                    </w:sdtPr>
                    <w:sdtContent>
                      <w:r>
                        <w:rPr>
                          <w:szCs w:val="24"/>
                        </w:rPr>
                        <w:t>7</w:t>
                      </w:r>
                    </w:sdtContent>
                  </w:sdt>
                  <w:r>
                    <w:rPr>
                      <w:szCs w:val="24"/>
                    </w:rPr>
                    <w:t xml:space="preserve">. Sveikatą tikrinantys specialistai, esant </w:t>
                  </w:r>
                  <w:r>
                    <w:rPr>
                      <w:color w:val="000000"/>
                      <w:szCs w:val="24"/>
                    </w:rPr>
                    <w:t>indikacijų ar poreikiui tikslinti diagnozę,</w:t>
                  </w:r>
                  <w:r>
                    <w:rPr>
                      <w:szCs w:val="24"/>
                    </w:rPr>
                    <w:t xml:space="preserve"> paskiria tyrimus, nustato jų dažnumą, siunčia kito reikiamos profesinės kvalifikacijos specialisto konsultacijos ar atlikti diagnostinių tyrimų, atsižvelgdami į </w:t>
                  </w:r>
                  <w:r>
                    <w:rPr>
                      <w:color w:val="000000"/>
                      <w:szCs w:val="24"/>
                    </w:rPr>
                    <w:t xml:space="preserve">Aprašo 1 ir 2 prieduose nustatytus vaiko amžiaus tarpsnius bei periodiškumą, vadovaudamiesi </w:t>
                  </w:r>
                  <w:r>
                    <w:rPr>
                      <w:szCs w:val="24"/>
                    </w:rPr>
                    <w:t>šiuo Aprašu bei kitais teisės aktais.</w:t>
                  </w:r>
                </w:p>
                <w:p>
                  <w:pPr>
                    <w:ind w:left="360"/>
                    <w:jc w:val="center"/>
                    <w:rPr>
                      <w:b/>
                      <w:caps/>
                      <w:color w:val="000000"/>
                      <w:szCs w:val="24"/>
                    </w:rPr>
                  </w:pPr>
                </w:p>
              </w:sdtContent>
            </w:sdt>
          </w:sdtContent>
        </w:sdt>
        <w:sdt>
          <w:sdtPr>
            <w:alias w:val="skyrius"/>
            <w:tag w:val="part_97c9cc681b0b45a7acdd644c2ea8af2b"/>
            <w:lock w:val="sdtLocked"/>
            <w:richText/>
          </w:sdtPr>
          <w:sdtContent>
            <w:p>
              <w:pPr>
                <w:ind w:left="360"/>
                <w:jc w:val="center"/>
                <w:rPr>
                  <w:b/>
                  <w:caps/>
                  <w:color w:val="000000"/>
                  <w:szCs w:val="24"/>
                </w:rPr>
              </w:pPr>
              <w:sdt>
                <w:sdtPr>
                  <w:alias w:val="Numeris"/>
                  <w:tag w:val="nr_97c9cc681b0b45a7acdd644c2ea8af2b"/>
                  <w:lock w:val="sdtLocked"/>
                  <w:richText/>
                </w:sdtPr>
                <w:sdtContent>
                  <w:r>
                    <w:rPr>
                      <w:b/>
                      <w:caps/>
                      <w:color w:val="000000"/>
                      <w:szCs w:val="24"/>
                    </w:rPr>
                    <w:t>II</w:t>
                  </w:r>
                </w:sdtContent>
              </w:sdt>
              <w:r>
                <w:rPr>
                  <w:b/>
                  <w:caps/>
                  <w:color w:val="000000"/>
                  <w:szCs w:val="24"/>
                </w:rPr>
                <w:t xml:space="preserve"> SKYRIUS</w:t>
              </w:r>
            </w:p>
            <w:p>
              <w:pPr>
                <w:ind w:left="360" w:firstLine="60"/>
                <w:jc w:val="center"/>
                <w:rPr>
                  <w:b/>
                  <w:color w:val="000000"/>
                  <w:szCs w:val="24"/>
                </w:rPr>
              </w:pPr>
              <w:sdt>
                <w:sdtPr>
                  <w:alias w:val="Pavadinimas"/>
                  <w:tag w:val="title_97c9cc681b0b45a7acdd644c2ea8af2b"/>
                  <w:lock w:val="sdtLocked"/>
                  <w:richText/>
                </w:sdtPr>
                <w:sdtContent>
                  <w:r>
                    <w:rPr>
                      <w:b/>
                      <w:caps/>
                      <w:szCs w:val="24"/>
                    </w:rPr>
                    <w:t xml:space="preserve">PROFILAKTINIO VAIKŲ IR PILNAMEČIŲ MOKINIŲ SVEIKATOS TIKRINIMO REIKALAVIMAI IR TVARKA </w:t>
                  </w:r>
                </w:sdtContent>
              </w:sdt>
            </w:p>
            <w:p>
              <w:pPr>
                <w:ind w:left="360"/>
                <w:jc w:val="center"/>
                <w:rPr>
                  <w:b/>
                  <w:caps/>
                  <w:color w:val="000000"/>
                  <w:szCs w:val="24"/>
                </w:rP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595bc076f111e9b81587fcbd5a76f6">
                <w:r w:rsidRPr="00532B9F">
                  <w:rPr>
                    <w:rFonts w:ascii="Times New Roman" w:eastAsia="MS Mincho" w:hAnsi="Times New Roman"/>
                    <w:sz w:val="20"/>
                    <w:i/>
                    <w:iCs/>
                    <w:color w:val="0000FF" w:themeColor="hyperlink"/>
                    <w:u w:val="single"/>
                  </w:rPr>
                  <w:t>V-566</w:t>
                </w:r>
              </w:fldSimple>
              <w:r>
                <w:rPr>
                  <w:rFonts w:ascii="Times New Roman" w:eastAsia="MS Mincho" w:hAnsi="Times New Roman"/>
                  <w:sz w:val="20"/>
                  <w:i/>
                  <w:iCs/>
                </w:rPr>
                <w:t>,
2019-05-14,
paskelbta TAR 2019-05-15, i. k. 2019-07703        </w:t>
              </w:r>
            </w:p>
            <w:p/>
            <w:sdt>
              <w:sdtPr>
                <w:alias w:val="3 pr. 8 p."/>
                <w:tag w:val="part_80c2a14edf654891af57d9a15daf0c88"/>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szCs w:val="24"/>
                    </w:rPr>
                  </w:pPr>
                  <w:sdt>
                    <w:sdtPr>
                      <w:alias w:val="Numeris"/>
                      <w:tag w:val="nr_80c2a14edf654891af57d9a15daf0c88"/>
                      <w:lock w:val="sdtLocked"/>
                      <w:richText/>
                    </w:sdtPr>
                    <w:sdtContent>
                      <w:r>
                        <w:rPr>
                          <w:szCs w:val="24"/>
                          <w:lang w:eastAsia="lt-LT"/>
                        </w:rPr>
                        <w:t>8</w:t>
                      </w:r>
                    </w:sdtContent>
                  </w:sdt>
                  <w:r>
                    <w:rPr>
                      <w:szCs w:val="24"/>
                      <w:lang w:eastAsia="lt-LT"/>
                    </w:rPr>
                    <w:t xml:space="preserve">. Profilaktinio vaikų ir pilnamečių mokinių sveikatos tikrinimo reikalavimai taikomi sveikatos priežiūrai ir profilaktiniam sveikatos tikrinimui, nustatyti Aprašo 1 priede.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595bc076f111e9b81587fcbd5a76f6">
                    <w:r w:rsidRPr="00532B9F">
                      <w:rPr>
                        <w:rFonts w:ascii="Times New Roman" w:eastAsia="MS Mincho" w:hAnsi="Times New Roman"/>
                        <w:sz w:val="20"/>
                        <w:i/>
                        <w:iCs/>
                        <w:color w:val="0000FF" w:themeColor="hyperlink"/>
                        <w:u w:val="single"/>
                      </w:rPr>
                      <w:t>V-566</w:t>
                    </w:r>
                  </w:fldSimple>
                  <w:r>
                    <w:rPr>
                      <w:rFonts w:ascii="Times New Roman" w:eastAsia="MS Mincho" w:hAnsi="Times New Roman"/>
                      <w:sz w:val="20"/>
                      <w:i/>
                      <w:iCs/>
                    </w:rPr>
                    <w:t>,
2019-05-14,
paskelbta TAR 2019-05-15, i. k. 2019-07703            </w:t>
                  </w:r>
                </w:p>
                <w:p/>
              </w:sdtContent>
            </w:sdt>
            <w:sdt>
              <w:sdtPr>
                <w:alias w:val="3 pr. 9 p."/>
                <w:tag w:val="part_61e76c17f0fa4160a857bb8698e7eada"/>
                <w:lock w:val="sdtLocked"/>
                <w:richText/>
              </w:sdtPr>
              <w:sdtContent>
                <w:p>
                  <w:pPr>
                    <w:tabs>
                      <w:tab w:val="left" w:pos="851"/>
                    </w:tabs>
                    <w:ind w:firstLine="851"/>
                    <w:jc w:val="both"/>
                    <w:rPr>
                      <w:color w:val="000000"/>
                      <w:szCs w:val="24"/>
                    </w:rPr>
                  </w:pPr>
                  <w:sdt>
                    <w:sdtPr>
                      <w:alias w:val="Numeris"/>
                      <w:tag w:val="nr_61e76c17f0fa4160a857bb8698e7eada"/>
                      <w:lock w:val="sdtLocked"/>
                      <w:richText/>
                    </w:sdtPr>
                    <w:sdtContent>
                      <w:r>
                        <w:rPr>
                          <w:color w:val="000000"/>
                          <w:szCs w:val="24"/>
                        </w:rPr>
                        <w:t>9</w:t>
                      </w:r>
                    </w:sdtContent>
                  </w:sdt>
                  <w:r>
                    <w:rPr>
                      <w:color w:val="000000"/>
                      <w:szCs w:val="24"/>
                    </w:rPr>
                    <w:t>. Imunoprofilaktika atliekama pagal Lietuvos Respublikos vaikų profilaktinių skiepijimų kalendorių, patvirtintą Lietuvos Respublikos sveikatos apsaugos ministro 2014 m. vasario 27 d. įsakymu Nr. V-283 „Dėl Lietuvos Respublikos vaikų profilaktinių skiepijimų kalendoriaus patvirtinimo“.</w:t>
                  </w:r>
                </w:p>
              </w:sdtContent>
            </w:sdt>
            <w:sdt>
              <w:sdtPr>
                <w:alias w:val="3 pr. 10 p."/>
                <w:tag w:val="part_82ef7a84079c42aba69df3fff8caa0ff"/>
                <w:lock w:val="sdtLocked"/>
                <w:richText/>
              </w:sdtPr>
              <w:sdtContent>
                <w:p>
                  <w:pPr>
                    <w:ind w:firstLine="851"/>
                    <w:jc w:val="both"/>
                    <w:rPr>
                      <w:color w:val="000000"/>
                      <w:szCs w:val="24"/>
                    </w:rPr>
                  </w:pPr>
                  <w:sdt>
                    <w:sdtPr>
                      <w:alias w:val="Numeris"/>
                      <w:tag w:val="nr_82ef7a84079c42aba69df3fff8caa0ff"/>
                      <w:lock w:val="sdtLocked"/>
                      <w:richText/>
                    </w:sdtPr>
                    <w:sdtContent>
                      <w:r>
                        <w:rPr>
                          <w:szCs w:val="24"/>
                        </w:rPr>
                        <w:t>10</w:t>
                      </w:r>
                    </w:sdtContent>
                  </w:sdt>
                  <w:r>
                    <w:rPr>
                      <w:szCs w:val="24"/>
                    </w:rPr>
                    <w:t xml:space="preserve">. </w:t>
                  </w:r>
                  <w:r>
                    <w:rPr>
                      <w:color w:val="000000"/>
                      <w:szCs w:val="24"/>
                    </w:rPr>
                    <w:t xml:space="preserve">Prieš vaikui pradedant lankyti ikimokyklinio ar pradinio ugdymo įstaigą ir pereinant į kitą ikimokyklinio ar pradinio ugdymo įstaigą, profilaktiškai </w:t>
                  </w:r>
                  <w:r>
                    <w:rPr>
                      <w:szCs w:val="24"/>
                    </w:rPr>
                    <w:t>ASPĮ</w:t>
                  </w:r>
                  <w:r>
                    <w:rPr>
                      <w:color w:val="000000"/>
                      <w:szCs w:val="24"/>
                    </w:rPr>
                    <w:t xml:space="preserve"> atliekami nuograndų ir išmatų helmintologiniai tyrimai.</w:t>
                  </w:r>
                </w:p>
              </w:sdtContent>
            </w:sdt>
            <w:sdt>
              <w:sdtPr>
                <w:alias w:val="3 pr. 11 p."/>
                <w:tag w:val="part_78afa658c5ae46fcb2aff0d334850b90"/>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color w:val="000000"/>
                      <w:szCs w:val="24"/>
                    </w:rPr>
                  </w:pPr>
                  <w:sdt>
                    <w:sdtPr>
                      <w:alias w:val="Numeris"/>
                      <w:tag w:val="nr_78afa658c5ae46fcb2aff0d334850b90"/>
                      <w:lock w:val="sdtLocked"/>
                      <w:richText/>
                    </w:sdtPr>
                    <w:sdtContent>
                      <w:r>
                        <w:rPr>
                          <w:color w:val="000000"/>
                          <w:szCs w:val="24"/>
                          <w:lang w:eastAsia="lt-LT"/>
                        </w:rPr>
                        <w:t>11</w:t>
                      </w:r>
                    </w:sdtContent>
                  </w:sdt>
                  <w:r>
                    <w:rPr>
                      <w:color w:val="000000"/>
                      <w:szCs w:val="24"/>
                      <w:lang w:eastAsia="lt-LT"/>
                    </w:rPr>
                    <w:t xml:space="preserve">. </w:t>
                  </w:r>
                  <w:r>
                    <w:rPr>
                      <w:szCs w:val="24"/>
                      <w:lang w:eastAsia="lt-LT"/>
                    </w:rPr>
                    <w:t>Fizinio ugdymo grupė</w:t>
                  </w:r>
                  <w:r>
                    <w:rPr>
                      <w:color w:val="000000"/>
                      <w:szCs w:val="24"/>
                      <w:lang w:eastAsia="lt-LT"/>
                    </w:rPr>
                    <w:t xml:space="preserve">, </w:t>
                  </w:r>
                  <w:r>
                    <w:rPr>
                      <w:szCs w:val="24"/>
                      <w:lang w:eastAsia="lt-LT"/>
                    </w:rPr>
                    <w:t>kurioje vaikui ar pilnamečiam mokiniui rekomenduojama dalyvauti kūno kultūros pamokose, nustatoma vadovaujantis Lietuvos Respublikos švietimo ir mokslo ministerijos metodinėmis rekomendacijomis „Kūno kultūra silpnesnės sveikatos moksleiviams“ (1999 m., antrasis leidimas, 2003 m).</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595bc076f111e9b81587fcbd5a76f6">
                    <w:r w:rsidRPr="00532B9F">
                      <w:rPr>
                        <w:rFonts w:ascii="Times New Roman" w:eastAsia="MS Mincho" w:hAnsi="Times New Roman"/>
                        <w:sz w:val="20"/>
                        <w:i/>
                        <w:iCs/>
                        <w:color w:val="0000FF" w:themeColor="hyperlink"/>
                        <w:u w:val="single"/>
                      </w:rPr>
                      <w:t>V-566</w:t>
                    </w:r>
                  </w:fldSimple>
                  <w:r>
                    <w:rPr>
                      <w:rFonts w:ascii="Times New Roman" w:eastAsia="MS Mincho" w:hAnsi="Times New Roman"/>
                      <w:sz w:val="20"/>
                      <w:i/>
                      <w:iCs/>
                    </w:rPr>
                    <w:t>,
2019-05-14,
paskelbta TAR 2019-05-15, i. k. 2019-07703            </w:t>
                  </w:r>
                </w:p>
                <w:p/>
              </w:sdtContent>
            </w:sdt>
            <w:sdt>
              <w:sdtPr>
                <w:alias w:val="3 pr. 12 p."/>
                <w:tag w:val="part_ac4b335ebf334e7f830d129ce14a4153"/>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color w:val="000000"/>
                      <w:szCs w:val="24"/>
                    </w:rPr>
                  </w:pPr>
                  <w:sdt>
                    <w:sdtPr>
                      <w:alias w:val="Numeris"/>
                      <w:tag w:val="nr_ac4b335ebf334e7f830d129ce14a4153"/>
                      <w:lock w:val="sdtLocked"/>
                      <w:richText/>
                    </w:sdtPr>
                    <w:sdtContent>
                      <w:r>
                        <w:rPr>
                          <w:szCs w:val="24"/>
                          <w:lang w:eastAsia="lt-LT"/>
                        </w:rPr>
                        <w:t>12</w:t>
                      </w:r>
                    </w:sdtContent>
                  </w:sdt>
                  <w:r>
                    <w:rPr>
                      <w:szCs w:val="24"/>
                      <w:lang w:eastAsia="lt-LT"/>
                    </w:rPr>
                    <w:t>. Pilnametis mokinys, vaikas, jo tėvai ar kiti atstovai pagal įstatymą ASPĮ informuojami apie higienos įgūdžius, o švietimo ar kitą ugdymo įstaigą lankančio vaiko tėvai ar kiti atstovai pagal įstatymą informuojami</w:t>
                  </w:r>
                  <w:r>
                    <w:rPr>
                      <w:color w:val="000000"/>
                      <w:szCs w:val="24"/>
                      <w:lang w:eastAsia="lt-LT"/>
                    </w:rPr>
                    <w:t>, kaip nuolat prižiūrėti odą, nagus, plaukus, kaip tikrinti dėl utėlių ir niežų.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595bc076f111e9b81587fcbd5a76f6">
                    <w:r w:rsidRPr="00532B9F">
                      <w:rPr>
                        <w:rFonts w:ascii="Times New Roman" w:eastAsia="MS Mincho" w:hAnsi="Times New Roman"/>
                        <w:sz w:val="20"/>
                        <w:i/>
                        <w:iCs/>
                        <w:color w:val="0000FF" w:themeColor="hyperlink"/>
                        <w:u w:val="single"/>
                      </w:rPr>
                      <w:t>V-566</w:t>
                    </w:r>
                  </w:fldSimple>
                  <w:r>
                    <w:rPr>
                      <w:rFonts w:ascii="Times New Roman" w:eastAsia="MS Mincho" w:hAnsi="Times New Roman"/>
                      <w:sz w:val="20"/>
                      <w:i/>
                      <w:iCs/>
                    </w:rPr>
                    <w:t>,
2019-05-14,
paskelbta TAR 2019-05-15, i. k. 2019-07703            </w:t>
                  </w:r>
                </w:p>
                <w:p/>
              </w:sdtContent>
            </w:sdt>
            <w:sdt>
              <w:sdtPr>
                <w:alias w:val="3 pr. 13 p."/>
                <w:tag w:val="part_81a3b019ba60423d9c4df432dbebe34b"/>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szCs w:val="24"/>
                      <w:lang w:eastAsia="lt-LT"/>
                    </w:rPr>
                  </w:pPr>
                  <w:sdt>
                    <w:sdtPr>
                      <w:alias w:val="Numeris"/>
                      <w:tag w:val="nr_81a3b019ba60423d9c4df432dbebe34b"/>
                      <w:lock w:val="sdtLocked"/>
                      <w:richText/>
                    </w:sdtPr>
                    <w:sdtContent>
                      <w:r>
                        <w:rPr>
                          <w:color w:val="000000"/>
                          <w:szCs w:val="24"/>
                          <w:lang w:eastAsia="lt-LT"/>
                        </w:rPr>
                        <w:t>13</w:t>
                      </w:r>
                    </w:sdtContent>
                  </w:sdt>
                  <w:r>
                    <w:rPr>
                      <w:color w:val="000000"/>
                      <w:szCs w:val="24"/>
                      <w:lang w:eastAsia="lt-LT"/>
                    </w:rPr>
                    <w:t xml:space="preserve">. Duomenis apie profilaktinį sveikatos tikrinimą Aprašo 5 ir 6 punktuose bei Aprašo 1 priede </w:t>
                  </w:r>
                  <w:r>
                    <w:rPr>
                      <w:szCs w:val="24"/>
                      <w:lang w:eastAsia="lt-LT"/>
                    </w:rPr>
                    <w:t>nurodyti specialistai įrašo į:</w:t>
                  </w:r>
                </w:p>
                <w:sdt>
                  <w:sdtPr>
                    <w:alias w:val="13.1 pp."/>
                    <w:tag w:val="part_19a76c172fa24a5ca7fa7adf8f4781b3"/>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szCs w:val="24"/>
                          <w:lang w:eastAsia="lt-LT"/>
                        </w:rPr>
                      </w:pPr>
                      <w:sdt>
                        <w:sdtPr>
                          <w:alias w:val="Numeris"/>
                          <w:tag w:val="nr_19a76c172fa24a5ca7fa7adf8f4781b3"/>
                          <w:lock w:val="sdtLocked"/>
                          <w:richText/>
                        </w:sdtPr>
                        <w:sdtContent>
                          <w:r>
                            <w:rPr>
                              <w:szCs w:val="24"/>
                              <w:lang w:eastAsia="lt-LT"/>
                            </w:rPr>
                            <w:t>13.1</w:t>
                          </w:r>
                        </w:sdtContent>
                      </w:sdt>
                      <w:r>
                        <w:rPr>
                          <w:szCs w:val="24"/>
                          <w:lang w:eastAsia="lt-LT"/>
                        </w:rPr>
                        <w:t>. formą Nr. 025-112/a „Vaiko sveikatos raidos istorija“, patvirtintą Lietuvos Respublikos sveikatos apsaugos ministro 2014 m. sausio 27 d. įsakymu Nr. V-120 „Dėl privalomų sveikatos statistikos apskaitos ir kitų tipinių formų bei privalomų sveikatos statistikos ataskaitų formų patvirtinimo“ (toliau – forma Nr. 025-112/a), jeigu buvo patikrinta vaiko sveikata;</w:t>
                      </w:r>
                    </w:p>
                  </w:sdtContent>
                </w:sdt>
                <w:sdt>
                  <w:sdtPr>
                    <w:alias w:val="13.2 pp."/>
                    <w:tag w:val="part_7d21c345854143d1a9f6a8c2364ed73f"/>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color w:val="000000"/>
                          <w:szCs w:val="24"/>
                        </w:rPr>
                      </w:pPr>
                      <w:sdt>
                        <w:sdtPr>
                          <w:alias w:val="Numeris"/>
                          <w:tag w:val="nr_7d21c345854143d1a9f6a8c2364ed73f"/>
                          <w:lock w:val="sdtLocked"/>
                          <w:richText/>
                        </w:sdtPr>
                        <w:sdtContent>
                          <w:r>
                            <w:rPr>
                              <w:szCs w:val="24"/>
                              <w:lang w:eastAsia="lt-LT"/>
                            </w:rPr>
                            <w:t>13.2</w:t>
                          </w:r>
                        </w:sdtContent>
                      </w:sdt>
                      <w:r>
                        <w:rPr>
                          <w:szCs w:val="24"/>
                          <w:lang w:eastAsia="lt-LT"/>
                        </w:rPr>
                        <w:t>. formą Nr. 025/a „Ambulatorinė asmens sveikatos istorija“, patvirtintą Lietuvos Respublikos sveikatos apsaugos ministro 2014 m. sausio 27 d. įsakymu Nr. V-120 „Dėl privalomų sveikatos statistikos apskaitos ir kitų tipinių formų bei privalomų sveikatos statistikos ataskaitų formų patvirtinimo“, jeigu buvo patikrinta pilnamečio mokinio sveikata.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595bc076f111e9b81587fcbd5a76f6">
                    <w:r w:rsidRPr="00532B9F">
                      <w:rPr>
                        <w:rFonts w:ascii="Times New Roman" w:eastAsia="MS Mincho" w:hAnsi="Times New Roman"/>
                        <w:sz w:val="20"/>
                        <w:i/>
                        <w:iCs/>
                        <w:color w:val="0000FF" w:themeColor="hyperlink"/>
                        <w:u w:val="single"/>
                      </w:rPr>
                      <w:t>V-566</w:t>
                    </w:r>
                  </w:fldSimple>
                  <w:r>
                    <w:rPr>
                      <w:rFonts w:ascii="Times New Roman" w:eastAsia="MS Mincho" w:hAnsi="Times New Roman"/>
                      <w:sz w:val="20"/>
                      <w:i/>
                      <w:iCs/>
                    </w:rPr>
                    <w:t>,
2019-05-14,
paskelbta TAR 2019-05-15, i. k. 2019-07703            </w:t>
                  </w:r>
                </w:p>
                <w:p/>
              </w:sdtContent>
            </w:sdt>
          </w:sdtContent>
        </w:sdt>
        <w:sdt>
          <w:sdtPr>
            <w:alias w:val="skyrius"/>
            <w:tag w:val="part_e2e676d223e4422baa4bb3f46ee397b7"/>
            <w:lock w:val="sdtLocked"/>
            <w:richText/>
          </w:sdtPr>
          <w:sdtContent>
            <w:p>
              <w:pPr>
                <w:ind w:left="360"/>
                <w:jc w:val="center"/>
                <w:rPr>
                  <w:b/>
                  <w:caps/>
                  <w:color w:val="000000"/>
                  <w:szCs w:val="24"/>
                </w:rPr>
              </w:pPr>
              <w:sdt>
                <w:sdtPr>
                  <w:alias w:val="Numeris"/>
                  <w:tag w:val="nr_e2e676d223e4422baa4bb3f46ee397b7"/>
                  <w:lock w:val="sdtLocked"/>
                  <w:richText/>
                </w:sdtPr>
                <w:sdtContent>
                  <w:r>
                    <w:rPr>
                      <w:b/>
                      <w:caps/>
                      <w:color w:val="000000"/>
                      <w:szCs w:val="24"/>
                    </w:rPr>
                    <w:t>III</w:t>
                  </w:r>
                </w:sdtContent>
              </w:sdt>
              <w:r>
                <w:rPr>
                  <w:b/>
                  <w:caps/>
                  <w:color w:val="000000"/>
                  <w:szCs w:val="24"/>
                </w:rPr>
                <w:t xml:space="preserve"> SKYRIUS</w:t>
              </w:r>
            </w:p>
            <w:p>
              <w:pPr>
                <w:ind w:left="360"/>
                <w:jc w:val="center"/>
                <w:rPr>
                  <w:b/>
                  <w:caps/>
                  <w:color w:val="000000"/>
                  <w:szCs w:val="24"/>
                </w:rPr>
              </w:pPr>
              <w:sdt>
                <w:sdtPr>
                  <w:alias w:val="Pavadinimas"/>
                  <w:tag w:val="title_e2e676d223e4422baa4bb3f46ee397b7"/>
                  <w:lock w:val="sdtLocked"/>
                  <w:richText/>
                </w:sdtPr>
                <w:sdtContent>
                  <w:r>
                    <w:rPr>
                      <w:b/>
                      <w:color w:val="000000"/>
                      <w:szCs w:val="24"/>
                    </w:rPr>
                    <w:t xml:space="preserve">VAIKŲ PSICHOMOTORINĖS RAIDOS TIKRINIMO REIKALAVIMAI IR TVARKA </w:t>
                  </w:r>
                </w:sdtContent>
              </w:sdt>
            </w:p>
            <w:p>
              <w:pPr>
                <w:ind w:left="360"/>
                <w:jc w:val="center"/>
                <w:rPr>
                  <w:b/>
                  <w:caps/>
                  <w:color w:val="000000"/>
                  <w:szCs w:val="24"/>
                </w:rPr>
              </w:pPr>
            </w:p>
            <w:sdt>
              <w:sdtPr>
                <w:alias w:val="3 pr. 14 p."/>
                <w:tag w:val="part_fb8acae386dc4c108fa353ac4282edf5"/>
                <w:lock w:val="sdtLocked"/>
                <w:richText/>
              </w:sdtPr>
              <w:sdtContent>
                <w:p>
                  <w:pPr>
                    <w:ind w:firstLine="851"/>
                    <w:jc w:val="both"/>
                    <w:rPr>
                      <w:color w:val="000000"/>
                      <w:szCs w:val="24"/>
                    </w:rPr>
                  </w:pPr>
                  <w:sdt>
                    <w:sdtPr>
                      <w:alias w:val="Numeris"/>
                      <w:tag w:val="nr_fb8acae386dc4c108fa353ac4282edf5"/>
                      <w:lock w:val="sdtLocked"/>
                      <w:richText/>
                    </w:sdtPr>
                    <w:sdtContent>
                      <w:r>
                        <w:rPr>
                          <w:color w:val="000000"/>
                          <w:szCs w:val="24"/>
                        </w:rPr>
                        <w:t>14</w:t>
                      </w:r>
                    </w:sdtContent>
                  </w:sdt>
                  <w:r>
                    <w:rPr>
                      <w:color w:val="000000"/>
                      <w:szCs w:val="24"/>
                    </w:rPr>
                    <w:t xml:space="preserve">. Vaiko psichomotorinės raidos tikrinimas </w:t>
                  </w:r>
                  <w:r>
                    <w:rPr>
                      <w:bCs/>
                      <w:color w:val="000000"/>
                      <w:szCs w:val="24"/>
                    </w:rPr>
                    <w:t>(toliau – raidos tikrinimas)</w:t>
                  </w:r>
                  <w:r>
                    <w:rPr>
                      <w:color w:val="000000"/>
                      <w:szCs w:val="24"/>
                    </w:rPr>
                    <w:t xml:space="preserve"> apima pagrindines vaiko raidos sritis: bendrąją motoriką, smulkiąją motoriką, pažinimą, kalbos supratimą, kalbos išraišką, savitvarką, socialinę emocinę raidą.</w:t>
                    <w:tab/>
                  </w:r>
                </w:p>
              </w:sdtContent>
            </w:sdt>
            <w:sdt>
              <w:sdtPr>
                <w:alias w:val="3 pr. 15 p."/>
                <w:tag w:val="part_fbb4c090c4074381bb572415f57b9603"/>
                <w:lock w:val="sdtLocked"/>
                <w:richText/>
              </w:sdtPr>
              <w:sdtContent>
                <w:p>
                  <w:pPr>
                    <w:ind w:firstLine="851"/>
                    <w:jc w:val="both"/>
                    <w:rPr>
                      <w:color w:val="000000"/>
                      <w:szCs w:val="24"/>
                    </w:rPr>
                  </w:pPr>
                  <w:sdt>
                    <w:sdtPr>
                      <w:alias w:val="Numeris"/>
                      <w:tag w:val="nr_fbb4c090c4074381bb572415f57b9603"/>
                      <w:lock w:val="sdtLocked"/>
                      <w:richText/>
                    </w:sdtPr>
                    <w:sdtContent>
                      <w:r>
                        <w:rPr>
                          <w:color w:val="000000"/>
                          <w:szCs w:val="24"/>
                        </w:rPr>
                        <w:t>15</w:t>
                      </w:r>
                    </w:sdtContent>
                  </w:sdt>
                  <w:r>
                    <w:rPr>
                      <w:color w:val="000000"/>
                      <w:szCs w:val="24"/>
                    </w:rPr>
                    <w:t xml:space="preserve">. Raida tikrinama Aprašo 1 priede nurodytais amžiaus tarpsniais ir periodiškumu. Neišnešiotų naujagimių raida tikrinama sulaukus 3, 6, 9 mėnesių koreguoto amžiaus,  o ankstyvojo amžiaus vaikų – 12, 18, 24 mėnesių koreguoto amžiaus bei 36 ir 48 mėnesių chronologinio</w:t>
                  </w:r>
                  <w:r>
                    <w:rPr>
                      <w:color w:val="FF0000"/>
                      <w:szCs w:val="24"/>
                    </w:rPr>
                    <w:t xml:space="preserve"> </w:t>
                  </w:r>
                  <w:r>
                    <w:rPr>
                      <w:color w:val="000000"/>
                      <w:szCs w:val="24"/>
                    </w:rPr>
                    <w:t>amžiaus. Leidžiamas tikrinimo laiko nukrypimas nuo nustatyto laiko – ne daugiau kaip 2 savaitės.</w:t>
                  </w:r>
                </w:p>
              </w:sdtContent>
            </w:sdt>
            <w:sdt>
              <w:sdtPr>
                <w:alias w:val="3 pr. 16 p."/>
                <w:tag w:val="part_acf7f5be067049e3938e6b56b4b51fc3"/>
                <w:lock w:val="sdtLocked"/>
                <w:richText/>
              </w:sdtPr>
              <w:sdtContent>
                <w:p>
                  <w:pPr>
                    <w:ind w:firstLine="851"/>
                    <w:jc w:val="both"/>
                    <w:rPr>
                      <w:color w:val="000000"/>
                      <w:szCs w:val="24"/>
                    </w:rPr>
                  </w:pPr>
                  <w:sdt>
                    <w:sdtPr>
                      <w:alias w:val="Numeris"/>
                      <w:tag w:val="nr_acf7f5be067049e3938e6b56b4b51fc3"/>
                      <w:lock w:val="sdtLocked"/>
                      <w:richText/>
                    </w:sdtPr>
                    <w:sdtContent>
                      <w:r>
                        <w:rPr>
                          <w:color w:val="000000"/>
                          <w:szCs w:val="24"/>
                        </w:rPr>
                        <w:t>16</w:t>
                      </w:r>
                    </w:sdtContent>
                  </w:sdt>
                  <w:r>
                    <w:rPr>
                      <w:color w:val="000000"/>
                      <w:szCs w:val="24"/>
                    </w:rPr>
                    <w:t xml:space="preserve">. Raidos tikrinimas pagal vaiko amžių ir įgūdžius nustatytas Vaiko psichomotorinės raidos tikrinimo lape (2 priedas). </w:t>
                  </w:r>
                </w:p>
              </w:sdtContent>
            </w:sdt>
            <w:sdt>
              <w:sdtPr>
                <w:alias w:val="3 pr. 17 p."/>
                <w:tag w:val="part_aee314df27454a0895ea5c441fdd42b0"/>
                <w:lock w:val="sdtLocked"/>
                <w:richText/>
              </w:sdtPr>
              <w:sdtContent>
                <w:p>
                  <w:pPr>
                    <w:ind w:firstLine="851"/>
                    <w:jc w:val="both"/>
                    <w:rPr>
                      <w:color w:val="000000"/>
                      <w:szCs w:val="24"/>
                    </w:rPr>
                  </w:pPr>
                  <w:sdt>
                    <w:sdtPr>
                      <w:alias w:val="Numeris"/>
                      <w:tag w:val="nr_aee314df27454a0895ea5c441fdd42b0"/>
                      <w:lock w:val="sdtLocked"/>
                      <w:richText/>
                    </w:sdtPr>
                    <w:sdtContent>
                      <w:r>
                        <w:rPr>
                          <w:color w:val="000000"/>
                          <w:szCs w:val="24"/>
                        </w:rPr>
                        <w:t>17</w:t>
                      </w:r>
                    </w:sdtContent>
                  </w:sdt>
                  <w:r>
                    <w:rPr>
                      <w:color w:val="000000"/>
                      <w:szCs w:val="24"/>
                    </w:rPr>
                    <w:t xml:space="preserve">. Tikrinant raidą naudojamos šios priemonės: barškutis ar varpelis, plastikinis puodelis arba analogiško dydžio dėžutė, kaladėlės, dėlionė: lenta su 3 pagrindinėmis formomis (trikampis, kvadratas, apskritimas) arba plastikinė dėžutė su atitinkamų formų angomis, knygutė su paveikslėliais, skirta 1–3 metų vaikams, lėlė,  popierius, vaikiškos piešimo kreidelės arba pieštukai.</w:t>
                  </w:r>
                </w:p>
              </w:sdtContent>
            </w:sdt>
            <w:sdt>
              <w:sdtPr>
                <w:alias w:val="3 pr. 18 p."/>
                <w:tag w:val="part_e83a7a7011d14455aeb332e8c655a75e"/>
                <w:lock w:val="sdtLocked"/>
                <w:richText/>
              </w:sdtPr>
              <w:sdtContent>
                <w:p>
                  <w:pPr>
                    <w:ind w:firstLine="851"/>
                    <w:jc w:val="both"/>
                    <w:rPr>
                      <w:color w:val="000000"/>
                      <w:szCs w:val="24"/>
                    </w:rPr>
                  </w:pPr>
                  <w:sdt>
                    <w:sdtPr>
                      <w:alias w:val="Numeris"/>
                      <w:tag w:val="nr_e83a7a7011d14455aeb332e8c655a75e"/>
                      <w:lock w:val="sdtLocked"/>
                      <w:richText/>
                    </w:sdtPr>
                    <w:sdtContent>
                      <w:r>
                        <w:rPr>
                          <w:color w:val="000000"/>
                          <w:szCs w:val="24"/>
                        </w:rPr>
                        <w:t>18</w:t>
                      </w:r>
                    </w:sdtContent>
                  </w:sdt>
                  <w:r>
                    <w:rPr>
                      <w:color w:val="000000"/>
                      <w:szCs w:val="24"/>
                    </w:rPr>
                    <w:t xml:space="preserve">. Atitinkamo amžiaus vaiko raidos  įgūdžius, nurodytus Aprašo 2 priede, galima tikrinti ne eilės tvarka.</w:t>
                  </w:r>
                </w:p>
              </w:sdtContent>
            </w:sdt>
            <w:sdt>
              <w:sdtPr>
                <w:alias w:val="3 pr. 19 p."/>
                <w:tag w:val="part_24227c835eb64439ba73fa26c66dce87"/>
                <w:lock w:val="sdtLocked"/>
                <w:richText/>
              </w:sdtPr>
              <w:sdtContent>
                <w:p>
                  <w:pPr>
                    <w:ind w:firstLine="851"/>
                    <w:jc w:val="both"/>
                    <w:rPr>
                      <w:color w:val="000000"/>
                      <w:szCs w:val="24"/>
                    </w:rPr>
                  </w:pPr>
                  <w:sdt>
                    <w:sdtPr>
                      <w:alias w:val="Numeris"/>
                      <w:tag w:val="nr_24227c835eb64439ba73fa26c66dce87"/>
                      <w:lock w:val="sdtLocked"/>
                      <w:richText/>
                    </w:sdtPr>
                    <w:sdtContent>
                      <w:r>
                        <w:rPr>
                          <w:color w:val="000000"/>
                          <w:szCs w:val="24"/>
                        </w:rPr>
                        <w:t>19</w:t>
                      </w:r>
                    </w:sdtContent>
                  </w:sdt>
                  <w:r>
                    <w:rPr>
                      <w:color w:val="000000"/>
                      <w:szCs w:val="24"/>
                    </w:rPr>
                    <w:t xml:space="preserve">. Raidos tikrinimas atliekamas tik pagal vaiko amžiaus tarpsnio užduotis. Svarbu atkreipti dėmesį ir įvertinti raidos sutrikimo riziką, kai tėvai pasako apie  anksčiau turėtų įgūdžių praradimą, t. y. vaikas nebesugeba atlikti to, ką anksčiau atliko gerai.</w:t>
                  </w:r>
                </w:p>
              </w:sdtContent>
            </w:sdt>
            <w:sdt>
              <w:sdtPr>
                <w:alias w:val="3 pr. 20 p."/>
                <w:tag w:val="part_d00eb34842824508a3c8349003bf643e"/>
                <w:lock w:val="sdtLocked"/>
                <w:richText/>
              </w:sdtPr>
              <w:sdtContent>
                <w:p>
                  <w:pPr>
                    <w:ind w:firstLine="851"/>
                    <w:jc w:val="both"/>
                    <w:rPr>
                      <w:color w:val="000000"/>
                      <w:szCs w:val="24"/>
                    </w:rPr>
                  </w:pPr>
                  <w:sdt>
                    <w:sdtPr>
                      <w:alias w:val="Numeris"/>
                      <w:tag w:val="nr_d00eb34842824508a3c8349003bf643e"/>
                      <w:lock w:val="sdtLocked"/>
                      <w:richText/>
                    </w:sdtPr>
                    <w:sdtContent>
                      <w:r>
                        <w:rPr>
                          <w:color w:val="000000"/>
                          <w:szCs w:val="24"/>
                        </w:rPr>
                        <w:t>20</w:t>
                      </w:r>
                    </w:sdtContent>
                  </w:sdt>
                  <w:r>
                    <w:rPr>
                      <w:color w:val="000000"/>
                      <w:szCs w:val="24"/>
                    </w:rPr>
                    <w:t>. Kiekvieno raidos tikrinimo metu Aprašo 5 punkte nurodytas gydytojas įvertina, kaip vaikas pagal savo amžių atlieka atitinkamas užduotis, ir užpildo Vaiko psichomotorinės raidos tikrinimo lapą (atitinkama Aprašo 2 priedo lentelė):</w:t>
                  </w:r>
                </w:p>
                <w:sdt>
                  <w:sdtPr>
                    <w:alias w:val="3 pr. 20.1 pp."/>
                    <w:tag w:val="part_0bbe62841cb24986afabed62b7aa31bf"/>
                    <w:lock w:val="sdtLocked"/>
                    <w:richText/>
                  </w:sdtPr>
                  <w:sdtContent>
                    <w:p>
                      <w:pPr>
                        <w:ind w:firstLine="851"/>
                        <w:jc w:val="both"/>
                        <w:rPr>
                          <w:color w:val="000000"/>
                          <w:szCs w:val="24"/>
                        </w:rPr>
                      </w:pPr>
                      <w:sdt>
                        <w:sdtPr>
                          <w:alias w:val="Numeris"/>
                          <w:tag w:val="nr_0bbe62841cb24986afabed62b7aa31bf"/>
                          <w:lock w:val="sdtLocked"/>
                          <w:richText/>
                        </w:sdtPr>
                        <w:sdtContent>
                          <w:r>
                            <w:rPr>
                              <w:color w:val="000000"/>
                              <w:szCs w:val="24"/>
                            </w:rPr>
                            <w:t>20.1</w:t>
                          </w:r>
                        </w:sdtContent>
                      </w:sdt>
                      <w:r>
                        <w:rPr>
                          <w:color w:val="000000"/>
                          <w:szCs w:val="24"/>
                        </w:rPr>
                        <w:t>. jeigu vaikas atlieka vertinamo amžiaus tarpsnio užduotis, įrašo išvadą „Normali raida“ ir tėvams pateikia kito laikotarpio vaiko įgūdžių lavinimo rekomendacijas, informuoja apie kito tikrinimo terminą;</w:t>
                      </w:r>
                    </w:p>
                  </w:sdtContent>
                </w:sdt>
                <w:sdt>
                  <w:sdtPr>
                    <w:alias w:val="3 pr. 20.2 pp."/>
                    <w:tag w:val="part_3f4b7a3eb7e340929876954df8c659bd"/>
                    <w:lock w:val="sdtLocked"/>
                    <w:richText/>
                  </w:sdtPr>
                  <w:sdtContent>
                    <w:p>
                      <w:pPr>
                        <w:ind w:firstLine="851"/>
                        <w:jc w:val="both"/>
                        <w:rPr>
                          <w:color w:val="000000"/>
                          <w:szCs w:val="24"/>
                        </w:rPr>
                      </w:pPr>
                      <w:sdt>
                        <w:sdtPr>
                          <w:alias w:val="Numeris"/>
                          <w:tag w:val="nr_3f4b7a3eb7e340929876954df8c659bd"/>
                          <w:lock w:val="sdtLocked"/>
                          <w:richText/>
                        </w:sdtPr>
                        <w:sdtContent>
                          <w:r>
                            <w:rPr>
                              <w:color w:val="000000"/>
                              <w:szCs w:val="24"/>
                            </w:rPr>
                            <w:t>20.2</w:t>
                          </w:r>
                        </w:sdtContent>
                      </w:sdt>
                      <w:r>
                        <w:rPr>
                          <w:color w:val="000000"/>
                          <w:szCs w:val="24"/>
                        </w:rPr>
                        <w:t>. jeigu vaikas neatlieka bent vienos iš vertinamo amžiaus tarpsnio užduočių, įrašo išvadą „Raidos sutrikimo rizika“.</w:t>
                      </w:r>
                    </w:p>
                  </w:sdtContent>
                </w:sdt>
              </w:sdtContent>
            </w:sdt>
            <w:sdt>
              <w:sdtPr>
                <w:alias w:val="3 pr. 21 p."/>
                <w:tag w:val="part_5c2bbb922ba54f07a3dc02dc969d4c13"/>
                <w:lock w:val="sdtLocked"/>
                <w:richText/>
              </w:sdtPr>
              <w:sdtContent>
                <w:p>
                  <w:pPr>
                    <w:ind w:firstLine="851"/>
                    <w:jc w:val="both"/>
                    <w:rPr>
                      <w:color w:val="000000"/>
                      <w:szCs w:val="24"/>
                    </w:rPr>
                  </w:pPr>
                  <w:sdt>
                    <w:sdtPr>
                      <w:alias w:val="Numeris"/>
                      <w:tag w:val="nr_5c2bbb922ba54f07a3dc02dc969d4c13"/>
                      <w:lock w:val="sdtLocked"/>
                      <w:richText/>
                    </w:sdtPr>
                    <w:sdtContent>
                      <w:r>
                        <w:rPr>
                          <w:color w:val="000000"/>
                          <w:szCs w:val="24"/>
                        </w:rPr>
                        <w:t>21</w:t>
                      </w:r>
                    </w:sdtContent>
                  </w:sdt>
                  <w:r>
                    <w:rPr>
                      <w:color w:val="000000"/>
                      <w:szCs w:val="24"/>
                    </w:rPr>
                    <w:t>. Vaiko psichomotorinės raidos tikrinimo lapai įklijuojami į Aprašo 5 punkte nurodyto gydytojo pildomą formą Nr. 025-112/a.</w:t>
                  </w:r>
                </w:p>
              </w:sdtContent>
            </w:sdt>
            <w:sdt>
              <w:sdtPr>
                <w:alias w:val="3 pr. 22 p."/>
                <w:tag w:val="part_d645e1d7c8cf4fe5a5c46a5c5b285e36"/>
                <w:lock w:val="sdtLocked"/>
                <w:richText/>
              </w:sdtPr>
              <w:sdtContent>
                <w:p>
                  <w:pPr>
                    <w:ind w:firstLine="851"/>
                    <w:jc w:val="both"/>
                    <w:rPr>
                      <w:color w:val="000000"/>
                      <w:szCs w:val="24"/>
                    </w:rPr>
                  </w:pPr>
                  <w:sdt>
                    <w:sdtPr>
                      <w:alias w:val="Numeris"/>
                      <w:tag w:val="nr_d645e1d7c8cf4fe5a5c46a5c5b285e36"/>
                      <w:lock w:val="sdtLocked"/>
                      <w:richText/>
                    </w:sdtPr>
                    <w:sdtContent>
                      <w:r>
                        <w:rPr>
                          <w:color w:val="000000"/>
                          <w:szCs w:val="24"/>
                        </w:rPr>
                        <w:t>22</w:t>
                      </w:r>
                    </w:sdtContent>
                  </w:sdt>
                  <w:r>
                    <w:rPr>
                      <w:color w:val="000000"/>
                      <w:szCs w:val="24"/>
                    </w:rPr>
                    <w:t>. Gydytojas su vaiko tėvais ar kitais vaiko atstovais pagal įstatymą aptaria kiekvieno raidos tikrinimo vertinimo rezultatus. Jei nustatoma raidos sutrikimo rizika, numatomas išsamesnis raidos vertinimas.</w:t>
                  </w:r>
                </w:p>
              </w:sdtContent>
            </w:sdt>
            <w:sdt>
              <w:sdtPr>
                <w:alias w:val="3 pr. 23 p."/>
                <w:tag w:val="part_1f08ee79734e4b21818ca4687a3905a8"/>
                <w:lock w:val="sdtLocked"/>
                <w:richText/>
              </w:sdtPr>
              <w:sdtContent>
                <w:p>
                  <w:pPr>
                    <w:ind w:firstLine="851"/>
                    <w:jc w:val="both"/>
                    <w:rPr>
                      <w:color w:val="000000"/>
                      <w:szCs w:val="24"/>
                    </w:rPr>
                  </w:pPr>
                  <w:sdt>
                    <w:sdtPr>
                      <w:alias w:val="Numeris"/>
                      <w:tag w:val="nr_1f08ee79734e4b21818ca4687a3905a8"/>
                      <w:lock w:val="sdtLocked"/>
                      <w:richText/>
                    </w:sdtPr>
                    <w:sdtContent>
                      <w:r>
                        <w:rPr>
                          <w:color w:val="000000"/>
                          <w:szCs w:val="24"/>
                        </w:rPr>
                        <w:t>23</w:t>
                      </w:r>
                    </w:sdtContent>
                  </w:sdt>
                  <w:r>
                    <w:rPr>
                      <w:color w:val="000000"/>
                      <w:szCs w:val="24"/>
                    </w:rPr>
                    <w:t>. Jeigu po raidos tikrinimo pacientas siunčiamas pas antrinio lygio sveikatos priežiūros paslaugas teikiantį specialistą atlikti išsamesnio raidos vertinimo ir vaikų raidos sutrikimų ankstyvosios reabilitacijos į antrinio lygio vaikų raidos sutrikimų ankstyvosios reabilitacijos paslaugas teikiančią ASPĮ, apie tai įrašoma formoje Nr. 025-112/a. Siunčiant išsamiau įvertinti psichomotorinės raidos, išrašo iš medicinos dokumentų formoje Nr. 027/a įrašoma, kurių raidos tikrinimo užduočių vaikas neatliko.</w:t>
                  </w:r>
                </w:p>
              </w:sdtContent>
            </w:sdt>
            <w:sdt>
              <w:sdtPr>
                <w:alias w:val="3 pr. 24 p."/>
                <w:tag w:val="part_339d2d45277e47c8a59d398b8053dd3b"/>
                <w:lock w:val="sdtLocked"/>
                <w:richText/>
              </w:sdtPr>
              <w:sdtContent>
                <w:p>
                  <w:pPr>
                    <w:ind w:firstLine="851"/>
                    <w:jc w:val="both"/>
                    <w:rPr>
                      <w:color w:val="000000"/>
                      <w:szCs w:val="24"/>
                    </w:rPr>
                  </w:pPr>
                  <w:sdt>
                    <w:sdtPr>
                      <w:alias w:val="Numeris"/>
                      <w:tag w:val="nr_339d2d45277e47c8a59d398b8053dd3b"/>
                      <w:lock w:val="sdtLocked"/>
                      <w:richText/>
                    </w:sdtPr>
                    <w:sdtContent>
                      <w:r>
                        <w:rPr>
                          <w:color w:val="000000"/>
                          <w:szCs w:val="24"/>
                        </w:rPr>
                        <w:t>24</w:t>
                      </w:r>
                    </w:sdtContent>
                  </w:sdt>
                  <w:r>
                    <w:rPr>
                      <w:color w:val="000000"/>
                      <w:szCs w:val="24"/>
                    </w:rPr>
                    <w:t xml:space="preserve">. Nesant galimybės pagal vaiko gyvenamąją vietą teikti antrinio lygio ambulatorinių vaiko raidos sutrikimų ankstyvosios reabilitacijos paslaugų, Aprašo 5 punkte nurodytas gydytojas vaiką siunčia vaikų ir paauglių psichiatro konsultacijos arba vaikų neurologo konsultacijos. </w:t>
                  </w:r>
                </w:p>
              </w:sdtContent>
            </w:sdt>
            <w:sdt>
              <w:sdtPr>
                <w:alias w:val="3 pr. 25 p."/>
                <w:tag w:val="part_b40990ce1a5c44549ca9f908d1b10599"/>
                <w:lock w:val="sdtLocked"/>
                <w:richText/>
              </w:sdtPr>
              <w:sdtContent>
                <w:p>
                  <w:pPr>
                    <w:ind w:firstLine="851"/>
                    <w:jc w:val="both"/>
                    <w:rPr>
                      <w:color w:val="000000"/>
                      <w:szCs w:val="24"/>
                    </w:rPr>
                  </w:pPr>
                  <w:sdt>
                    <w:sdtPr>
                      <w:alias w:val="Numeris"/>
                      <w:tag w:val="nr_b40990ce1a5c44549ca9f908d1b10599"/>
                      <w:lock w:val="sdtLocked"/>
                      <w:richText/>
                    </w:sdtPr>
                    <w:sdtContent>
                      <w:r>
                        <w:rPr>
                          <w:color w:val="000000"/>
                          <w:szCs w:val="24"/>
                        </w:rPr>
                        <w:t>25</w:t>
                      </w:r>
                    </w:sdtContent>
                  </w:sdt>
                  <w:r>
                    <w:rPr>
                      <w:color w:val="000000"/>
                      <w:szCs w:val="24"/>
                    </w:rPr>
                    <w:t>. Jei vaikas toliau stebimas ir gydomas vaikų raidos sutrikimų ankstyvosios reabilitacijos paslaugas teikiančioje ASPĮ dėl raidos sutrikimo, raidos tikrinimas pirminės ASPĮ nebeatliekamas ir Aprašo 5 punkte nurodytas gydytojas tai įrašo jo formoje Nr. 025-112/a.</w:t>
                  </w:r>
                </w:p>
                <w:p>
                  <w:pPr>
                    <w:jc w:val="both"/>
                    <w:rPr>
                      <w:color w:val="000000"/>
                      <w:szCs w:val="24"/>
                    </w:rPr>
                  </w:pPr>
                </w:p>
              </w:sdtContent>
            </w:sdt>
          </w:sdtContent>
        </w:sdt>
        <w:sdt>
          <w:sdtPr>
            <w:alias w:val="skyrius"/>
            <w:tag w:val="part_4eaab3b2a8fe47f183fc0aa0f01c44e3"/>
            <w:lock w:val="sdtLocked"/>
            <w:richText/>
          </w:sdtPr>
          <w:sdtContent>
            <w:p>
              <w:pPr>
                <w:ind w:left="360"/>
                <w:jc w:val="center"/>
                <w:rPr>
                  <w:caps/>
                  <w:color w:val="000000"/>
                  <w:szCs w:val="24"/>
                </w:rPr>
              </w:pPr>
              <w:sdt>
                <w:sdtPr>
                  <w:alias w:val="Numeris"/>
                  <w:tag w:val="nr_4eaab3b2a8fe47f183fc0aa0f01c44e3"/>
                  <w:lock w:val="sdtLocked"/>
                  <w:richText/>
                </w:sdtPr>
                <w:sdtContent>
                  <w:r>
                    <w:rPr>
                      <w:b/>
                      <w:caps/>
                      <w:color w:val="000000"/>
                      <w:szCs w:val="24"/>
                    </w:rPr>
                    <w:t>IV</w:t>
                  </w:r>
                </w:sdtContent>
              </w:sdt>
              <w:r>
                <w:rPr>
                  <w:b/>
                  <w:caps/>
                  <w:color w:val="000000"/>
                  <w:szCs w:val="24"/>
                </w:rPr>
                <w:t xml:space="preserve"> SKYRIUS </w:t>
              </w:r>
            </w:p>
            <w:p>
              <w:pPr>
                <w:ind w:left="360"/>
                <w:jc w:val="center"/>
                <w:rPr>
                  <w:b/>
                  <w:caps/>
                  <w:color w:val="000000"/>
                  <w:szCs w:val="24"/>
                </w:rPr>
              </w:pPr>
              <w:sdt>
                <w:sdtPr>
                  <w:alias w:val="Pavadinimas"/>
                  <w:tag w:val="title_4eaab3b2a8fe47f183fc0aa0f01c44e3"/>
                  <w:lock w:val="sdtLocked"/>
                  <w:richText/>
                </w:sdtPr>
                <w:sdtContent>
                  <w:r>
                    <w:rPr>
                      <w:b/>
                      <w:caps/>
                      <w:color w:val="000000"/>
                      <w:szCs w:val="24"/>
                    </w:rPr>
                    <w:t>BAIGIAMOSIOS NUOSTATOS</w:t>
                  </w:r>
                </w:sdtContent>
              </w:sdt>
            </w:p>
            <w:p>
              <w:pPr>
                <w:ind w:left="360"/>
                <w:jc w:val="center"/>
                <w:rPr>
                  <w:b/>
                  <w:caps/>
                  <w:color w:val="000000"/>
                  <w:szCs w:val="24"/>
                </w:rPr>
              </w:pPr>
            </w:p>
            <w:sdt>
              <w:sdtPr>
                <w:alias w:val="3 pr. 26 p."/>
                <w:tag w:val="part_a049b2d0aaf94017b371316a52daa436"/>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pPr>
                  <w:sdt>
                    <w:sdtPr>
                      <w:alias w:val="Numeris"/>
                      <w:tag w:val="nr_a049b2d0aaf94017b371316a52daa436"/>
                      <w:lock w:val="sdtLocked"/>
                      <w:richText/>
                    </w:sdtPr>
                    <w:sdtContent>
                      <w:r>
                        <w:rPr>
                          <w:color w:val="000000"/>
                          <w:szCs w:val="24"/>
                          <w:lang w:eastAsia="lt-LT"/>
                        </w:rPr>
                        <w:t>26</w:t>
                      </w:r>
                    </w:sdtContent>
                  </w:sdt>
                  <w:r>
                    <w:rPr>
                      <w:color w:val="000000"/>
                      <w:szCs w:val="24"/>
                      <w:lang w:eastAsia="lt-LT"/>
                    </w:rPr>
                    <w:t>. Atlikus privalomą profilaktinį</w:t>
                  </w:r>
                  <w:r>
                    <w:rPr>
                      <w:szCs w:val="24"/>
                      <w:lang w:eastAsia="lt-LT"/>
                    </w:rPr>
                    <w:t xml:space="preserve"> pilnamečio mokinio ar vaiko, lankančio švietimo ar kitą ugdymo įstaigą, sveikatos tikrinimą, </w:t>
                  </w:r>
                  <w:r>
                    <w:rPr>
                      <w:rFonts w:eastAsia="Calibri"/>
                      <w:szCs w:val="24"/>
                    </w:rPr>
                    <w:t xml:space="preserve">elektroninės sveikatos paslaugų ir bendradarbiavimo infrastruktūros informacinėje sistemoje (toliau – ESPBI IS) užpildoma </w:t>
                  </w:r>
                  <w:r>
                    <w:rPr>
                      <w:szCs w:val="24"/>
                    </w:rPr>
                    <w:t xml:space="preserve">elektroninės statistinės apskaitos forma Nr. E027-1 „Mokinio sveikatos pažymėjimas“, patvirtinta </w:t>
                  </w:r>
                  <w:r>
                    <w:rPr>
                      <w:szCs w:val="24"/>
                      <w:lang w:eastAsia="lt-LT"/>
                    </w:rPr>
                    <w:t>Lietuvos Respublikos sveikatos apsaugos ministro 2004 m. gruodžio 24 d. įsakymu Nr. V-951 „Dėl e</w:t>
                  </w:r>
                  <w:r>
                    <w:rPr>
                      <w:szCs w:val="24"/>
                    </w:rPr>
                    <w:t>lektroninės statistinės apskaitos formos Nr. E027-1 „Mokinio sveikatos pažymėjimas“</w:t>
                  </w:r>
                  <w:r>
                    <w:rPr>
                      <w:szCs w:val="24"/>
                      <w:lang w:eastAsia="lt-LT"/>
                    </w:rPr>
                    <w:t xml:space="preserve"> patvirtinimo“ (toliau – forma E027-1), kurioje įrašomi reikiami duomenys, išvados ir rekomendacijos švietimo ar kitai ugdymo įstaigai.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595bc076f111e9b81587fcbd5a76f6">
                    <w:r w:rsidRPr="00532B9F">
                      <w:rPr>
                        <w:rFonts w:ascii="Times New Roman" w:eastAsia="MS Mincho" w:hAnsi="Times New Roman"/>
                        <w:sz w:val="20"/>
                        <w:i/>
                        <w:iCs/>
                        <w:color w:val="0000FF" w:themeColor="hyperlink"/>
                        <w:u w:val="single"/>
                      </w:rPr>
                      <w:t>V-566</w:t>
                    </w:r>
                  </w:fldSimple>
                  <w:r>
                    <w:rPr>
                      <w:rFonts w:ascii="Times New Roman" w:eastAsia="MS Mincho" w:hAnsi="Times New Roman"/>
                      <w:sz w:val="20"/>
                      <w:i/>
                      <w:iCs/>
                    </w:rPr>
                    <w:t>,
2019-05-14,
paskelbta TAR 2019-05-15, i. k. 2019-07703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abfed02ba411eabe008ea93139d588">
                    <w:r w:rsidRPr="00532B9F">
                      <w:rPr>
                        <w:rFonts w:ascii="Times New Roman" w:eastAsia="MS Mincho" w:hAnsi="Times New Roman"/>
                        <w:sz w:val="20"/>
                        <w:i/>
                        <w:iCs/>
                        <w:color w:val="0000FF" w:themeColor="hyperlink"/>
                        <w:u w:val="single"/>
                      </w:rPr>
                      <w:t>V-1535</w:t>
                    </w:r>
                  </w:fldSimple>
                  <w:r>
                    <w:rPr>
                      <w:rFonts w:ascii="Times New Roman" w:eastAsia="MS Mincho" w:hAnsi="Times New Roman"/>
                      <w:sz w:val="20"/>
                      <w:i/>
                      <w:iCs/>
                    </w:rPr>
                    <w:t>,
2019-12-30,
paskelbta TAR 2019-12-31, i. k. 2019-21774            </w:t>
                  </w:r>
                </w:p>
                <w:p/>
              </w:sdtContent>
            </w:sdt>
            <w:sdt>
              <w:sdtPr>
                <w:alias w:val="26-1 p."/>
                <w:tag w:val="part_3a83b56652c443d19faa6fc3a71ad132"/>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color w:val="000000"/>
                      <w:szCs w:val="24"/>
                    </w:rPr>
                  </w:pPr>
                  <w:sdt>
                    <w:sdtPr>
                      <w:alias w:val="Numeris"/>
                      <w:tag w:val="nr_3a83b56652c443d19faa6fc3a71ad132"/>
                      <w:lock w:val="sdtLocked"/>
                      <w:richText/>
                    </w:sdtPr>
                    <w:sdtContent>
                      <w:r>
                        <w:rPr>
                          <w:szCs w:val="24"/>
                          <w:lang w:eastAsia="lt-LT"/>
                        </w:rPr>
                        <w:t>26</w:t>
                      </w:r>
                      <w:r>
                        <w:rPr>
                          <w:szCs w:val="24"/>
                          <w:vertAlign w:val="superscript"/>
                          <w:lang w:eastAsia="lt-LT"/>
                        </w:rPr>
                        <w:t>1</w:t>
                      </w:r>
                    </w:sdtContent>
                  </w:sdt>
                  <w:r>
                    <w:rPr>
                      <w:szCs w:val="24"/>
                      <w:lang w:eastAsia="lt-LT"/>
                    </w:rPr>
                    <w:t xml:space="preserve">. </w:t>
                  </w:r>
                  <w:r>
                    <w:rPr>
                      <w:bCs/>
                      <w:szCs w:val="24"/>
                      <w:lang w:eastAsia="lt-LT"/>
                    </w:rPr>
                    <w:t>Esant ESPBI IS arba ASPĮ vidinių informacinės sistemos veikimo sutrikimų, forma E027-1 užpildoma atkūrus sistemos / sistemų veiklą.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595bc076f111e9b81587fcbd5a76f6">
                    <w:r w:rsidRPr="00532B9F">
                      <w:rPr>
                        <w:rFonts w:ascii="Times New Roman" w:eastAsia="MS Mincho" w:hAnsi="Times New Roman"/>
                        <w:sz w:val="20"/>
                        <w:i/>
                        <w:iCs/>
                        <w:color w:val="0000FF" w:themeColor="hyperlink"/>
                        <w:u w:val="single"/>
                      </w:rPr>
                      <w:t>V-566</w:t>
                    </w:r>
                  </w:fldSimple>
                  <w:r>
                    <w:rPr>
                      <w:rFonts w:ascii="Times New Roman" w:eastAsia="MS Mincho" w:hAnsi="Times New Roman"/>
                      <w:sz w:val="20"/>
                      <w:i/>
                      <w:iCs/>
                    </w:rPr>
                    <w:t>,
2019-05-14,
paskelbta TAR 2019-05-15, i. k. 2019-07703        </w:t>
                  </w:r>
                </w:p>
                <w:p/>
              </w:sdtContent>
            </w:sdt>
            <w:sdt>
              <w:sdtPr>
                <w:alias w:val="3 pr. 27 p."/>
                <w:tag w:val="part_8d2b7b70ce7c406ea672890a3bf6084a"/>
                <w:lock w:val="sdtLocked"/>
                <w:richText/>
              </w:sdtPr>
              <w:sdtContent>
                <w:p>
                  <w:pPr>
                    <w:ind w:firstLine="851"/>
                    <w:jc w:val="both"/>
                    <w:rPr>
                      <w:color w:val="000000"/>
                      <w:szCs w:val="24"/>
                    </w:rPr>
                  </w:pPr>
                  <w:sdt>
                    <w:sdtPr>
                      <w:alias w:val="Numeris"/>
                      <w:tag w:val="nr_8d2b7b70ce7c406ea672890a3bf6084a"/>
                      <w:lock w:val="sdtLocked"/>
                      <w:richText/>
                    </w:sdtPr>
                    <w:sdtContent>
                      <w:r>
                        <w:rPr>
                          <w:szCs w:val="24"/>
                          <w:lang w:eastAsia="lt-LT"/>
                        </w:rPr>
                        <w:t>27</w:t>
                      </w:r>
                    </w:sdtContent>
                  </w:sdt>
                  <w:r>
                    <w:rPr>
                      <w:szCs w:val="24"/>
                      <w:lang w:eastAsia="lt-LT"/>
                    </w:rPr>
                    <w:t xml:space="preserve">. Jeigu nepasibaigus formos Nr. </w:t>
                  </w:r>
                  <w:r>
                    <w:rPr>
                      <w:szCs w:val="24"/>
                    </w:rPr>
                    <w:t xml:space="preserve">E027-1 galiojimo laikui vaiko ar pilnamečio mokinio sveikatos būklė pasikeičia taip, kad turi būti keičiama jo fizinio ugdymo grupė arba atsiranda naujų bendrų arba specialių rekomendacijų, kurių turi būti laikomasi jam dalyvaujant ugdymo veikloje, ši informacija įrašoma į formą Nr. 046/a „Medicininis pažymėjimas“, </w:t>
                  </w:r>
                  <w:r>
                    <w:rPr>
                      <w:color w:val="000000"/>
                      <w:spacing w:val="-4"/>
                      <w:szCs w:val="24"/>
                      <w:lang w:eastAsia="lt-LT"/>
                    </w:rPr>
                    <w:t xml:space="preserve">patvirtintą Lietuvos Respublikos sveikatos apsaugos ministro 2014 m. sausio 27 d.  įsakymu Nr. V-120 „Dėl privalomų sveikatos statistikos apskaitos ir kitų tipinių formų bei privalomų sveikatos statistikos ataskaitų formų patvirtinimo“</w:t>
                  </w:r>
                  <w:r>
                    <w:rPr>
                      <w:szCs w:val="24"/>
                    </w:rPr>
                    <w:t>, kuri pateikiama</w:t>
                  </w:r>
                  <w:r>
                    <w:rPr>
                      <w:szCs w:val="24"/>
                      <w:lang w:eastAsia="lt-LT"/>
                    </w:rPr>
                    <w:t xml:space="preserve"> visuomenės sveikatos specialistui, vykdančiam sveikatos priežiūrą mokykloje.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595bc076f111e9b81587fcbd5a76f6">
                    <w:r w:rsidRPr="00532B9F">
                      <w:rPr>
                        <w:rFonts w:ascii="Times New Roman" w:eastAsia="MS Mincho" w:hAnsi="Times New Roman"/>
                        <w:sz w:val="20"/>
                        <w:i/>
                        <w:iCs/>
                        <w:color w:val="0000FF" w:themeColor="hyperlink"/>
                        <w:u w:val="single"/>
                      </w:rPr>
                      <w:t>V-566</w:t>
                    </w:r>
                  </w:fldSimple>
                  <w:r>
                    <w:rPr>
                      <w:rFonts w:ascii="Times New Roman" w:eastAsia="MS Mincho" w:hAnsi="Times New Roman"/>
                      <w:sz w:val="20"/>
                      <w:i/>
                      <w:iCs/>
                    </w:rPr>
                    <w:t>,
2019-05-14,
paskelbta TAR 2019-05-15, i. k. 2019-07703            </w:t>
                  </w:r>
                </w:p>
                <w:p/>
              </w:sdtContent>
            </w:sdt>
            <w:sdt>
              <w:sdtPr>
                <w:alias w:val="3 pr. 28 p."/>
                <w:tag w:val="part_7e98687be84a48ca85ac6bacae23fceb"/>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color w:val="000000"/>
                      <w:szCs w:val="24"/>
                    </w:rPr>
                  </w:pPr>
                  <w:sdt>
                    <w:sdtPr>
                      <w:alias w:val="Numeris"/>
                      <w:tag w:val="nr_7e98687be84a48ca85ac6bacae23fceb"/>
                      <w:lock w:val="sdtLocked"/>
                      <w:richText/>
                    </w:sdtPr>
                    <w:sdtContent>
                      <w:r>
                        <w:rPr>
                          <w:color w:val="000000"/>
                          <w:szCs w:val="24"/>
                          <w:lang w:eastAsia="lt-LT"/>
                        </w:rPr>
                        <w:t>28</w:t>
                      </w:r>
                    </w:sdtContent>
                  </w:sdt>
                  <w:r>
                    <w:rPr>
                      <w:color w:val="000000"/>
                      <w:szCs w:val="24"/>
                      <w:lang w:eastAsia="lt-LT"/>
                    </w:rPr>
                    <w:t>. Atlikus privalomą profilaktinį sveikatos tikrinimą</w:t>
                  </w:r>
                  <w:r>
                    <w:rPr>
                      <w:szCs w:val="24"/>
                      <w:lang w:eastAsia="lt-LT"/>
                    </w:rPr>
                    <w:t>,</w:t>
                  </w:r>
                  <w:r>
                    <w:rPr>
                      <w:color w:val="000000"/>
                      <w:szCs w:val="24"/>
                      <w:lang w:eastAsia="lt-LT"/>
                    </w:rPr>
                    <w:t xml:space="preserve"> p</w:t>
                  </w:r>
                  <w:r>
                    <w:rPr>
                      <w:szCs w:val="24"/>
                      <w:lang w:eastAsia="lt-LT"/>
                    </w:rPr>
                    <w:t xml:space="preserve">ilnamečiam mokiniui ar </w:t>
                  </w:r>
                  <w:r>
                    <w:rPr>
                      <w:color w:val="000000"/>
                      <w:szCs w:val="24"/>
                      <w:lang w:eastAsia="lt-LT"/>
                    </w:rPr>
                    <w:t xml:space="preserve">švietimo ar kitą ugdymo įstaigą lankančiam vaikui (jo tėvams arba kitiems atstovams pagal įstatymą) pageidaujant, ASPĮ nustatyta tvarka išduodama </w:t>
                  </w:r>
                  <w:r>
                    <w:rPr>
                      <w:szCs w:val="24"/>
                    </w:rPr>
                    <w:t>formos Nr. E027-1 kopija.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595bc076f111e9b81587fcbd5a76f6">
                    <w:r w:rsidRPr="00532B9F">
                      <w:rPr>
                        <w:rFonts w:ascii="Times New Roman" w:eastAsia="MS Mincho" w:hAnsi="Times New Roman"/>
                        <w:sz w:val="20"/>
                        <w:i/>
                        <w:iCs/>
                        <w:color w:val="0000FF" w:themeColor="hyperlink"/>
                        <w:u w:val="single"/>
                      </w:rPr>
                      <w:t>V-566</w:t>
                    </w:r>
                  </w:fldSimple>
                  <w:r>
                    <w:rPr>
                      <w:rFonts w:ascii="Times New Roman" w:eastAsia="MS Mincho" w:hAnsi="Times New Roman"/>
                      <w:sz w:val="20"/>
                      <w:i/>
                      <w:iCs/>
                    </w:rPr>
                    <w:t>,
2019-05-14,
paskelbta TAR 2019-05-15, i. k. 2019-07703            </w:t>
                  </w:r>
                </w:p>
                <w:p/>
              </w:sdtContent>
            </w:sdt>
            <w:sdt>
              <w:sdtPr>
                <w:alias w:val="3 pr. 29 p."/>
                <w:tag w:val="part_8555f97a3262479ba5fb4e463a613e5d"/>
                <w:lock w:val="sdtLocked"/>
                <w:richText/>
              </w:sdtPr>
              <w:sdtContent>
                <w:p>
                  <w:pPr>
                    <w:ind w:firstLine="851"/>
                    <w:jc w:val="both"/>
                    <w:rPr>
                      <w:color w:val="000000"/>
                      <w:szCs w:val="24"/>
                    </w:rPr>
                  </w:pPr>
                  <w:sdt>
                    <w:sdtPr>
                      <w:alias w:val="Numeris"/>
                      <w:tag w:val="nr_8555f97a3262479ba5fb4e463a613e5d"/>
                      <w:lock w:val="sdtLocked"/>
                      <w:richText/>
                    </w:sdtPr>
                    <w:sdtContent>
                      <w:r>
                        <w:rPr>
                          <w:szCs w:val="24"/>
                          <w:lang w:eastAsia="lt-LT"/>
                        </w:rPr>
                        <w:t>29</w:t>
                      </w:r>
                    </w:sdtContent>
                  </w:sdt>
                  <w:r>
                    <w:rPr>
                      <w:szCs w:val="24"/>
                      <w:lang w:eastAsia="lt-LT"/>
                    </w:rPr>
                    <w:t xml:space="preserve">. Atlikus privalomą profilaktinį sveikatos tikrinimą užpildyta forma Nr. </w:t>
                  </w:r>
                  <w:r>
                    <w:rPr>
                      <w:szCs w:val="24"/>
                    </w:rPr>
                    <w:t>E027-1 galioja 1 metus nuo užpildymo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595bc076f111e9b81587fcbd5a76f6">
                    <w:r w:rsidRPr="00532B9F">
                      <w:rPr>
                        <w:rFonts w:ascii="Times New Roman" w:eastAsia="MS Mincho" w:hAnsi="Times New Roman"/>
                        <w:sz w:val="20"/>
                        <w:i/>
                        <w:iCs/>
                        <w:color w:val="0000FF" w:themeColor="hyperlink"/>
                        <w:u w:val="single"/>
                      </w:rPr>
                      <w:t>V-566</w:t>
                    </w:r>
                  </w:fldSimple>
                  <w:r>
                    <w:rPr>
                      <w:rFonts w:ascii="Times New Roman" w:eastAsia="MS Mincho" w:hAnsi="Times New Roman"/>
                      <w:sz w:val="20"/>
                      <w:i/>
                      <w:iCs/>
                    </w:rPr>
                    <w:t>,
2019-05-14,
paskelbta TAR 2019-05-15, i. k. 2019-07703            </w:t>
                  </w:r>
                </w:p>
                <w:p/>
              </w:sdtContent>
            </w:sdt>
            <w:sdt>
              <w:sdtPr>
                <w:alias w:val="29-1 p."/>
                <w:tag w:val="part_0351775175ec4b8b867f6171dceea24d"/>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color w:val="000000"/>
                      <w:szCs w:val="24"/>
                      <w:lang w:eastAsia="lt-LT"/>
                    </w:rPr>
                  </w:pPr>
                  <w:sdt>
                    <w:sdtPr>
                      <w:alias w:val="Numeris"/>
                      <w:tag w:val="nr_0351775175ec4b8b867f6171dceea24d"/>
                      <w:lock w:val="sdtLocked"/>
                      <w:richText/>
                    </w:sdtPr>
                    <w:sdtContent>
                      <w:r>
                        <w:rPr>
                          <w:color w:val="000000"/>
                          <w:szCs w:val="24"/>
                          <w:lang w:eastAsia="lt-LT"/>
                        </w:rPr>
                        <w:t>29</w:t>
                      </w:r>
                      <w:r>
                        <w:rPr>
                          <w:color w:val="000000"/>
                          <w:szCs w:val="24"/>
                          <w:vertAlign w:val="superscript"/>
                          <w:lang w:eastAsia="lt-LT"/>
                        </w:rPr>
                        <w:t>1</w:t>
                      </w:r>
                    </w:sdtContent>
                  </w:sdt>
                  <w:r>
                    <w:rPr>
                      <w:color w:val="000000"/>
                      <w:szCs w:val="24"/>
                      <w:lang w:eastAsia="lt-LT"/>
                    </w:rPr>
                    <w:t xml:space="preserve">. Jei </w:t>
                  </w:r>
                  <w:r>
                    <w:rPr>
                      <w:szCs w:val="24"/>
                    </w:rPr>
                    <w:t xml:space="preserve">Lietuvos Respublikos Vyriausybei paskelbus valstybės lygio ekstremaliąją situaciją ir (ar) karantiną visos Lietuvos Respublikos mastu </w:t>
                  </w:r>
                  <w:r>
                    <w:rPr>
                      <w:color w:val="000000"/>
                      <w:szCs w:val="24"/>
                      <w:lang w:eastAsia="lt-LT"/>
                    </w:rPr>
                    <w:t>sustabdomas arba apribojamas vaikų profilaktinio patikrinimo paslaugų teikimas, iki karantino ir (ar) ekstremaliosios situacijos paskelbimo dienos paskutinė išduota forma Nr. E027-1 laikoma galiojančia iki einamųjų metų pabaigos toliau nurodytas sąlygas atitinkantiems pilnamečiams mokiniams ir vaikams, lankantiems švietimo ar kitą ugdymo įstaigą:</w:t>
                  </w:r>
                </w:p>
                <w:sdt>
                  <w:sdtPr>
                    <w:alias w:val="29-1.1 pp."/>
                    <w:tag w:val="part_0ba28f4b4291473a96ab136c685fb4ae"/>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color w:val="000000"/>
                          <w:szCs w:val="24"/>
                          <w:lang w:eastAsia="lt-LT"/>
                        </w:rPr>
                      </w:pPr>
                      <w:sdt>
                        <w:sdtPr>
                          <w:alias w:val="Numeris"/>
                          <w:tag w:val="nr_0ba28f4b4291473a96ab136c685fb4ae"/>
                          <w:lock w:val="sdtLocked"/>
                          <w:richText/>
                        </w:sdtPr>
                        <w:sdtContent>
                          <w:r>
                            <w:rPr>
                              <w:color w:val="000000"/>
                              <w:szCs w:val="24"/>
                              <w:lang w:eastAsia="lt-LT"/>
                            </w:rPr>
                            <w:t>29</w:t>
                          </w:r>
                          <w:r>
                            <w:rPr>
                              <w:color w:val="000000"/>
                              <w:szCs w:val="24"/>
                              <w:vertAlign w:val="superscript"/>
                              <w:lang w:eastAsia="lt-LT"/>
                            </w:rPr>
                            <w:t>1</w:t>
                          </w:r>
                          <w:r>
                            <w:rPr>
                              <w:color w:val="000000"/>
                              <w:szCs w:val="24"/>
                              <w:lang w:eastAsia="lt-LT"/>
                            </w:rPr>
                            <w:t>.1</w:t>
                          </w:r>
                        </w:sdtContent>
                      </w:sdt>
                      <w:r>
                        <w:rPr>
                          <w:color w:val="000000"/>
                          <w:szCs w:val="24"/>
                          <w:lang w:eastAsia="lt-LT"/>
                        </w:rPr>
                        <w:t>.</w:t>
                      </w:r>
                      <w:r>
                        <w:rPr>
                          <w:color w:val="000000"/>
                          <w:szCs w:val="24"/>
                          <w:vertAlign w:val="superscript"/>
                          <w:lang w:eastAsia="lt-LT"/>
                        </w:rPr>
                        <w:t xml:space="preserve"> </w:t>
                      </w:r>
                      <w:r>
                        <w:rPr>
                          <w:color w:val="000000"/>
                          <w:szCs w:val="24"/>
                          <w:lang w:eastAsia="lt-LT"/>
                        </w:rPr>
                        <w:t>kurių ugdymas naujais mokslo metais bus tęsiamas toje pačioje švietimo įstaigoje arba toje pačioje ugdymo įstaigoje;</w:t>
                      </w:r>
                    </w:p>
                  </w:sdtContent>
                </w:sdt>
                <w:sdt>
                  <w:sdtPr>
                    <w:alias w:val="29-1.2 pp."/>
                    <w:tag w:val="part_e1965469061a46bfa9f804aac3de40fe"/>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color w:val="000000"/>
                          <w:szCs w:val="24"/>
                        </w:rPr>
                      </w:pPr>
                      <w:sdt>
                        <w:sdtPr>
                          <w:alias w:val="Numeris"/>
                          <w:tag w:val="nr_e1965469061a46bfa9f804aac3de40fe"/>
                          <w:lock w:val="sdtLocked"/>
                          <w:richText/>
                        </w:sdtPr>
                        <w:sdtContent>
                          <w:r>
                            <w:rPr>
                              <w:color w:val="000000"/>
                              <w:szCs w:val="24"/>
                              <w:lang w:eastAsia="lt-LT"/>
                            </w:rPr>
                            <w:t>29</w:t>
                          </w:r>
                          <w:r>
                            <w:rPr>
                              <w:color w:val="000000"/>
                              <w:szCs w:val="24"/>
                              <w:vertAlign w:val="superscript"/>
                              <w:lang w:eastAsia="lt-LT"/>
                            </w:rPr>
                            <w:t>1</w:t>
                          </w:r>
                          <w:r>
                            <w:rPr>
                              <w:color w:val="000000"/>
                              <w:szCs w:val="24"/>
                              <w:lang w:eastAsia="lt-LT"/>
                            </w:rPr>
                            <w:t>.2</w:t>
                          </w:r>
                        </w:sdtContent>
                      </w:sdt>
                      <w:r>
                        <w:rPr>
                          <w:color w:val="000000"/>
                          <w:szCs w:val="24"/>
                          <w:lang w:eastAsia="lt-LT"/>
                        </w:rPr>
                        <w:t>. kurių sveikatos būklė nuo paskutinio privalomo profilaktinio sveikatos tikrinimo nepasikeitė taip, kad reikėtų keisti jų fizinio ugdymo grupę, arba neatsirado naujų bendrų arba specialių rekomendacijų, kurių turi būti laikomasi jiems dalyvaujant ugdymo veikloje.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fc9970c0f011ea9815f635b9c0dcef">
                    <w:r w:rsidRPr="00532B9F">
                      <w:rPr>
                        <w:rFonts w:ascii="Times New Roman" w:eastAsia="MS Mincho" w:hAnsi="Times New Roman"/>
                        <w:sz w:val="20"/>
                        <w:i/>
                        <w:iCs/>
                        <w:color w:val="0000FF" w:themeColor="hyperlink"/>
                        <w:u w:val="single"/>
                      </w:rPr>
                      <w:t>V-1615</w:t>
                    </w:r>
                  </w:fldSimple>
                  <w:r>
                    <w:rPr>
                      <w:rFonts w:ascii="Times New Roman" w:eastAsia="MS Mincho" w:hAnsi="Times New Roman"/>
                      <w:sz w:val="20"/>
                      <w:i/>
                      <w:iCs/>
                    </w:rPr>
                    <w:t>,
2020-07-07,
paskelbta TAR 2020-07-08, i. k. 2020-15197        </w:t>
                  </w:r>
                </w:p>
                <w:p/>
              </w:sdtContent>
            </w:sdt>
            <w:sdt>
              <w:sdtPr>
                <w:alias w:val="3 pr. 30 p."/>
                <w:tag w:val="part_fbfc8fe1fcff4eda8a8b2a87b2d3d1e5"/>
                <w:lock w:val="sdtLocked"/>
                <w:richText/>
              </w:sdtPr>
              <w:sdtContent>
                <w:p>
                  <w:pPr>
                    <w:tabs>
                      <w:tab w:val="left" w:pos="851"/>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color w:val="000000"/>
                      <w:szCs w:val="24"/>
                      <w:lang w:eastAsia="lt-LT"/>
                    </w:rPr>
                  </w:pPr>
                  <w:sdt>
                    <w:sdtPr>
                      <w:alias w:val="Numeris"/>
                      <w:tag w:val="nr_fbfc8fe1fcff4eda8a8b2a87b2d3d1e5"/>
                      <w:lock w:val="sdtLocked"/>
                      <w:richText/>
                    </w:sdtPr>
                    <w:sdtContent>
                      <w:r>
                        <w:rPr>
                          <w:color w:val="000000"/>
                          <w:szCs w:val="24"/>
                          <w:lang w:eastAsia="lt-LT"/>
                        </w:rPr>
                        <w:t>30</w:t>
                      </w:r>
                    </w:sdtContent>
                  </w:sdt>
                  <w:r>
                    <w:rPr>
                      <w:color w:val="000000"/>
                      <w:szCs w:val="24"/>
                      <w:lang w:eastAsia="lt-LT"/>
                    </w:rPr>
                    <w:t>. Sudėtingais atvejais (kai dėl medicininių priežasčių reikia priimti individualius sprendimus) išvadą ar rekomendacijas dėl tinkamumo dėl medicininių priežasčių lankyti švietimo ar kitą įstaigą pateikia ASPĮ gydytojų konsultacinė komisija.</w:t>
                  </w:r>
                </w:p>
                <w:p>
                  <w:pPr>
                    <w:ind w:firstLine="851"/>
                    <w:jc w:val="both"/>
                    <w:rPr>
                      <w:color w:val="000000"/>
                      <w:szCs w:val="24"/>
                    </w:rPr>
                  </w:pPr>
                </w:p>
                <w:p>
                  <w:pPr>
                    <w:snapToGrid w:val="0"/>
                    <w:ind w:left="851"/>
                    <w:jc w:val="center"/>
                  </w:pPr>
                  <w:r>
                    <w:rPr>
                      <w:color w:val="000000"/>
                      <w:szCs w:val="24"/>
                    </w:rPr>
                    <w:t>______________</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E4955D5C12C">
            <w:r w:rsidRPr="00532B9F">
              <w:rPr>
                <w:rFonts w:ascii="Times New Roman" w:eastAsia="MS Mincho" w:hAnsi="Times New Roman"/>
                <w:sz w:val="20"/>
                <w:i/>
                <w:iCs/>
                <w:color w:val="0000FF" w:themeColor="hyperlink"/>
                <w:u w:val="single"/>
              </w:rPr>
              <w:t>V-79</w:t>
            </w:r>
          </w:fldSimple>
          <w:r>
            <w:rPr>
              <w:rFonts w:ascii="Times New Roman" w:eastAsia="MS Mincho" w:hAnsi="Times New Roman"/>
              <w:sz w:val="20"/>
              <w:i/>
              <w:iCs/>
            </w:rPr>
            <w:t>,
2004-02-20,
Žin., 2004, Nr.
32-1030 (2004-02-28), i. k. 1042250ISAK0000V-79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BACCBFCF39B">
            <w:r w:rsidRPr="00532B9F">
              <w:rPr>
                <w:rFonts w:ascii="Times New Roman" w:eastAsia="MS Mincho" w:hAnsi="Times New Roman"/>
                <w:sz w:val="20"/>
                <w:i/>
                <w:iCs/>
                <w:color w:val="0000FF" w:themeColor="hyperlink"/>
                <w:u w:val="single"/>
              </w:rPr>
              <w:t>V-586</w:t>
            </w:r>
          </w:fldSimple>
          <w:r>
            <w:rPr>
              <w:rFonts w:ascii="Times New Roman" w:eastAsia="MS Mincho" w:hAnsi="Times New Roman"/>
              <w:sz w:val="20"/>
              <w:i/>
              <w:iCs/>
            </w:rPr>
            <w:t>,
2010-06-18,
Žin., 2010, Nr.
74-3769 (2010-06-26), i. k. 1102250ISAK000V-586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d17f70d3c111e4bcd1a882e9a189f1">
            <w:r w:rsidRPr="00532B9F">
              <w:rPr>
                <w:rFonts w:ascii="Times New Roman" w:eastAsia="MS Mincho" w:hAnsi="Times New Roman"/>
                <w:sz w:val="20"/>
                <w:i/>
                <w:iCs/>
                <w:color w:val="0000FF" w:themeColor="hyperlink"/>
                <w:u w:val="single"/>
              </w:rPr>
              <w:t>V-383</w:t>
            </w:r>
          </w:fldSimple>
          <w:r>
            <w:rPr>
              <w:rFonts w:ascii="Times New Roman" w:eastAsia="MS Mincho" w:hAnsi="Times New Roman"/>
              <w:sz w:val="20"/>
              <w:i/>
              <w:iCs/>
            </w:rPr>
            <w:t>,
2015-03-23,
paskelbta TAR 2015-03-26, i. k. 2015-04324            </w:t>
          </w:r>
        </w:p>
        <w:p/>
      </w:sdtContent>
    </w:sdt>
    <w:sdt>
      <w:sdtPr>
        <w:alias w:val="1 pr."/>
        <w:tag w:val="part_27eccb910eff4be889ea0897587a0989"/>
        <w:lock w:val="sdtLocked"/>
        <w:richText/>
      </w:sdtPr>
      <w:sdtContent>
        <w:p>
          <w:pPr>
            <w:suppressAutoHyphens/>
            <w:jc w:val="both"/>
            <w:textAlignment w:val="center"/>
            <w:rPr>
              <w:color w:val="000000"/>
              <w:szCs w:val="24"/>
            </w:rPr>
          </w:pPr>
        </w:p>
        <w:p>
          <w:pPr>
            <w:suppressAutoHyphens/>
            <w:jc w:val="both"/>
            <w:textAlignment w:val="center"/>
            <w:rPr>
              <w:color w:val="000000"/>
              <w:sz w:val="20"/>
            </w:rPr>
            <w:sectPr>
              <w:pgSz w:w="11906" w:h="16838" w:code="9"/>
              <w:pgMar w:top="1134" w:right="567" w:bottom="1134" w:left="1701" w:header="1134" w:footer="1134" w:gutter="0"/>
              <w:pgNumType w:start="1"/>
              <w:cols w:space="720"/>
              <w:titlePg/>
            </w:sectPr>
          </w:pPr>
        </w:p>
        <w:p>
          <w:pPr>
            <w:tabs>
              <w:tab w:val="left" w:pos="5812"/>
            </w:tabs>
            <w:ind w:left="7655"/>
            <w:rPr>
              <w:bCs/>
              <w:szCs w:val="24"/>
            </w:rPr>
          </w:pPr>
          <w:r>
            <w:rPr>
              <w:szCs w:val="24"/>
            </w:rPr>
            <w:t xml:space="preserve">Vaikų </w:t>
          </w:r>
          <w:r>
            <w:rPr>
              <w:bCs/>
              <w:szCs w:val="24"/>
            </w:rPr>
            <w:t xml:space="preserve">ir pilnamečių mokinių, ugdomų </w:t>
          </w:r>
        </w:p>
        <w:p>
          <w:pPr>
            <w:tabs>
              <w:tab w:val="left" w:pos="5812"/>
            </w:tabs>
            <w:ind w:left="7655"/>
            <w:rPr>
              <w:szCs w:val="24"/>
            </w:rPr>
          </w:pPr>
          <w:r>
            <w:rPr>
              <w:bCs/>
              <w:szCs w:val="24"/>
            </w:rPr>
            <w:t>pagal bendrojo ugdymo programas,</w:t>
          </w:r>
          <w:r>
            <w:rPr>
              <w:szCs w:val="24"/>
            </w:rPr>
            <w:t xml:space="preserve"> </w:t>
          </w:r>
        </w:p>
        <w:p>
          <w:pPr>
            <w:tabs>
              <w:tab w:val="left" w:pos="5812"/>
            </w:tabs>
            <w:ind w:left="7655"/>
            <w:rPr>
              <w:szCs w:val="24"/>
            </w:rPr>
          </w:pPr>
          <w:r>
            <w:rPr>
              <w:szCs w:val="24"/>
            </w:rPr>
            <w:t>tikrinimo tvarkos aprašo</w:t>
          </w:r>
        </w:p>
        <w:p>
          <w:pPr>
            <w:tabs>
              <w:tab w:val="left" w:pos="11057"/>
            </w:tabs>
            <w:ind w:left="7655" w:right="-195"/>
            <w:rPr>
              <w:color w:val="000000"/>
              <w:szCs w:val="24"/>
            </w:rPr>
          </w:pPr>
          <w:r>
            <w:rPr>
              <w:color w:val="000000"/>
              <w:szCs w:val="24"/>
            </w:rPr>
            <w:t xml:space="preserve">1 priedas </w:t>
          </w:r>
        </w:p>
        <w:p>
          <w:pPr>
            <w:ind w:left="10065"/>
            <w:rPr>
              <w:color w:val="000000"/>
              <w:szCs w:val="24"/>
            </w:rPr>
          </w:pPr>
        </w:p>
        <w:p>
          <w:pPr>
            <w:ind w:left="10065"/>
            <w:rPr>
              <w:color w:val="000000"/>
              <w:szCs w:val="24"/>
            </w:rPr>
          </w:pPr>
        </w:p>
        <w:sdt>
          <w:sdtPr>
            <w:alias w:val="Pavadinimas"/>
            <w:tag w:val="title_27eccb910eff4be889ea0897587a0989"/>
            <w:lock w:val="sdtLocked"/>
            <w:richText/>
          </w:sdtPr>
          <w:sdtContent>
            <w:p>
              <w:pPr>
                <w:tabs>
                  <w:tab w:val="left" w:pos="945"/>
                  <w:tab w:val="center" w:pos="6979"/>
                </w:tabs>
                <w:jc w:val="center"/>
                <w:rPr>
                  <w:b/>
                  <w:color w:val="000000"/>
                  <w:szCs w:val="24"/>
                </w:rPr>
              </w:pPr>
              <w:r>
                <w:rPr>
                  <w:b/>
                  <w:szCs w:val="24"/>
                </w:rPr>
                <w:t xml:space="preserve">PROFILAKTINIO VAIKŲ IR PILNAMEČIŲ MOKINIŲ SVEIKATOS TIKRINIMO </w:t>
              </w:r>
              <w:r>
                <w:rPr>
                  <w:b/>
                  <w:color w:val="000000"/>
                  <w:szCs w:val="24"/>
                </w:rPr>
                <w:t>REIKALAVIMAI</w:t>
              </w:r>
            </w:p>
          </w:sdtContent>
        </w:sdt>
        <w:p>
          <w:pPr>
            <w:tabs>
              <w:tab w:val="left" w:pos="945"/>
              <w:tab w:val="center" w:pos="6979"/>
            </w:tabs>
            <w:rPr>
              <w:b/>
              <w:caps/>
              <w:color w:val="000000"/>
              <w:szCs w:val="24"/>
            </w:rPr>
          </w:pPr>
        </w:p>
        <w:tbl>
          <w:tblPr>
            <w:tblW w:w="15310" w:type="dxa"/>
            <w:tblInd w:w="1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56" w:type="dxa"/>
              <w:right w:w="56" w:type="dxa"/>
            </w:tblCellMar>
            <w:tblLook w:val="0000" w:firstRow="0" w:lastRow="0" w:firstColumn="0" w:lastColumn="0" w:noHBand="0" w:noVBand="0"/>
          </w:tblPr>
          <w:tblGrid>
            <w:gridCol w:w="568"/>
            <w:gridCol w:w="1276"/>
            <w:gridCol w:w="1701"/>
            <w:gridCol w:w="2268"/>
            <w:gridCol w:w="4536"/>
            <w:gridCol w:w="1701"/>
            <w:gridCol w:w="1559"/>
            <w:gridCol w:w="1701"/>
          </w:tblGrid>
          <w:tr>
            <w:trPr>
              <w:trHeight w:val="20"/>
            </w:trPr>
            <w:tc>
              <w:tcPr>
                <w:tcW w:w="568" w:type="dxa"/>
                <w:vMerge w:val="restart"/>
                <w:vAlign w:val="center"/>
              </w:tcPr>
              <w:p>
                <w:pPr>
                  <w:widowControl w:val="0"/>
                  <w:jc w:val="center"/>
                  <w:outlineLvl w:val="2"/>
                  <w:rPr>
                    <w:caps/>
                    <w:color w:val="000000"/>
                    <w:szCs w:val="24"/>
                    <w:lang w:val="en-GB"/>
                  </w:rPr>
                </w:pPr>
                <w:r>
                  <w:rPr>
                    <w:caps/>
                    <w:color w:val="000000"/>
                    <w:szCs w:val="24"/>
                  </w:rPr>
                  <w:t>Eil. Nr.</w:t>
                </w:r>
              </w:p>
            </w:tc>
            <w:tc>
              <w:tcPr>
                <w:tcW w:w="1276" w:type="dxa"/>
                <w:vMerge w:val="restart"/>
                <w:shd w:val="clear" w:color="auto" w:fill="auto"/>
                <w:vAlign w:val="center"/>
              </w:tcPr>
              <w:p>
                <w:pPr>
                  <w:widowControl w:val="0"/>
                  <w:jc w:val="center"/>
                  <w:outlineLvl w:val="2"/>
                  <w:rPr>
                    <w:caps/>
                    <w:color w:val="000000"/>
                    <w:szCs w:val="24"/>
                    <w:lang w:val="en-GB"/>
                  </w:rPr>
                </w:pPr>
                <w:r>
                  <w:rPr>
                    <w:caps/>
                    <w:color w:val="000000"/>
                    <w:szCs w:val="24"/>
                  </w:rPr>
                  <w:t>Amžius</w:t>
                </w:r>
              </w:p>
            </w:tc>
            <w:tc>
              <w:tcPr>
                <w:tcW w:w="8505" w:type="dxa"/>
                <w:gridSpan w:val="3"/>
                <w:vAlign w:val="center"/>
              </w:tcPr>
              <w:p>
                <w:pPr>
                  <w:rPr>
                    <w:sz w:val="42"/>
                    <w:szCs w:val="42"/>
                  </w:rPr>
                </w:pPr>
              </w:p>
              <w:p>
                <w:pPr>
                  <w:keepLines/>
                  <w:widowControl w:val="0"/>
                  <w:rPr>
                    <w:b/>
                    <w:bCs/>
                    <w:color w:val="000000"/>
                    <w:sz w:val="28"/>
                    <w:szCs w:val="24"/>
                  </w:rPr>
                </w:pPr>
                <w:r>
                  <w:rPr>
                    <w:b/>
                    <w:bCs/>
                    <w:color w:val="000000"/>
                    <w:sz w:val="28"/>
                    <w:szCs w:val="24"/>
                  </w:rPr>
                  <w:t xml:space="preserve">Sveikatos priežiūra </w:t>
                </w:r>
              </w:p>
            </w:tc>
            <w:tc>
              <w:tcPr>
                <w:tcW w:w="4961" w:type="dxa"/>
                <w:gridSpan w:val="3"/>
                <w:tcBorders>
                  <w:right w:val="single" w:sz="4" w:space="0" w:color="auto"/>
                </w:tcBorders>
                <w:vAlign w:val="center"/>
              </w:tcPr>
              <w:p>
                <w:pPr>
                  <w:jc w:val="center"/>
                  <w:rPr>
                    <w:b/>
                    <w:color w:val="000000"/>
                    <w:szCs w:val="24"/>
                  </w:rPr>
                </w:pPr>
                <w:r>
                  <w:rPr>
                    <w:b/>
                    <w:color w:val="000000"/>
                    <w:szCs w:val="24"/>
                  </w:rPr>
                  <w:t>Profilaktinis sveikatos tikrinimas</w:t>
                </w:r>
              </w:p>
            </w:tc>
          </w:tr>
          <w:tr>
            <w:trPr>
              <w:trHeight w:val="20"/>
            </w:trPr>
            <w:tc>
              <w:tcPr>
                <w:tcW w:w="568" w:type="dxa"/>
                <w:vMerge/>
                <w:vAlign w:val="center"/>
              </w:tcPr>
              <w:p>
                <w:pPr>
                  <w:widowControl w:val="0"/>
                  <w:jc w:val="center"/>
                  <w:outlineLvl w:val="2"/>
                  <w:rPr>
                    <w:b/>
                    <w:caps/>
                    <w:color w:val="000000"/>
                    <w:szCs w:val="24"/>
                    <w:lang w:val="en-GB"/>
                  </w:rPr>
                </w:pPr>
              </w:p>
            </w:tc>
            <w:tc>
              <w:tcPr>
                <w:tcW w:w="1276" w:type="dxa"/>
                <w:vMerge/>
                <w:shd w:val="clear" w:color="auto" w:fill="auto"/>
                <w:vAlign w:val="center"/>
              </w:tcPr>
              <w:p>
                <w:pPr>
                  <w:keepNext/>
                  <w:widowControl w:val="0"/>
                  <w:pBdr>
                    <w:bottom w:val="single" w:sz="6" w:space="1" w:color="auto"/>
                  </w:pBdr>
                  <w:jc w:val="center"/>
                  <w:outlineLvl w:val="2"/>
                  <w:rPr>
                    <w:b/>
                    <w:caps/>
                    <w:color w:val="000000"/>
                    <w:szCs w:val="24"/>
                    <w:lang w:val="en-GB"/>
                  </w:rPr>
                </w:pPr>
              </w:p>
            </w:tc>
            <w:tc>
              <w:tcPr>
                <w:tcW w:w="1701" w:type="dxa"/>
                <w:vAlign w:val="center"/>
              </w:tcPr>
              <w:p>
                <w:pPr>
                  <w:widowControl w:val="0"/>
                  <w:tabs>
                    <w:tab w:val="left" w:pos="1170"/>
                  </w:tabs>
                  <w:jc w:val="center"/>
                  <w:outlineLvl w:val="2"/>
                  <w:rPr>
                    <w:b/>
                    <w:caps/>
                    <w:color w:val="000000"/>
                    <w:szCs w:val="24"/>
                    <w:lang w:val="en-GB"/>
                  </w:rPr>
                </w:pPr>
                <w:r>
                  <w:rPr>
                    <w:caps/>
                    <w:color w:val="000000"/>
                    <w:szCs w:val="24"/>
                  </w:rPr>
                  <w:t>Periodiškumas</w:t>
                </w:r>
              </w:p>
            </w:tc>
            <w:tc>
              <w:tcPr>
                <w:tcW w:w="2268" w:type="dxa"/>
                <w:vAlign w:val="center"/>
              </w:tcPr>
              <w:p>
                <w:pPr>
                  <w:rPr>
                    <w:sz w:val="18"/>
                    <w:szCs w:val="18"/>
                  </w:rPr>
                </w:pPr>
              </w:p>
              <w:p>
                <w:pPr>
                  <w:keepNext/>
                  <w:keepLines/>
                  <w:outlineLvl w:val="5"/>
                  <w:rPr>
                    <w:i/>
                    <w:iCs/>
                    <w:color w:val="000000"/>
                    <w:szCs w:val="24"/>
                  </w:rPr>
                </w:pPr>
                <w:r>
                  <w:rPr>
                    <w:i/>
                    <w:iCs/>
                    <w:color w:val="000000"/>
                    <w:szCs w:val="24"/>
                  </w:rPr>
                  <w:t>Specialistai</w:t>
                </w:r>
              </w:p>
              <w:p>
                <w:pPr>
                  <w:rPr>
                    <w:color w:val="000000"/>
                    <w:szCs w:val="24"/>
                  </w:rPr>
                </w:pPr>
              </w:p>
            </w:tc>
            <w:tc>
              <w:tcPr>
                <w:tcW w:w="4536" w:type="dxa"/>
                <w:vAlign w:val="center"/>
              </w:tcPr>
              <w:p>
                <w:pPr>
                  <w:rPr>
                    <w:sz w:val="18"/>
                    <w:szCs w:val="18"/>
                  </w:rPr>
                </w:pPr>
              </w:p>
              <w:p>
                <w:pPr>
                  <w:keepNext/>
                  <w:keepLines/>
                  <w:outlineLvl w:val="5"/>
                  <w:rPr>
                    <w:i/>
                    <w:iCs/>
                    <w:color w:val="000000"/>
                    <w:szCs w:val="24"/>
                  </w:rPr>
                </w:pPr>
                <w:r>
                  <w:rPr>
                    <w:i/>
                    <w:iCs/>
                    <w:color w:val="000000"/>
                    <w:szCs w:val="24"/>
                  </w:rPr>
                  <w:t>Privalomieji veiksmai ir būtini tyrimai</w:t>
                </w:r>
              </w:p>
              <w:p>
                <w:pPr>
                  <w:rPr>
                    <w:color w:val="000000"/>
                    <w:szCs w:val="24"/>
                  </w:rPr>
                </w:pPr>
              </w:p>
            </w:tc>
            <w:tc>
              <w:tcPr>
                <w:tcW w:w="1701" w:type="dxa"/>
                <w:vAlign w:val="center"/>
              </w:tcPr>
              <w:p>
                <w:pPr>
                  <w:widowControl w:val="0"/>
                  <w:ind w:left="-56"/>
                  <w:jc w:val="center"/>
                  <w:outlineLvl w:val="2"/>
                  <w:rPr>
                    <w:caps/>
                    <w:color w:val="000000"/>
                    <w:szCs w:val="24"/>
                    <w:lang w:val="en-GB"/>
                  </w:rPr>
                </w:pPr>
                <w:r>
                  <w:rPr>
                    <w:caps/>
                    <w:color w:val="000000"/>
                    <w:szCs w:val="24"/>
                  </w:rPr>
                  <w:t>Periodiškumas</w:t>
                </w:r>
              </w:p>
            </w:tc>
            <w:tc>
              <w:tcPr>
                <w:tcW w:w="1559" w:type="dxa"/>
                <w:vAlign w:val="center"/>
              </w:tcPr>
              <w:p>
                <w:pPr>
                  <w:rPr>
                    <w:sz w:val="18"/>
                    <w:szCs w:val="18"/>
                  </w:rPr>
                </w:pPr>
              </w:p>
              <w:p>
                <w:pPr>
                  <w:keepNext/>
                  <w:keepLines/>
                  <w:outlineLvl w:val="5"/>
                  <w:rPr>
                    <w:i/>
                    <w:iCs/>
                    <w:color w:val="000000"/>
                    <w:szCs w:val="24"/>
                  </w:rPr>
                </w:pPr>
                <w:r>
                  <w:rPr>
                    <w:i/>
                    <w:iCs/>
                    <w:color w:val="000000"/>
                    <w:szCs w:val="24"/>
                  </w:rPr>
                  <w:t>Specialistai</w:t>
                </w:r>
              </w:p>
              <w:p>
                <w:pPr>
                  <w:rPr>
                    <w:color w:val="000000"/>
                    <w:szCs w:val="24"/>
                  </w:rPr>
                </w:pPr>
              </w:p>
            </w:tc>
            <w:tc>
              <w:tcPr>
                <w:tcW w:w="1701" w:type="dxa"/>
                <w:vAlign w:val="center"/>
              </w:tcPr>
              <w:p>
                <w:pPr>
                  <w:jc w:val="center"/>
                  <w:rPr>
                    <w:color w:val="000000"/>
                    <w:szCs w:val="24"/>
                  </w:rPr>
                </w:pPr>
                <w:r>
                  <w:rPr>
                    <w:b/>
                    <w:color w:val="000000"/>
                    <w:szCs w:val="24"/>
                  </w:rPr>
                  <w:t>Privalomieji veiksmai</w:t>
                </w:r>
              </w:p>
            </w:tc>
          </w:tr>
          <w:tr>
            <w:trPr>
              <w:trHeight w:val="20"/>
            </w:trPr>
            <w:tc>
              <w:tcPr>
                <w:tcW w:w="568" w:type="dxa"/>
              </w:tcPr>
              <w:p>
                <w:pPr>
                  <w:widowControl w:val="0"/>
                  <w:jc w:val="center"/>
                  <w:outlineLvl w:val="2"/>
                  <w:rPr>
                    <w:b/>
                    <w:caps/>
                    <w:color w:val="000000"/>
                    <w:szCs w:val="24"/>
                    <w:lang w:val="en-GB"/>
                  </w:rPr>
                </w:pPr>
                <w:r>
                  <w:rPr>
                    <w:caps/>
                    <w:color w:val="000000"/>
                    <w:szCs w:val="24"/>
                  </w:rPr>
                  <w:t>1</w:t>
                </w:r>
              </w:p>
            </w:tc>
            <w:tc>
              <w:tcPr>
                <w:tcW w:w="1276" w:type="dxa"/>
              </w:tcPr>
              <w:p>
                <w:pPr>
                  <w:widowControl w:val="0"/>
                  <w:jc w:val="center"/>
                  <w:outlineLvl w:val="2"/>
                  <w:rPr>
                    <w:b/>
                    <w:caps/>
                    <w:color w:val="000000"/>
                    <w:szCs w:val="24"/>
                    <w:lang w:val="en-GB"/>
                  </w:rPr>
                </w:pPr>
                <w:r>
                  <w:rPr>
                    <w:caps/>
                    <w:color w:val="000000"/>
                    <w:szCs w:val="24"/>
                  </w:rPr>
                  <w:t>2</w:t>
                </w:r>
              </w:p>
            </w:tc>
            <w:tc>
              <w:tcPr>
                <w:tcW w:w="1701" w:type="dxa"/>
              </w:tcPr>
              <w:p>
                <w:pPr>
                  <w:jc w:val="center"/>
                  <w:rPr>
                    <w:color w:val="000000"/>
                    <w:szCs w:val="24"/>
                  </w:rPr>
                </w:pPr>
                <w:r>
                  <w:rPr>
                    <w:color w:val="000000"/>
                    <w:szCs w:val="24"/>
                  </w:rPr>
                  <w:t>3</w:t>
                </w:r>
              </w:p>
            </w:tc>
            <w:tc>
              <w:tcPr>
                <w:tcW w:w="2268" w:type="dxa"/>
              </w:tcPr>
              <w:p>
                <w:pPr>
                  <w:widowControl w:val="0"/>
                  <w:jc w:val="center"/>
                  <w:rPr>
                    <w:color w:val="000000"/>
                    <w:szCs w:val="24"/>
                  </w:rPr>
                </w:pPr>
                <w:r>
                  <w:rPr>
                    <w:color w:val="000000"/>
                    <w:szCs w:val="24"/>
                  </w:rPr>
                  <w:t>4</w:t>
                </w:r>
              </w:p>
            </w:tc>
            <w:tc>
              <w:tcPr>
                <w:tcW w:w="4536" w:type="dxa"/>
                <w:tcBorders>
                  <w:bottom w:val="single" w:sz="4" w:space="0" w:color="auto"/>
                </w:tcBorders>
              </w:tcPr>
              <w:p>
                <w:pPr>
                  <w:jc w:val="center"/>
                  <w:rPr>
                    <w:b/>
                    <w:i/>
                    <w:color w:val="000000"/>
                    <w:szCs w:val="24"/>
                  </w:rPr>
                </w:pPr>
                <w:r>
                  <w:rPr>
                    <w:color w:val="000000"/>
                    <w:szCs w:val="24"/>
                  </w:rPr>
                  <w:t>5</w:t>
                </w:r>
              </w:p>
            </w:tc>
            <w:tc>
              <w:tcPr>
                <w:tcW w:w="1701" w:type="dxa"/>
              </w:tcPr>
              <w:p>
                <w:pPr>
                  <w:widowControl w:val="0"/>
                  <w:jc w:val="center"/>
                  <w:rPr>
                    <w:color w:val="000000"/>
                    <w:szCs w:val="24"/>
                  </w:rPr>
                </w:pPr>
                <w:r>
                  <w:rPr>
                    <w:color w:val="000000"/>
                    <w:szCs w:val="24"/>
                  </w:rPr>
                  <w:t>6</w:t>
                </w:r>
              </w:p>
            </w:tc>
            <w:tc>
              <w:tcPr>
                <w:tcW w:w="1559" w:type="dxa"/>
              </w:tcPr>
              <w:p>
                <w:pPr>
                  <w:widowControl w:val="0"/>
                  <w:jc w:val="center"/>
                  <w:rPr>
                    <w:color w:val="000000"/>
                    <w:szCs w:val="24"/>
                  </w:rPr>
                </w:pPr>
                <w:r>
                  <w:rPr>
                    <w:color w:val="000000"/>
                    <w:szCs w:val="24"/>
                  </w:rPr>
                  <w:t>7</w:t>
                </w:r>
              </w:p>
            </w:tc>
            <w:tc>
              <w:tcPr>
                <w:tcW w:w="1701" w:type="dxa"/>
              </w:tcPr>
              <w:p>
                <w:pPr>
                  <w:widowControl w:val="0"/>
                  <w:jc w:val="center"/>
                  <w:rPr>
                    <w:color w:val="000000"/>
                    <w:szCs w:val="24"/>
                  </w:rPr>
                </w:pPr>
                <w:r>
                  <w:rPr>
                    <w:color w:val="000000"/>
                    <w:szCs w:val="24"/>
                  </w:rPr>
                  <w:t>8</w:t>
                </w:r>
              </w:p>
            </w:tc>
          </w:tr>
          <w:tr>
            <w:trPr>
              <w:trHeight w:val="20"/>
            </w:trPr>
            <w:tc>
              <w:tcPr>
                <w:tcW w:w="568" w:type="dxa"/>
                <w:vMerge w:val="restart"/>
              </w:tcPr>
              <w:p>
                <w:pPr>
                  <w:widowControl w:val="0"/>
                  <w:jc w:val="center"/>
                  <w:outlineLvl w:val="2"/>
                  <w:rPr>
                    <w:caps/>
                    <w:color w:val="000000"/>
                    <w:szCs w:val="24"/>
                    <w:lang w:val="en-GB"/>
                  </w:rPr>
                </w:pPr>
                <w:r>
                  <w:rPr>
                    <w:caps/>
                    <w:color w:val="000000"/>
                    <w:szCs w:val="24"/>
                  </w:rPr>
                  <w:t>1.</w:t>
                </w: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tc>
            <w:tc>
              <w:tcPr>
                <w:tcW w:w="1276" w:type="dxa"/>
                <w:vMerge w:val="restart"/>
              </w:tcPr>
              <w:p>
                <w:pPr>
                  <w:widowControl w:val="0"/>
                  <w:jc w:val="center"/>
                  <w:outlineLvl w:val="2"/>
                  <w:rPr>
                    <w:caps/>
                    <w:color w:val="000000"/>
                    <w:szCs w:val="24"/>
                    <w:lang w:val="en-GB"/>
                  </w:rPr>
                </w:pPr>
                <w:r>
                  <w:rPr>
                    <w:caps/>
                    <w:color w:val="000000"/>
                    <w:szCs w:val="24"/>
                  </w:rPr>
                  <w:t>Nauja-gimis</w:t>
                </w:r>
              </w:p>
              <w:p>
                <w:pPr>
                  <w:widowControl w:val="0"/>
                  <w:jc w:val="center"/>
                  <w:outlineLvl w:val="2"/>
                  <w:rPr>
                    <w:caps/>
                    <w:color w:val="000000"/>
                    <w:szCs w:val="24"/>
                    <w:lang w:val="en-GB"/>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tc>
            <w:tc>
              <w:tcPr>
                <w:tcW w:w="1701" w:type="dxa"/>
              </w:tcPr>
              <w:p>
                <w:pPr>
                  <w:rPr>
                    <w:color w:val="000000"/>
                    <w:szCs w:val="24"/>
                  </w:rPr>
                </w:pPr>
                <w:r>
                  <w:rPr>
                    <w:color w:val="000000"/>
                    <w:szCs w:val="24"/>
                  </w:rPr>
                  <w:t>1 kartą</w:t>
                </w:r>
                <w:r>
                  <w:rPr>
                    <w:i/>
                    <w:color w:val="000000"/>
                    <w:szCs w:val="24"/>
                  </w:rPr>
                  <w:t xml:space="preserve"> </w:t>
                </w:r>
                <w:r>
                  <w:rPr>
                    <w:color w:val="000000"/>
                    <w:szCs w:val="24"/>
                  </w:rPr>
                  <w:t>per 3 darbo dienas nuo išvykimo iš akušerijos stacionaro</w:t>
                </w:r>
              </w:p>
              <w:p>
                <w:pPr>
                  <w:rPr>
                    <w:color w:val="000000"/>
                    <w:szCs w:val="24"/>
                  </w:rPr>
                </w:pPr>
              </w:p>
            </w:tc>
            <w:tc>
              <w:tcPr>
                <w:tcW w:w="2268" w:type="dxa"/>
              </w:tcPr>
              <w:p>
                <w:pPr>
                  <w:widowControl w:val="0"/>
                  <w:rPr>
                    <w:color w:val="000000"/>
                    <w:szCs w:val="24"/>
                  </w:rPr>
                </w:pPr>
                <w:r>
                  <w:rPr>
                    <w:color w:val="000000"/>
                    <w:szCs w:val="24"/>
                  </w:rPr>
                  <w:t>Šeimos medicinos paslaugas teikiantis šeimos arba vaikų ligų gydytojas (toliau – gydytojas) arba bendrosios praktikos slaugytojas arba išplėstinės praktikos slaugytojas (toliau kartu – slaugytojas) arba akušeris</w:t>
                </w:r>
              </w:p>
              <w:p>
                <w:pPr>
                  <w:widowControl w:val="0"/>
                  <w:rPr>
                    <w:color w:val="000000"/>
                    <w:szCs w:val="24"/>
                  </w:rPr>
                </w:pPr>
              </w:p>
            </w:tc>
            <w:tc>
              <w:tcPr>
                <w:tcW w:w="4536" w:type="dxa"/>
                <w:tcBorders>
                  <w:bottom w:val="single" w:sz="4" w:space="0" w:color="auto"/>
                </w:tcBorders>
              </w:tcPr>
              <w:p>
                <w:pPr>
                  <w:rPr>
                    <w:i/>
                    <w:color w:val="000000"/>
                    <w:szCs w:val="24"/>
                  </w:rPr>
                </w:pPr>
                <w:r>
                  <w:rPr>
                    <w:color w:val="000000"/>
                    <w:szCs w:val="24"/>
                  </w:rPr>
                  <w:t xml:space="preserve">1.1. Aplankyti ir apžiūrėti  naujagimį namuose. </w:t>
                </w:r>
              </w:p>
              <w:p>
                <w:pPr>
                  <w:rPr>
                    <w:i/>
                    <w:color w:val="000000"/>
                    <w:szCs w:val="24"/>
                  </w:rPr>
                </w:pPr>
                <w:r>
                  <w:rPr>
                    <w:color w:val="000000"/>
                    <w:szCs w:val="24"/>
                  </w:rPr>
                  <w:t xml:space="preserve">1.2. Įvertinti šeimos socialinį, psichologinį pasirengimą. </w:t>
                </w:r>
              </w:p>
              <w:p>
                <w:pPr>
                  <w:rPr>
                    <w:i/>
                    <w:color w:val="000000"/>
                    <w:szCs w:val="24"/>
                  </w:rPr>
                </w:pPr>
                <w:r>
                  <w:rPr>
                    <w:color w:val="000000"/>
                    <w:szCs w:val="24"/>
                  </w:rPr>
                  <w:t xml:space="preserve">1.3. Patarti tėvams naujagimio priežiūros, higienos (ypač odos, bambos), žindymo, motinos mitybos klausimais. </w:t>
                </w:r>
              </w:p>
              <w:p>
                <w:pPr>
                  <w:rPr>
                    <w:i/>
                    <w:color w:val="000000"/>
                    <w:szCs w:val="24"/>
                  </w:rPr>
                </w:pPr>
                <w:r>
                  <w:rPr>
                    <w:color w:val="000000"/>
                    <w:szCs w:val="24"/>
                  </w:rPr>
                  <w:t xml:space="preserve">1.4. Informuoti tėvus apie prisiregistravimo prie pirminės asmens sveikatos priežiūros įstaigos (toliau – PASPĮ) tvarką. </w:t>
                </w:r>
              </w:p>
              <w:p>
                <w:pPr>
                  <w:rPr>
                    <w:color w:val="000000"/>
                    <w:szCs w:val="24"/>
                  </w:rPr>
                </w:pPr>
                <w:r>
                  <w:rPr>
                    <w:color w:val="000000"/>
                    <w:szCs w:val="24"/>
                  </w:rPr>
                  <w:t xml:space="preserve">1.5. Įvertinti įrašus apie akių dugno raudono reflekso tyrimo (toliau – tyrimas) ir klausos tikrinimo (toliau – tikrinimas) atlikimą bei kraujo paėmimą visuotiniam naujagimių tikrinimui dėl įgimtų medžiagų apykaitos ligų (toliau – kraujo paėmimas dėl ĮMAL) formos </w:t>
                </w:r>
              </w:p>
              <w:p>
                <w:pPr>
                  <w:rPr>
                    <w:i/>
                    <w:color w:val="000000"/>
                    <w:szCs w:val="24"/>
                  </w:rPr>
                </w:pPr>
                <w:r>
                  <w:rPr>
                    <w:color w:val="000000"/>
                    <w:szCs w:val="24"/>
                  </w:rPr>
                  <w:t>Nr. 113/a dalyje „Žinios apie naujagimį.“ Jei tyrimas ir tikrinimas neatlikti, siųsti pas atitinkamus specialistus ištirti ir patikrinti, o jei nepaimtas kraujas dėl ĮMAL, paimti.</w:t>
                </w:r>
              </w:p>
              <w:p>
                <w:pPr>
                  <w:rPr>
                    <w:color w:val="000000"/>
                    <w:szCs w:val="24"/>
                  </w:rPr>
                </w:pPr>
                <w:r>
                  <w:rPr>
                    <w:color w:val="000000"/>
                    <w:szCs w:val="24"/>
                  </w:rPr>
                  <w:t>1.6. Prireikus Lietuvos Respublikos sveikatos apsaugos ministro 2001 m. vasario 1 d. įsakymu Nr. 65 „Dėl informacijos apie pacientą valstybės institucijoms ir kitoms įstaigoms teikimo tvarkos patvirtinimo“ nustatyta tvarka informuoti socialinį darbuotoją ir (ar) savivaldybės vaiko teisių apsaugos tarnybą.</w:t>
                </w:r>
              </w:p>
              <w:p>
                <w:pPr>
                  <w:jc w:val="both"/>
                  <w:rPr>
                    <w:color w:val="000000"/>
                    <w:szCs w:val="24"/>
                  </w:rPr>
                </w:pPr>
                <w:r>
                  <w:rPr>
                    <w:color w:val="000000"/>
                    <w:szCs w:val="24"/>
                  </w:rPr>
                  <w:t>1.7.</w:t>
                </w:r>
                <w:r>
                  <w:rPr>
                    <w:szCs w:val="24"/>
                  </w:rPr>
                  <w:t xml:space="preserve"> Paaiškinama apie depresijos po gimdymo atpažinimą ir pagalbos galimybes bei įteikiamas </w:t>
                </w:r>
                <w:r>
                  <w:rPr>
                    <w:color w:val="000000"/>
                    <w:szCs w:val="24"/>
                  </w:rPr>
                  <w:t>lankstinukas apie depresijos po gimdymo atpažinimą ir pagalbos galimybes (toliau – lankstinukas).</w:t>
                </w:r>
              </w:p>
            </w:tc>
            <w:tc>
              <w:tcPr>
                <w:tcW w:w="1701" w:type="dxa"/>
                <w:vMerge w:val="restart"/>
              </w:tcPr>
              <w:p>
                <w:pPr>
                  <w:widowControl w:val="0"/>
                  <w:rPr>
                    <w:color w:val="000000"/>
                    <w:szCs w:val="24"/>
                  </w:rPr>
                </w:pPr>
                <w:r>
                  <w:rPr>
                    <w:color w:val="000000"/>
                    <w:szCs w:val="24"/>
                  </w:rPr>
                  <w:t>1 kartą</w:t>
                </w: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tc>
            <w:tc>
              <w:tcPr>
                <w:tcW w:w="1559" w:type="dxa"/>
                <w:vMerge w:val="restart"/>
              </w:tcPr>
              <w:p>
                <w:pPr>
                  <w:widowControl w:val="0"/>
                  <w:rPr>
                    <w:color w:val="000000"/>
                    <w:szCs w:val="24"/>
                  </w:rPr>
                </w:pPr>
                <w:r>
                  <w:rPr>
                    <w:color w:val="000000"/>
                    <w:szCs w:val="24"/>
                  </w:rPr>
                  <w:t xml:space="preserve">Gydytojas oftalmologas, </w:t>
                </w:r>
              </w:p>
              <w:p>
                <w:pPr>
                  <w:widowControl w:val="0"/>
                  <w:rPr>
                    <w:color w:val="000000"/>
                    <w:szCs w:val="24"/>
                  </w:rPr>
                </w:pPr>
                <w:r>
                  <w:rPr>
                    <w:color w:val="000000"/>
                    <w:szCs w:val="24"/>
                  </w:rPr>
                  <w:t>otorinolarin-gologas,</w:t>
                </w:r>
              </w:p>
              <w:p>
                <w:pPr>
                  <w:widowControl w:val="0"/>
                  <w:rPr>
                    <w:color w:val="000000"/>
                    <w:szCs w:val="24"/>
                  </w:rPr>
                </w:pPr>
                <w:r>
                  <w:rPr>
                    <w:color w:val="000000"/>
                    <w:szCs w:val="24"/>
                  </w:rPr>
                  <w:t>jeigu naujagimis nebuvo patikrintas akušerijos stacionare</w:t>
                </w: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tc>
            <w:tc>
              <w:tcPr>
                <w:tcW w:w="1701" w:type="dxa"/>
                <w:vMerge w:val="restart"/>
              </w:tcPr>
              <w:p>
                <w:pPr>
                  <w:widowControl w:val="0"/>
                  <w:rPr>
                    <w:color w:val="000000"/>
                    <w:szCs w:val="24"/>
                  </w:rPr>
                </w:pPr>
                <w:r>
                  <w:rPr>
                    <w:color w:val="000000"/>
                    <w:szCs w:val="24"/>
                  </w:rPr>
                  <w:t>Akių dugno raudono reflekso tyrimas,</w:t>
                </w:r>
              </w:p>
              <w:p>
                <w:pPr>
                  <w:widowControl w:val="0"/>
                  <w:rPr>
                    <w:color w:val="000000"/>
                    <w:szCs w:val="24"/>
                  </w:rPr>
                </w:pPr>
                <w:r>
                  <w:rPr>
                    <w:color w:val="000000"/>
                    <w:szCs w:val="24"/>
                  </w:rPr>
                  <w:t xml:space="preserve">klausos tikrinimas“ </w:t>
                </w: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tc>
          </w:tr>
          <w:tr>
            <w:trPr>
              <w:trHeight w:val="20"/>
            </w:trPr>
            <w:tc>
              <w:tcPr>
                <w:tcW w:w="568" w:type="dxa"/>
                <w:vMerge/>
              </w:tcPr>
              <w:p>
                <w:pPr>
                  <w:widowControl w:val="0"/>
                  <w:jc w:val="center"/>
                  <w:outlineLvl w:val="2"/>
                  <w:rPr>
                    <w:b/>
                    <w:caps/>
                    <w:color w:val="000000"/>
                    <w:szCs w:val="24"/>
                    <w:lang w:val="en-GB"/>
                  </w:rPr>
                </w:pPr>
              </w:p>
            </w:tc>
            <w:tc>
              <w:tcPr>
                <w:tcW w:w="1276" w:type="dxa"/>
                <w:vMerge/>
              </w:tcPr>
              <w:p>
                <w:pPr>
                  <w:widowControl w:val="0"/>
                  <w:jc w:val="center"/>
                  <w:outlineLvl w:val="2"/>
                  <w:rPr>
                    <w:b/>
                    <w:caps/>
                    <w:color w:val="000000"/>
                    <w:szCs w:val="24"/>
                    <w:lang w:val="en-GB"/>
                  </w:rPr>
                </w:pPr>
              </w:p>
            </w:tc>
            <w:tc>
              <w:tcPr>
                <w:tcW w:w="1701" w:type="dxa"/>
              </w:tcPr>
              <w:p>
                <w:pPr>
                  <w:rPr>
                    <w:color w:val="000000"/>
                    <w:szCs w:val="24"/>
                  </w:rPr>
                </w:pPr>
                <w:r>
                  <w:rPr>
                    <w:color w:val="000000"/>
                    <w:szCs w:val="24"/>
                  </w:rPr>
                  <w:t>1–2 kartus per mėnesį</w:t>
                </w:r>
              </w:p>
              <w:p>
                <w:pPr>
                  <w:rPr>
                    <w:color w:val="000000"/>
                    <w:szCs w:val="24"/>
                  </w:rPr>
                </w:pPr>
              </w:p>
            </w:tc>
            <w:tc>
              <w:tcPr>
                <w:tcW w:w="2268" w:type="dxa"/>
              </w:tcPr>
              <w:p>
                <w:pPr>
                  <w:rPr>
                    <w:color w:val="000000"/>
                    <w:szCs w:val="24"/>
                  </w:rPr>
                </w:pPr>
                <w:r>
                  <w:rPr>
                    <w:color w:val="000000"/>
                    <w:szCs w:val="24"/>
                  </w:rPr>
                  <w:t>Gydytojas</w:t>
                </w:r>
              </w:p>
            </w:tc>
            <w:tc>
              <w:tcPr>
                <w:tcW w:w="4536" w:type="dxa"/>
                <w:tcBorders>
                  <w:bottom w:val="single" w:sz="4" w:space="0" w:color="auto"/>
                </w:tcBorders>
              </w:tcPr>
              <w:p>
                <w:pPr>
                  <w:rPr>
                    <w:i/>
                    <w:color w:val="000000"/>
                    <w:szCs w:val="24"/>
                  </w:rPr>
                </w:pPr>
                <w:r>
                  <w:rPr>
                    <w:color w:val="000000"/>
                    <w:szCs w:val="24"/>
                  </w:rPr>
                  <w:t xml:space="preserve">1.8. Naujagimiui apsilankius PASPĮ,  įvertinti jo sveikatos būklę. </w:t>
                </w:r>
              </w:p>
              <w:p>
                <w:pPr>
                  <w:rPr>
                    <w:color w:val="000000"/>
                    <w:szCs w:val="24"/>
                  </w:rPr>
                </w:pPr>
                <w:r>
                  <w:rPr>
                    <w:color w:val="000000"/>
                    <w:szCs w:val="24"/>
                  </w:rPr>
                  <w:t xml:space="preserve">1.9. Skatinti motiną žindyti naujagimį, </w:t>
                </w:r>
                <w:r>
                  <w:rPr>
                    <w:szCs w:val="24"/>
                    <w:bdr w:val="none" w:sz="0" w:space="0" w:color="auto" w:frame="1"/>
                  </w:rPr>
                  <w:t>dar kartą paaiškinti žindymo ypatumus</w:t>
                </w:r>
                <w:r>
                  <w:rPr>
                    <w:color w:val="000000"/>
                    <w:szCs w:val="24"/>
                  </w:rPr>
                  <w:t>.</w:t>
                </w:r>
              </w:p>
              <w:p>
                <w:pPr>
                  <w:rPr>
                    <w:color w:val="000000"/>
                    <w:szCs w:val="24"/>
                  </w:rPr>
                </w:pPr>
                <w:r>
                  <w:rPr>
                    <w:color w:val="000000"/>
                    <w:szCs w:val="24"/>
                  </w:rPr>
                  <w:t xml:space="preserve">1.10. Rachito profilaktika. </w:t>
                </w:r>
              </w:p>
            </w:tc>
            <w:tc>
              <w:tcPr>
                <w:tcW w:w="1701" w:type="dxa"/>
                <w:vMerge/>
              </w:tcPr>
              <w:p>
                <w:pPr>
                  <w:widowControl w:val="0"/>
                  <w:rPr>
                    <w:color w:val="000000"/>
                    <w:szCs w:val="24"/>
                  </w:rPr>
                </w:pPr>
              </w:p>
            </w:tc>
            <w:tc>
              <w:tcPr>
                <w:tcW w:w="1559" w:type="dxa"/>
                <w:vMerge/>
              </w:tcPr>
              <w:p>
                <w:pPr>
                  <w:widowControl w:val="0"/>
                  <w:rPr>
                    <w:color w:val="000000"/>
                    <w:szCs w:val="24"/>
                  </w:rPr>
                </w:pPr>
              </w:p>
            </w:tc>
            <w:tc>
              <w:tcPr>
                <w:tcW w:w="1701" w:type="dxa"/>
                <w:vMerge/>
              </w:tcPr>
              <w:p>
                <w:pPr>
                  <w:widowControl w:val="0"/>
                  <w:rPr>
                    <w:color w:val="000000"/>
                    <w:szCs w:val="24"/>
                  </w:rPr>
                </w:pPr>
              </w:p>
            </w:tc>
          </w:tr>
          <w:tr>
            <w:trPr>
              <w:trHeight w:val="20"/>
            </w:trPr>
            <w:tc>
              <w:tcPr>
                <w:tcW w:w="568" w:type="dxa"/>
                <w:vMerge/>
              </w:tcPr>
              <w:p>
                <w:pPr>
                  <w:widowControl w:val="0"/>
                  <w:jc w:val="center"/>
                  <w:outlineLvl w:val="2"/>
                  <w:rPr>
                    <w:b/>
                    <w:caps/>
                    <w:color w:val="000000"/>
                    <w:szCs w:val="24"/>
                    <w:lang w:val="en-GB"/>
                  </w:rPr>
                </w:pPr>
              </w:p>
            </w:tc>
            <w:tc>
              <w:tcPr>
                <w:tcW w:w="1276" w:type="dxa"/>
                <w:vMerge/>
              </w:tcPr>
              <w:p>
                <w:pPr>
                  <w:widowControl w:val="0"/>
                  <w:jc w:val="center"/>
                  <w:outlineLvl w:val="2"/>
                  <w:rPr>
                    <w:b/>
                    <w:caps/>
                    <w:color w:val="000000"/>
                    <w:szCs w:val="24"/>
                    <w:lang w:val="en-GB"/>
                  </w:rPr>
                </w:pPr>
              </w:p>
            </w:tc>
            <w:tc>
              <w:tcPr>
                <w:tcW w:w="1701" w:type="dxa"/>
              </w:tcPr>
              <w:p>
                <w:pPr>
                  <w:rPr>
                    <w:color w:val="000000"/>
                    <w:szCs w:val="24"/>
                  </w:rPr>
                </w:pPr>
                <w:r>
                  <w:rPr>
                    <w:color w:val="000000"/>
                    <w:szCs w:val="24"/>
                  </w:rPr>
                  <w:t>1–2 kartus per mėnesį</w:t>
                </w:r>
              </w:p>
            </w:tc>
            <w:tc>
              <w:tcPr>
                <w:tcW w:w="2268" w:type="dxa"/>
              </w:tcPr>
              <w:p>
                <w:pPr>
                  <w:widowControl w:val="0"/>
                  <w:rPr>
                    <w:color w:val="000000"/>
                    <w:szCs w:val="24"/>
                  </w:rPr>
                </w:pPr>
                <w:r>
                  <w:rPr>
                    <w:color w:val="000000"/>
                    <w:szCs w:val="24"/>
                  </w:rPr>
                  <w:t>Slaugytojas arba akušeris</w:t>
                </w:r>
              </w:p>
            </w:tc>
            <w:tc>
              <w:tcPr>
                <w:tcW w:w="4536" w:type="dxa"/>
                <w:tcBorders>
                  <w:bottom w:val="single" w:sz="4" w:space="0" w:color="auto"/>
                </w:tcBorders>
              </w:tcPr>
              <w:p>
                <w:pPr>
                  <w:widowControl w:val="0"/>
                  <w:rPr>
                    <w:color w:val="000000"/>
                    <w:szCs w:val="24"/>
                  </w:rPr>
                </w:pPr>
                <w:r>
                  <w:rPr>
                    <w:color w:val="000000"/>
                    <w:szCs w:val="24"/>
                  </w:rPr>
                  <w:t>1.11. Įvertinti naujagimio priežiūros kokybę.</w:t>
                </w:r>
              </w:p>
              <w:p>
                <w:pPr>
                  <w:widowControl w:val="0"/>
                  <w:rPr>
                    <w:color w:val="000000"/>
                    <w:szCs w:val="24"/>
                  </w:rPr>
                </w:pPr>
                <w:r>
                  <w:rPr>
                    <w:color w:val="000000"/>
                    <w:szCs w:val="24"/>
                  </w:rPr>
                  <w:t xml:space="preserve">1.12. Paaiškinti žindymo, dienos, mitybos režimo reikšmę, migdymo padėtį, šeimos sanitarinį higieninį pasirengimą. </w:t>
                </w:r>
              </w:p>
              <w:p>
                <w:pPr>
                  <w:rPr>
                    <w:color w:val="000000"/>
                    <w:szCs w:val="24"/>
                  </w:rPr>
                </w:pPr>
                <w:r>
                  <w:rPr>
                    <w:color w:val="000000"/>
                    <w:szCs w:val="24"/>
                  </w:rPr>
                  <w:t>1.13. Informuoti tėvus apie sveikos gyvensenos ugdymą, ligų, traumų, uždusimo, apsinuodijimo, nudegimų, prievartos profilaktiką, imunoprofilaktiką.</w:t>
                </w:r>
              </w:p>
            </w:tc>
            <w:tc>
              <w:tcPr>
                <w:tcW w:w="1701" w:type="dxa"/>
                <w:vMerge/>
              </w:tcPr>
              <w:p>
                <w:pPr>
                  <w:widowControl w:val="0"/>
                  <w:rPr>
                    <w:color w:val="000000"/>
                    <w:szCs w:val="24"/>
                  </w:rPr>
                </w:pPr>
              </w:p>
            </w:tc>
            <w:tc>
              <w:tcPr>
                <w:tcW w:w="1559" w:type="dxa"/>
                <w:vMerge/>
              </w:tcPr>
              <w:p>
                <w:pPr>
                  <w:widowControl w:val="0"/>
                  <w:rPr>
                    <w:color w:val="000000"/>
                    <w:szCs w:val="24"/>
                  </w:rPr>
                </w:pPr>
              </w:p>
            </w:tc>
            <w:tc>
              <w:tcPr>
                <w:tcW w:w="1701" w:type="dxa"/>
                <w:vMerge/>
              </w:tcPr>
              <w:p>
                <w:pPr>
                  <w:widowControl w:val="0"/>
                  <w:rPr>
                    <w:color w:val="000000"/>
                    <w:szCs w:val="24"/>
                  </w:rPr>
                </w:pPr>
              </w:p>
            </w:tc>
          </w:tr>
          <w:tr>
            <w:trPr>
              <w:trHeight w:val="2074"/>
            </w:trPr>
            <w:tc>
              <w:tcPr>
                <w:tcW w:w="568" w:type="dxa"/>
                <w:vMerge w:val="restart"/>
              </w:tcPr>
              <w:p>
                <w:pPr>
                  <w:keepNext/>
                  <w:keepLines/>
                  <w:jc w:val="both"/>
                  <w:rPr>
                    <w:color w:val="000000"/>
                    <w:szCs w:val="24"/>
                  </w:rPr>
                </w:pPr>
                <w:r>
                  <w:rPr>
                    <w:color w:val="000000"/>
                    <w:szCs w:val="24"/>
                  </w:rPr>
                  <w:t>2.</w:t>
                </w: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both"/>
                  <w:rPr>
                    <w:color w:val="000000"/>
                    <w:szCs w:val="24"/>
                  </w:rPr>
                </w:pPr>
              </w:p>
            </w:tc>
            <w:tc>
              <w:tcPr>
                <w:tcW w:w="1276" w:type="dxa"/>
                <w:vMerge w:val="restart"/>
              </w:tcPr>
              <w:p>
                <w:pPr>
                  <w:keepNext/>
                  <w:keepLines/>
                  <w:rPr>
                    <w:color w:val="000000"/>
                    <w:szCs w:val="24"/>
                  </w:rPr>
                </w:pPr>
                <w:r>
                  <w:rPr>
                    <w:color w:val="000000"/>
                    <w:szCs w:val="24"/>
                  </w:rPr>
                  <w:t>Kūdikis</w:t>
                </w:r>
              </w:p>
              <w:p>
                <w:pPr>
                  <w:keepNext/>
                  <w:keepLines/>
                  <w:rPr>
                    <w:color w:val="000000"/>
                    <w:szCs w:val="24"/>
                  </w:rPr>
                </w:pPr>
              </w:p>
              <w:p>
                <w:pPr>
                  <w:keepNext/>
                  <w:keepLines/>
                  <w:jc w:val="center"/>
                  <w:rPr>
                    <w:color w:val="000000"/>
                    <w:szCs w:val="24"/>
                  </w:rPr>
                </w:pPr>
              </w:p>
              <w:p>
                <w:pPr>
                  <w:keepNext/>
                  <w:keepLines/>
                  <w:jc w:val="center"/>
                  <w:rPr>
                    <w:color w:val="000000"/>
                    <w:szCs w:val="24"/>
                  </w:rPr>
                </w:pPr>
              </w:p>
              <w:p>
                <w:pPr>
                  <w:keepNext/>
                  <w:keepLines/>
                  <w:jc w:val="center"/>
                  <w:rPr>
                    <w:color w:val="000000"/>
                    <w:szCs w:val="24"/>
                  </w:rPr>
                </w:pPr>
              </w:p>
              <w:p>
                <w:pPr>
                  <w:keepNext/>
                  <w:keepLines/>
                  <w:jc w:val="center"/>
                  <w:rPr>
                    <w:color w:val="000000"/>
                    <w:szCs w:val="24"/>
                  </w:rPr>
                </w:pPr>
              </w:p>
              <w:p>
                <w:pPr>
                  <w:keepNext/>
                  <w:keepLines/>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tc>
            <w:tc>
              <w:tcPr>
                <w:tcW w:w="1701" w:type="dxa"/>
              </w:tcPr>
              <w:p>
                <w:pPr>
                  <w:keepNext/>
                  <w:keepLines/>
                  <w:rPr>
                    <w:color w:val="000000"/>
                    <w:szCs w:val="24"/>
                  </w:rPr>
                </w:pPr>
                <w:r>
                  <w:rPr>
                    <w:color w:val="000000"/>
                    <w:szCs w:val="24"/>
                  </w:rPr>
                  <w:t xml:space="preserve">1–6 mėn. amžiaus </w:t>
                </w:r>
              </w:p>
              <w:p>
                <w:pPr>
                  <w:keepNext/>
                  <w:keepLines/>
                  <w:rPr>
                    <w:color w:val="000000"/>
                    <w:szCs w:val="24"/>
                  </w:rPr>
                </w:pPr>
                <w:r>
                  <w:rPr>
                    <w:color w:val="000000"/>
                    <w:szCs w:val="24"/>
                  </w:rPr>
                  <w:t>1 kartą per mėnesį</w:t>
                </w:r>
              </w:p>
              <w:p>
                <w:pPr>
                  <w:keepNext/>
                  <w:keepLines/>
                  <w:rPr>
                    <w:color w:val="000000"/>
                    <w:szCs w:val="24"/>
                  </w:rPr>
                </w:pPr>
              </w:p>
            </w:tc>
            <w:tc>
              <w:tcPr>
                <w:tcW w:w="2268" w:type="dxa"/>
              </w:tcPr>
              <w:p>
                <w:pPr>
                  <w:rPr>
                    <w:color w:val="000000"/>
                    <w:szCs w:val="24"/>
                  </w:rPr>
                </w:pPr>
                <w:r>
                  <w:rPr>
                    <w:color w:val="000000"/>
                    <w:szCs w:val="24"/>
                  </w:rPr>
                  <w:t>Gydytojas</w:t>
                </w:r>
              </w:p>
              <w:p>
                <w:pPr>
                  <w:widowControl w:val="0"/>
                  <w:rPr>
                    <w:color w:val="000000"/>
                    <w:szCs w:val="24"/>
                  </w:rPr>
                </w:pPr>
              </w:p>
            </w:tc>
            <w:tc>
              <w:tcPr>
                <w:tcW w:w="4536" w:type="dxa"/>
              </w:tcPr>
              <w:p>
                <w:pPr>
                  <w:rPr>
                    <w:color w:val="000000"/>
                    <w:szCs w:val="24"/>
                  </w:rPr>
                </w:pPr>
                <w:r>
                  <w:rPr>
                    <w:color w:val="000000"/>
                    <w:szCs w:val="24"/>
                  </w:rPr>
                  <w:t xml:space="preserve">2.1. Kiekvieno apsilankymo metu įvertinti kūdikio sveikatos būklę, fizinę būklę pagal atitinkamą ūgio ir  svorio kitimo  diagramą, nubrėžiant asmeninę augimo kreivę. </w:t>
                </w:r>
              </w:p>
              <w:p>
                <w:pPr>
                  <w:keepNext/>
                  <w:keepLines/>
                  <w:rPr>
                    <w:color w:val="000000"/>
                    <w:szCs w:val="24"/>
                  </w:rPr>
                </w:pPr>
                <w:r>
                  <w:rPr>
                    <w:color w:val="000000"/>
                    <w:szCs w:val="24"/>
                  </w:rPr>
                  <w:t>2.</w:t>
                </w:r>
                <w:r>
                  <w:rPr>
                    <w:i/>
                    <w:color w:val="000000"/>
                    <w:szCs w:val="24"/>
                  </w:rPr>
                  <w:t>2.</w:t>
                </w:r>
                <w:r>
                  <w:rPr>
                    <w:color w:val="000000"/>
                    <w:szCs w:val="24"/>
                  </w:rPr>
                  <w:t xml:space="preserve"> Nustatyti ir įvertinti rizikos sveikatai veiksnius. Atkreipti dėmesį į klubo sąnarių būklę, širdies veiklą, momenėlio būklę, raumenų tonusą. </w:t>
                </w:r>
              </w:p>
              <w:p>
                <w:pPr>
                  <w:rPr>
                    <w:color w:val="000000"/>
                    <w:szCs w:val="24"/>
                  </w:rPr>
                </w:pPr>
                <w:r>
                  <w:rPr>
                    <w:color w:val="000000"/>
                    <w:szCs w:val="24"/>
                  </w:rPr>
                  <w:t>2.3. Atlikti, patikrinti ir įvertinti:</w:t>
                </w:r>
              </w:p>
              <w:p>
                <w:pPr>
                  <w:rPr>
                    <w:color w:val="000000"/>
                    <w:szCs w:val="24"/>
                  </w:rPr>
                </w:pPr>
                <w:r>
                  <w:rPr>
                    <w:color w:val="000000"/>
                    <w:szCs w:val="24"/>
                  </w:rPr>
                  <w:t>2.3.1. 3 mėn. ir 6 mėn. amžiaus kūdikio psichomotorinę raidą;</w:t>
                </w:r>
              </w:p>
            </w:tc>
            <w:tc>
              <w:tcPr>
                <w:tcW w:w="1701" w:type="dxa"/>
                <w:vMerge w:val="restart"/>
              </w:tcPr>
              <w:p>
                <w:pPr>
                  <w:widowControl w:val="0"/>
                  <w:rPr>
                    <w:color w:val="000000"/>
                    <w:szCs w:val="24"/>
                  </w:rPr>
                </w:pPr>
              </w:p>
              <w:p>
                <w:pPr>
                  <w:rPr>
                    <w:color w:val="000000"/>
                    <w:szCs w:val="24"/>
                  </w:rPr>
                </w:pPr>
              </w:p>
              <w:p>
                <w:pPr>
                  <w:rPr>
                    <w:color w:val="000000"/>
                    <w:szCs w:val="24"/>
                  </w:rPr>
                </w:pPr>
              </w:p>
            </w:tc>
            <w:tc>
              <w:tcPr>
                <w:tcW w:w="1559" w:type="dxa"/>
                <w:vMerge w:val="restart"/>
              </w:tcPr>
              <w:p>
                <w:pPr>
                  <w:rPr>
                    <w:color w:val="000000"/>
                    <w:szCs w:val="24"/>
                  </w:rPr>
                </w:pPr>
              </w:p>
            </w:tc>
            <w:tc>
              <w:tcPr>
                <w:tcW w:w="1701" w:type="dxa"/>
                <w:vMerge w:val="restart"/>
              </w:tcPr>
              <w:p>
                <w:pPr>
                  <w:keepNext/>
                  <w:keepLines/>
                  <w:rPr>
                    <w:color w:val="000000"/>
                    <w:szCs w:val="24"/>
                  </w:rPr>
                </w:pPr>
              </w:p>
            </w:tc>
          </w:tr>
          <w:tr>
            <w:trPr>
              <w:trHeight w:val="1683"/>
            </w:trPr>
            <w:tc>
              <w:tcPr>
                <w:tcW w:w="568" w:type="dxa"/>
                <w:vMerge/>
              </w:tcPr>
              <w:p>
                <w:pPr>
                  <w:keepNext/>
                  <w:keepLines/>
                  <w:jc w:val="both"/>
                  <w:rPr>
                    <w:color w:val="000000"/>
                    <w:szCs w:val="24"/>
                  </w:rPr>
                </w:pPr>
              </w:p>
            </w:tc>
            <w:tc>
              <w:tcPr>
                <w:tcW w:w="1276" w:type="dxa"/>
                <w:vMerge/>
              </w:tcPr>
              <w:p>
                <w:pPr>
                  <w:keepNext/>
                  <w:keepLines/>
                  <w:jc w:val="center"/>
                  <w:rPr>
                    <w:color w:val="000000"/>
                    <w:szCs w:val="24"/>
                  </w:rPr>
                </w:pPr>
              </w:p>
            </w:tc>
            <w:tc>
              <w:tcPr>
                <w:tcW w:w="1701" w:type="dxa"/>
              </w:tcPr>
              <w:p>
                <w:pPr>
                  <w:keepNext/>
                  <w:keepLines/>
                  <w:rPr>
                    <w:color w:val="000000"/>
                    <w:szCs w:val="24"/>
                  </w:rPr>
                </w:pPr>
                <w:r>
                  <w:rPr>
                    <w:color w:val="000000"/>
                    <w:szCs w:val="24"/>
                  </w:rPr>
                  <w:t xml:space="preserve">4–6 mėn. amžiaus 1 kartą </w:t>
                </w:r>
              </w:p>
            </w:tc>
            <w:tc>
              <w:tcPr>
                <w:tcW w:w="2268" w:type="dxa"/>
              </w:tcPr>
              <w:p>
                <w:pPr>
                  <w:rPr>
                    <w:color w:val="000000"/>
                    <w:szCs w:val="24"/>
                  </w:rPr>
                </w:pPr>
                <w:r>
                  <w:rPr>
                    <w:color w:val="000000"/>
                    <w:szCs w:val="24"/>
                  </w:rPr>
                  <w:t xml:space="preserve">Gydytojas </w:t>
                </w:r>
              </w:p>
            </w:tc>
            <w:tc>
              <w:tcPr>
                <w:tcW w:w="4536" w:type="dxa"/>
              </w:tcPr>
              <w:p>
                <w:pPr>
                  <w:rPr>
                    <w:color w:val="000000"/>
                    <w:szCs w:val="24"/>
                  </w:rPr>
                </w:pPr>
                <w:r>
                  <w:rPr>
                    <w:color w:val="000000"/>
                    <w:szCs w:val="24"/>
                  </w:rPr>
                  <w:t xml:space="preserve">2.3.2. bendrą kraujo tyrimą (kūdikio, priskirto rizikos grupei: jeigu jis gimė neišnešiotas, jei buvo  ABO ar Rh nesuderinamumas; įgimtos infekcijos; iš daugiavaisio nėštumo, mažo gimimo svorio (&lt;2500g).</w:t>
                </w:r>
              </w:p>
            </w:tc>
            <w:tc>
              <w:tcPr>
                <w:tcW w:w="1701" w:type="dxa"/>
                <w:vMerge/>
              </w:tcPr>
              <w:p>
                <w:pPr>
                  <w:widowControl w:val="0"/>
                  <w:rPr>
                    <w:color w:val="000000"/>
                    <w:szCs w:val="24"/>
                  </w:rPr>
                </w:pPr>
              </w:p>
            </w:tc>
            <w:tc>
              <w:tcPr>
                <w:tcW w:w="1559" w:type="dxa"/>
                <w:vMerge/>
              </w:tcPr>
              <w:p>
                <w:pPr>
                  <w:rPr>
                    <w:color w:val="000000"/>
                    <w:szCs w:val="24"/>
                  </w:rPr>
                </w:pPr>
              </w:p>
            </w:tc>
            <w:tc>
              <w:tcPr>
                <w:tcW w:w="1701" w:type="dxa"/>
                <w:vMerge/>
              </w:tcPr>
              <w:p>
                <w:pPr>
                  <w:keepNext/>
                  <w:keepLines/>
                  <w:rPr>
                    <w:color w:val="000000"/>
                    <w:szCs w:val="24"/>
                  </w:rPr>
                </w:pPr>
              </w:p>
            </w:tc>
          </w:tr>
          <w:tr>
            <w:trPr>
              <w:trHeight w:val="20"/>
            </w:trPr>
            <w:tc>
              <w:tcPr>
                <w:tcW w:w="568" w:type="dxa"/>
                <w:vMerge/>
              </w:tcPr>
              <w:p>
                <w:pPr>
                  <w:jc w:val="center"/>
                  <w:rPr>
                    <w:color w:val="000000"/>
                    <w:szCs w:val="24"/>
                  </w:rPr>
                </w:pPr>
              </w:p>
            </w:tc>
            <w:tc>
              <w:tcPr>
                <w:tcW w:w="1276" w:type="dxa"/>
                <w:vMerge/>
              </w:tcPr>
              <w:p>
                <w:pPr>
                  <w:jc w:val="center"/>
                  <w:rPr>
                    <w:color w:val="000000"/>
                    <w:szCs w:val="24"/>
                  </w:rPr>
                </w:pPr>
              </w:p>
            </w:tc>
            <w:tc>
              <w:tcPr>
                <w:tcW w:w="1701" w:type="dxa"/>
                <w:tcBorders>
                  <w:bottom w:val="single" w:sz="4" w:space="0" w:color="auto"/>
                </w:tcBorders>
              </w:tcPr>
              <w:p>
                <w:pPr>
                  <w:keepNext/>
                  <w:keepLines/>
                  <w:rPr>
                    <w:color w:val="000000"/>
                    <w:szCs w:val="24"/>
                  </w:rPr>
                </w:pPr>
                <w:r>
                  <w:rPr>
                    <w:color w:val="000000"/>
                    <w:szCs w:val="24"/>
                  </w:rPr>
                  <w:t xml:space="preserve">1–6 mėn. amžiaus </w:t>
                </w:r>
              </w:p>
              <w:p>
                <w:pPr>
                  <w:keepNext/>
                  <w:keepLines/>
                  <w:rPr>
                    <w:color w:val="000000"/>
                    <w:szCs w:val="24"/>
                  </w:rPr>
                </w:pPr>
                <w:r>
                  <w:rPr>
                    <w:color w:val="000000"/>
                    <w:szCs w:val="24"/>
                  </w:rPr>
                  <w:t>1 kartą per mėnesį</w:t>
                </w:r>
              </w:p>
            </w:tc>
            <w:tc>
              <w:tcPr>
                <w:tcW w:w="2268" w:type="dxa"/>
                <w:tcBorders>
                  <w:bottom w:val="single" w:sz="4" w:space="0" w:color="auto"/>
                </w:tcBorders>
              </w:tcPr>
              <w:p>
                <w:pPr>
                  <w:widowControl w:val="0"/>
                  <w:rPr>
                    <w:color w:val="000000"/>
                    <w:szCs w:val="24"/>
                  </w:rPr>
                </w:pPr>
                <w:r>
                  <w:rPr>
                    <w:color w:val="000000"/>
                    <w:szCs w:val="24"/>
                  </w:rPr>
                  <w:t>Slaugytojas</w:t>
                </w:r>
              </w:p>
            </w:tc>
            <w:tc>
              <w:tcPr>
                <w:tcW w:w="4536" w:type="dxa"/>
                <w:tcBorders>
                  <w:bottom w:val="single" w:sz="4" w:space="0" w:color="auto"/>
                </w:tcBorders>
              </w:tcPr>
              <w:p>
                <w:pPr>
                  <w:rPr>
                    <w:color w:val="000000"/>
                    <w:szCs w:val="24"/>
                  </w:rPr>
                </w:pPr>
                <w:r>
                  <w:rPr>
                    <w:color w:val="000000"/>
                    <w:szCs w:val="24"/>
                  </w:rPr>
                  <w:t xml:space="preserve">2.4. Kiekvieno apsilankymo metu pamatuoti kūdikio galvos apimtį, ūgį ir svorį, įrašyti jų kitimą į  atitinkamas ūgio ir svorio kitimo diagramas. </w:t>
                </w:r>
              </w:p>
              <w:p>
                <w:pPr>
                  <w:rPr>
                    <w:color w:val="000000"/>
                    <w:szCs w:val="24"/>
                  </w:rPr>
                </w:pPr>
                <w:r>
                  <w:rPr>
                    <w:color w:val="000000"/>
                    <w:szCs w:val="24"/>
                  </w:rPr>
                  <w:t xml:space="preserve">2.5. Suteikti žinių apie kūdikio aplinkos higieną ir jos saugumą. </w:t>
                </w:r>
              </w:p>
              <w:p>
                <w:pPr>
                  <w:rPr>
                    <w:color w:val="000000"/>
                    <w:szCs w:val="24"/>
                  </w:rPr>
                </w:pPr>
                <w:r>
                  <w:rPr>
                    <w:color w:val="000000"/>
                    <w:szCs w:val="24"/>
                  </w:rPr>
                  <w:t xml:space="preserve">2.6. Informuoti tėvus apie ligų ir traumų, nudegimų ir prievartos profilaktiką, imunoprofilaktiką. </w:t>
                </w:r>
              </w:p>
              <w:p>
                <w:pPr>
                  <w:rPr>
                    <w:color w:val="000000"/>
                    <w:szCs w:val="24"/>
                  </w:rPr>
                </w:pPr>
                <w:r>
                  <w:rPr>
                    <w:color w:val="000000"/>
                    <w:szCs w:val="24"/>
                  </w:rPr>
                  <w:t>2.7. Padėti formuoti racionalios kūdikio ir motinos mitybos įgūdžius, skatinti žindymą.</w:t>
                </w:r>
              </w:p>
              <w:p>
                <w:pPr>
                  <w:rPr>
                    <w:color w:val="000000"/>
                    <w:szCs w:val="24"/>
                  </w:rPr>
                </w:pPr>
                <w:r>
                  <w:rPr>
                    <w:color w:val="000000"/>
                    <w:szCs w:val="24"/>
                  </w:rPr>
                  <w:t>2.8. Informuoti tėvus apie dantų ėduonies profilaktiką ir pamokyti burnos higienos pagrindų – išdygus pirmajam dančiui mokyti jį valyti.</w:t>
                </w:r>
              </w:p>
              <w:p>
                <w:pPr>
                  <w:jc w:val="both"/>
                  <w:rPr>
                    <w:szCs w:val="24"/>
                  </w:rPr>
                </w:pPr>
                <w:r>
                  <w:rPr>
                    <w:szCs w:val="24"/>
                  </w:rPr>
                  <w:t xml:space="preserve">2.9. 1, 2, 4 ir 6 mėnesio apsilankymo  metu pasiteirauti kūdikio motinos ar kito kūdikį lydinčio asmens (toliau – lydintis asmuo) apie kūdikio motinos emocinę sveikatą užduodant šiuos klausimus:</w:t>
                </w:r>
              </w:p>
              <w:p>
                <w:pPr>
                  <w:jc w:val="both"/>
                  <w:rPr>
                    <w:szCs w:val="24"/>
                  </w:rPr>
                </w:pPr>
                <w:r>
                  <w:rPr>
                    <w:szCs w:val="24"/>
                  </w:rPr>
                  <w:t xml:space="preserve">2.9.1. Ar per pastarąjį mėnesį Jus (kūdikio motiną) dažnai vargino prislėgta, depresiška, nevilties nuotaika?  </w:t>
                </w:r>
              </w:p>
              <w:p>
                <w:pPr>
                  <w:jc w:val="both"/>
                  <w:rPr>
                    <w:szCs w:val="24"/>
                  </w:rPr>
                </w:pPr>
                <w:r>
                  <w:rPr>
                    <w:szCs w:val="24"/>
                  </w:rPr>
                  <w:t xml:space="preserve">2.9.2. Ar per pastarąjį mėnesį Jus (kūdikio motiną) dažnai vargino menkas susidomėjimas ir mėgavimasis ką nors veikiant? </w:t>
                </w:r>
              </w:p>
              <w:p>
                <w:pPr>
                  <w:jc w:val="both"/>
                  <w:rPr>
                    <w:szCs w:val="24"/>
                  </w:rPr>
                </w:pPr>
                <w:r>
                  <w:rPr>
                    <w:szCs w:val="24"/>
                  </w:rPr>
                  <w:t>Jei kūdikio motina teigiamai atsako bent į vieną iš šių klausimų, jai pateikiamas užpildyti Edinburgo pogimdyminės depresijos klausimynas (toliau – klausimynas) arba jis užpildomas kartu su kūdikio motina. Jei lydintis asmuo teigiamai atsako bent į vieną iš šių klausimų, jam (jai) pateikiamas klausimynas, kurį paprašoma perduoti užpildyti kūdikio motinai bei paaiškinama, kokią balų sumą surinkus kūdikio motinai reikėtų skubiai kreiptis pagalbos į psichikos sveikatos specialistus.</w:t>
                </w:r>
              </w:p>
              <w:p>
                <w:pPr>
                  <w:jc w:val="both"/>
                  <w:rPr>
                    <w:szCs w:val="24"/>
                  </w:rPr>
                </w:pPr>
                <w:r>
                  <w:rPr>
                    <w:szCs w:val="24"/>
                  </w:rPr>
                  <w:t xml:space="preserve">Jei užpildžius klausimyną,  gautų rezultatų suma siekia 12 ir daugiau balų, kūdikio motinai rekomenduojama skubiai kreiptis pagalbos į psichikos sveikatos specialistus, informuojama, kur suteikiama reikalinga pagalba bei, jei    anksčiau nebuvo įteiktas lankstinukas, įteikiamas lankstinukas.</w:t>
                </w:r>
              </w:p>
              <w:p>
                <w:pPr>
                  <w:jc w:val="both"/>
                  <w:rPr>
                    <w:szCs w:val="24"/>
                  </w:rPr>
                </w:pPr>
                <w:r>
                  <w:rPr>
                    <w:szCs w:val="24"/>
                  </w:rPr>
                  <w:t xml:space="preserve">Jei klausimyno gautų rezultatų suma mažiau nei 12 balų,  suteikiama informacija apie pagalbos galimybes būklei pablogėjus bei, jei   anksčiau nebuvo įteiktas lankstinukas,  įteikiamas lankstinukas.</w:t>
                </w:r>
              </w:p>
              <w:p>
                <w:pPr>
                  <w:jc w:val="both"/>
                  <w:rPr>
                    <w:color w:val="000000"/>
                    <w:szCs w:val="24"/>
                  </w:rPr>
                </w:pPr>
                <w:r>
                  <w:rPr>
                    <w:color w:val="000000"/>
                    <w:szCs w:val="24"/>
                  </w:rPr>
                  <w:t>Jei kūdikio motina informuoja, kad jai jau yra teikiama pagalba dėl depresijos po gimdymo, šiame papunktyje nurodyti veiksmai neatliekami bei  ši informacija įrašoma medicinos dokumentuose.</w:t>
                </w:r>
              </w:p>
            </w:tc>
            <w:tc>
              <w:tcPr>
                <w:tcW w:w="1701" w:type="dxa"/>
                <w:vMerge/>
                <w:tcBorders>
                  <w:bottom w:val="single" w:sz="4" w:space="0" w:color="auto"/>
                </w:tcBorders>
              </w:tcPr>
              <w:p>
                <w:pPr>
                  <w:rPr>
                    <w:b/>
                    <w:color w:val="000000"/>
                    <w:szCs w:val="24"/>
                  </w:rPr>
                </w:pPr>
              </w:p>
            </w:tc>
            <w:tc>
              <w:tcPr>
                <w:tcW w:w="1559" w:type="dxa"/>
                <w:vMerge/>
                <w:tcBorders>
                  <w:bottom w:val="single" w:sz="4" w:space="0" w:color="auto"/>
                </w:tcBorders>
              </w:tcPr>
              <w:p>
                <w:pPr>
                  <w:widowControl w:val="0"/>
                  <w:rPr>
                    <w:b/>
                    <w:color w:val="000000"/>
                    <w:szCs w:val="24"/>
                  </w:rPr>
                </w:pPr>
              </w:p>
            </w:tc>
            <w:tc>
              <w:tcPr>
                <w:tcW w:w="1701" w:type="dxa"/>
                <w:vMerge/>
                <w:tcBorders>
                  <w:bottom w:val="single" w:sz="4" w:space="0" w:color="auto"/>
                </w:tcBorders>
              </w:tcPr>
              <w:p>
                <w:pPr>
                  <w:rPr>
                    <w:color w:val="000000"/>
                    <w:szCs w:val="24"/>
                  </w:rPr>
                </w:pPr>
              </w:p>
            </w:tc>
          </w:tr>
          <w:tr>
            <w:trPr>
              <w:trHeight w:val="20"/>
            </w:trPr>
            <w:tc>
              <w:tcPr>
                <w:tcW w:w="568" w:type="dxa"/>
                <w:vMerge/>
              </w:tcPr>
              <w:p>
                <w:pPr>
                  <w:jc w:val="center"/>
                  <w:rPr>
                    <w:color w:val="000000"/>
                    <w:szCs w:val="24"/>
                  </w:rPr>
                </w:pPr>
              </w:p>
            </w:tc>
            <w:tc>
              <w:tcPr>
                <w:tcW w:w="1276" w:type="dxa"/>
                <w:vMerge/>
              </w:tcPr>
              <w:p>
                <w:pPr>
                  <w:jc w:val="center"/>
                  <w:rPr>
                    <w:color w:val="000000"/>
                    <w:szCs w:val="24"/>
                  </w:rPr>
                </w:pPr>
              </w:p>
            </w:tc>
            <w:tc>
              <w:tcPr>
                <w:tcW w:w="1701" w:type="dxa"/>
              </w:tcPr>
              <w:p>
                <w:pPr>
                  <w:rPr>
                    <w:color w:val="000000"/>
                    <w:szCs w:val="24"/>
                  </w:rPr>
                </w:pPr>
                <w:r>
                  <w:rPr>
                    <w:color w:val="000000"/>
                    <w:szCs w:val="24"/>
                  </w:rPr>
                  <w:t xml:space="preserve">7–12 mėn. amžiaus </w:t>
                </w:r>
              </w:p>
              <w:p>
                <w:pPr>
                  <w:rPr>
                    <w:color w:val="000000"/>
                    <w:szCs w:val="24"/>
                  </w:rPr>
                </w:pPr>
                <w:r>
                  <w:rPr>
                    <w:color w:val="000000"/>
                    <w:szCs w:val="24"/>
                  </w:rPr>
                  <w:t>2–3 kartus</w:t>
                </w:r>
              </w:p>
              <w:p>
                <w:pPr>
                  <w:rPr>
                    <w:color w:val="000000"/>
                    <w:szCs w:val="24"/>
                  </w:rPr>
                </w:pPr>
              </w:p>
            </w:tc>
            <w:tc>
              <w:tcPr>
                <w:tcW w:w="2268" w:type="dxa"/>
              </w:tcPr>
              <w:p>
                <w:pPr>
                  <w:rPr>
                    <w:color w:val="000000"/>
                    <w:szCs w:val="24"/>
                  </w:rPr>
                </w:pPr>
                <w:r>
                  <w:rPr>
                    <w:color w:val="000000"/>
                    <w:szCs w:val="24"/>
                  </w:rPr>
                  <w:t>Gydytojas</w:t>
                </w:r>
              </w:p>
              <w:p>
                <w:pPr>
                  <w:rPr>
                    <w:color w:val="000000"/>
                    <w:szCs w:val="24"/>
                  </w:rPr>
                </w:pPr>
              </w:p>
            </w:tc>
            <w:tc>
              <w:tcPr>
                <w:tcW w:w="4536" w:type="dxa"/>
                <w:tcBorders>
                  <w:top w:val="single" w:sz="4" w:space="0" w:color="auto"/>
                  <w:bottom w:val="single" w:sz="4" w:space="0" w:color="auto"/>
                </w:tcBorders>
              </w:tcPr>
              <w:p>
                <w:pPr>
                  <w:rPr>
                    <w:color w:val="000000"/>
                    <w:szCs w:val="24"/>
                  </w:rPr>
                </w:pPr>
                <w:r>
                  <w:rPr>
                    <w:color w:val="000000"/>
                    <w:szCs w:val="24"/>
                  </w:rPr>
                  <w:t xml:space="preserve">2.10. Kiekvieno apsilankymo metu įvertinti  kūdikio sveikatos būklę, atkreipti dėmesį į regėjimo organus</w:t>
                </w:r>
                <w:r>
                  <w:rPr>
                    <w:color w:val="000000"/>
                    <w:szCs w:val="24"/>
                    <w:lang w:val="pl-PL"/>
                  </w:rPr>
                  <w:t xml:space="preserve">, </w:t>
                </w:r>
                <w:r>
                  <w:rPr>
                    <w:color w:val="000000"/>
                    <w:szCs w:val="24"/>
                  </w:rPr>
                  <w:t xml:space="preserve">klubo sąnarių būklę, fizinę būklę pagal atitinkamą ūgio ir svorio kitimo diagramą, nubrėžiant asmeninę augimo kreivę. </w:t>
                </w:r>
              </w:p>
              <w:p>
                <w:pPr>
                  <w:rPr>
                    <w:color w:val="000000"/>
                    <w:szCs w:val="24"/>
                  </w:rPr>
                </w:pPr>
                <w:r>
                  <w:rPr>
                    <w:color w:val="000000"/>
                    <w:szCs w:val="24"/>
                  </w:rPr>
                  <w:t>2.11. Atlikti, patikrinti ir įvertinti:</w:t>
                </w:r>
              </w:p>
              <w:p>
                <w:pPr>
                  <w:rPr>
                    <w:color w:val="000000"/>
                    <w:szCs w:val="24"/>
                  </w:rPr>
                </w:pPr>
                <w:r>
                  <w:rPr>
                    <w:color w:val="000000"/>
                    <w:szCs w:val="24"/>
                  </w:rPr>
                  <w:t xml:space="preserve">2.12. 9 mėn. amžiaus kūdikio psichomotorinę  raidą;</w:t>
                </w:r>
              </w:p>
            </w:tc>
            <w:tc>
              <w:tcPr>
                <w:tcW w:w="1701" w:type="dxa"/>
              </w:tcPr>
              <w:p>
                <w:pPr>
                  <w:rPr>
                    <w:color w:val="000000"/>
                    <w:szCs w:val="24"/>
                  </w:rPr>
                </w:pPr>
                <w:r>
                  <w:rPr>
                    <w:color w:val="000000"/>
                    <w:szCs w:val="24"/>
                  </w:rPr>
                  <w:t xml:space="preserve">9–11 mėn. amžiaus </w:t>
                </w:r>
              </w:p>
              <w:p>
                <w:pPr>
                  <w:rPr>
                    <w:color w:val="000000"/>
                    <w:szCs w:val="24"/>
                  </w:rPr>
                </w:pPr>
                <w:r>
                  <w:rPr>
                    <w:color w:val="000000"/>
                    <w:szCs w:val="24"/>
                  </w:rPr>
                  <w:t xml:space="preserve">1 kartą </w:t>
                </w:r>
              </w:p>
              <w:p>
                <w:pPr>
                  <w:rPr>
                    <w:color w:val="000000"/>
                    <w:szCs w:val="24"/>
                  </w:rPr>
                </w:pPr>
              </w:p>
            </w:tc>
            <w:tc>
              <w:tcPr>
                <w:tcW w:w="1559" w:type="dxa"/>
              </w:tcPr>
              <w:p>
                <w:pPr>
                  <w:widowControl w:val="0"/>
                  <w:rPr>
                    <w:color w:val="000000"/>
                    <w:szCs w:val="24"/>
                  </w:rPr>
                </w:pPr>
                <w:r>
                  <w:rPr>
                    <w:color w:val="000000"/>
                    <w:szCs w:val="24"/>
                  </w:rPr>
                  <w:t>Vaikų ligų gydytojas</w:t>
                </w:r>
              </w:p>
            </w:tc>
            <w:tc>
              <w:tcPr>
                <w:tcW w:w="1701" w:type="dxa"/>
              </w:tcPr>
              <w:p>
                <w:pPr>
                  <w:rPr>
                    <w:color w:val="000000"/>
                    <w:szCs w:val="24"/>
                  </w:rPr>
                </w:pPr>
                <w:r>
                  <w:rPr>
                    <w:color w:val="000000"/>
                    <w:szCs w:val="24"/>
                  </w:rPr>
                  <w:t>Nustatyti ir įvertinti rizikos sveikatai veiksnius.</w:t>
                </w:r>
              </w:p>
              <w:p>
                <w:pPr>
                  <w:rPr>
                    <w:color w:val="000000"/>
                    <w:szCs w:val="24"/>
                  </w:rPr>
                </w:pPr>
                <w:r>
                  <w:rPr>
                    <w:color w:val="000000"/>
                    <w:szCs w:val="24"/>
                  </w:rPr>
                  <w:t>Esant indikacijų, paskirti kitų gydytojų specialistų profilakti-nius patikrinimus.</w:t>
                </w:r>
              </w:p>
            </w:tc>
          </w:tr>
          <w:tr>
            <w:trPr>
              <w:trHeight w:val="20"/>
            </w:trPr>
            <w:tc>
              <w:tcPr>
                <w:tcW w:w="568" w:type="dxa"/>
                <w:vMerge/>
              </w:tcPr>
              <w:p>
                <w:pPr>
                  <w:jc w:val="center"/>
                  <w:rPr>
                    <w:color w:val="000000"/>
                    <w:szCs w:val="24"/>
                  </w:rPr>
                </w:pPr>
              </w:p>
            </w:tc>
            <w:tc>
              <w:tcPr>
                <w:tcW w:w="1276" w:type="dxa"/>
                <w:vMerge/>
              </w:tcPr>
              <w:p>
                <w:pPr>
                  <w:jc w:val="center"/>
                  <w:rPr>
                    <w:color w:val="000000"/>
                    <w:szCs w:val="24"/>
                  </w:rPr>
                </w:pPr>
              </w:p>
            </w:tc>
            <w:tc>
              <w:tcPr>
                <w:tcW w:w="1701" w:type="dxa"/>
              </w:tcPr>
              <w:p>
                <w:pPr>
                  <w:rPr>
                    <w:color w:val="000000"/>
                    <w:szCs w:val="24"/>
                  </w:rPr>
                </w:pPr>
                <w:r>
                  <w:rPr>
                    <w:color w:val="000000"/>
                    <w:szCs w:val="24"/>
                  </w:rPr>
                  <w:t xml:space="preserve">9–12 mėn. amžiaus 1 kartą </w:t>
                </w:r>
              </w:p>
            </w:tc>
            <w:tc>
              <w:tcPr>
                <w:tcW w:w="2268" w:type="dxa"/>
              </w:tcPr>
              <w:p>
                <w:pPr>
                  <w:rPr>
                    <w:color w:val="000000"/>
                    <w:szCs w:val="24"/>
                  </w:rPr>
                </w:pPr>
                <w:r>
                  <w:rPr>
                    <w:color w:val="000000"/>
                    <w:szCs w:val="24"/>
                  </w:rPr>
                  <w:t xml:space="preserve">Gydytojas </w:t>
                </w:r>
              </w:p>
            </w:tc>
            <w:tc>
              <w:tcPr>
                <w:tcW w:w="4536" w:type="dxa"/>
                <w:tcBorders>
                  <w:top w:val="single" w:sz="4" w:space="0" w:color="auto"/>
                  <w:bottom w:val="single" w:sz="4" w:space="0" w:color="auto"/>
                </w:tcBorders>
              </w:tcPr>
              <w:p>
                <w:pPr>
                  <w:rPr>
                    <w:color w:val="000000"/>
                    <w:szCs w:val="24"/>
                  </w:rPr>
                </w:pPr>
                <w:r>
                  <w:rPr>
                    <w:color w:val="000000"/>
                    <w:szCs w:val="24"/>
                  </w:rPr>
                  <w:t xml:space="preserve">2.13. bendrą kraujo tyrimą. </w:t>
                </w:r>
              </w:p>
            </w:tc>
            <w:tc>
              <w:tcPr>
                <w:tcW w:w="1701" w:type="dxa"/>
                <w:vMerge w:val="restart"/>
              </w:tcPr>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tc>
            <w:tc>
              <w:tcPr>
                <w:tcW w:w="1559" w:type="dxa"/>
                <w:vMerge w:val="restart"/>
              </w:tcPr>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rPr>
                    <w:color w:val="000000"/>
                    <w:szCs w:val="24"/>
                    <w:lang w:val="pl-PL"/>
                  </w:rPr>
                </w:pPr>
              </w:p>
              <w:p>
                <w:pPr>
                  <w:rPr>
                    <w:color w:val="000000"/>
                    <w:szCs w:val="24"/>
                  </w:rPr>
                </w:pPr>
              </w:p>
              <w:p>
                <w:pPr>
                  <w:rPr>
                    <w:color w:val="000000"/>
                    <w:szCs w:val="24"/>
                  </w:rPr>
                </w:pPr>
              </w:p>
            </w:tc>
            <w:tc>
              <w:tcPr>
                <w:tcW w:w="1701" w:type="dxa"/>
                <w:vMerge w:val="restart"/>
              </w:tcPr>
              <w:p>
                <w:pPr>
                  <w:rPr>
                    <w:color w:val="000000"/>
                    <w:szCs w:val="24"/>
                  </w:rPr>
                </w:pPr>
              </w:p>
              <w:p>
                <w:pPr>
                  <w:rPr>
                    <w:color w:val="000000"/>
                    <w:szCs w:val="24"/>
                  </w:rPr>
                </w:pPr>
              </w:p>
              <w:p>
                <w:pPr>
                  <w:rPr>
                    <w:color w:val="000000"/>
                    <w:szCs w:val="24"/>
                  </w:rPr>
                </w:pPr>
              </w:p>
            </w:tc>
          </w:tr>
          <w:tr>
            <w:trPr>
              <w:trHeight w:val="3826"/>
            </w:trPr>
            <w:tc>
              <w:tcPr>
                <w:tcW w:w="568" w:type="dxa"/>
                <w:vMerge/>
              </w:tcPr>
              <w:p>
                <w:pPr>
                  <w:jc w:val="center"/>
                  <w:rPr>
                    <w:color w:val="000000"/>
                    <w:szCs w:val="24"/>
                  </w:rPr>
                </w:pPr>
              </w:p>
            </w:tc>
            <w:tc>
              <w:tcPr>
                <w:tcW w:w="1276" w:type="dxa"/>
                <w:vMerge/>
              </w:tcPr>
              <w:p>
                <w:pPr>
                  <w:jc w:val="center"/>
                  <w:rPr>
                    <w:color w:val="000000"/>
                    <w:szCs w:val="24"/>
                  </w:rPr>
                </w:pPr>
              </w:p>
            </w:tc>
            <w:tc>
              <w:tcPr>
                <w:tcW w:w="1701" w:type="dxa"/>
              </w:tcPr>
              <w:p>
                <w:pPr>
                  <w:rPr>
                    <w:color w:val="000000"/>
                    <w:szCs w:val="24"/>
                  </w:rPr>
                </w:pPr>
                <w:r>
                  <w:rPr>
                    <w:color w:val="000000"/>
                    <w:szCs w:val="24"/>
                  </w:rPr>
                  <w:t xml:space="preserve">7–12 mėn. amžiaus </w:t>
                </w:r>
              </w:p>
              <w:p>
                <w:pPr>
                  <w:rPr>
                    <w:color w:val="000000"/>
                    <w:szCs w:val="24"/>
                  </w:rPr>
                </w:pPr>
                <w:r>
                  <w:rPr>
                    <w:color w:val="000000"/>
                    <w:szCs w:val="24"/>
                  </w:rPr>
                  <w:t>2–3 kartus</w:t>
                </w:r>
              </w:p>
              <w:p>
                <w:pPr>
                  <w:rPr>
                    <w:color w:val="000000"/>
                    <w:szCs w:val="24"/>
                  </w:rPr>
                </w:pPr>
              </w:p>
              <w:p>
                <w:pPr>
                  <w:rPr>
                    <w:color w:val="000000"/>
                    <w:szCs w:val="24"/>
                  </w:rPr>
                </w:pPr>
              </w:p>
            </w:tc>
            <w:tc>
              <w:tcPr>
                <w:tcW w:w="2268" w:type="dxa"/>
              </w:tcPr>
              <w:p>
                <w:pPr>
                  <w:widowControl w:val="0"/>
                  <w:rPr>
                    <w:color w:val="000000"/>
                    <w:szCs w:val="24"/>
                  </w:rPr>
                </w:pPr>
                <w:r>
                  <w:rPr>
                    <w:color w:val="000000"/>
                    <w:szCs w:val="24"/>
                  </w:rPr>
                  <w:t>Slaugytojas</w:t>
                </w:r>
              </w:p>
            </w:tc>
            <w:tc>
              <w:tcPr>
                <w:tcW w:w="4536" w:type="dxa"/>
                <w:tcBorders>
                  <w:top w:val="single" w:sz="4" w:space="0" w:color="auto"/>
                  <w:bottom w:val="single" w:sz="4" w:space="0" w:color="auto"/>
                </w:tcBorders>
              </w:tcPr>
              <w:p>
                <w:pPr>
                  <w:jc w:val="both"/>
                  <w:rPr>
                    <w:color w:val="000000"/>
                    <w:szCs w:val="24"/>
                  </w:rPr>
                </w:pPr>
                <w:r>
                  <w:rPr>
                    <w:color w:val="000000"/>
                    <w:szCs w:val="24"/>
                  </w:rPr>
                  <w:t xml:space="preserve">2.14. Kiekvieno apsilankymo metu pamatuoti galvos apimtį, ūgį ir svorį, įrašyti jų kitimą į atitinkamas diagramas bei svorio priklausomybės nuo ūgio kitimo diagramą. </w:t>
                </w:r>
              </w:p>
              <w:p>
                <w:pPr>
                  <w:jc w:val="both"/>
                  <w:rPr>
                    <w:color w:val="000000"/>
                    <w:szCs w:val="24"/>
                  </w:rPr>
                </w:pPr>
                <w:r>
                  <w:rPr>
                    <w:color w:val="000000"/>
                    <w:szCs w:val="24"/>
                  </w:rPr>
                  <w:t xml:space="preserve">2.15. Paaiškinti apie kūdikio aplinkos saugumą. </w:t>
                </w:r>
              </w:p>
              <w:p>
                <w:pPr>
                  <w:jc w:val="both"/>
                  <w:rPr>
                    <w:color w:val="000000"/>
                    <w:szCs w:val="24"/>
                  </w:rPr>
                </w:pPr>
                <w:r>
                  <w:rPr>
                    <w:color w:val="000000"/>
                    <w:szCs w:val="24"/>
                  </w:rPr>
                  <w:t xml:space="preserve">2.16. Padėti formuoti racionalios kūdikio ir šeimos mitybos įgūdžius. </w:t>
                </w:r>
                <w:r>
                  <w:rPr>
                    <w:szCs w:val="24"/>
                  </w:rPr>
                  <w:t>Paaiškinti apie kūdikių maitinimą, papildomo maitinimo įvedimo terminus ir maisto produktus.</w:t>
                </w:r>
              </w:p>
              <w:p>
                <w:pPr>
                  <w:jc w:val="both"/>
                  <w:rPr>
                    <w:color w:val="000000"/>
                    <w:szCs w:val="24"/>
                  </w:rPr>
                </w:pPr>
                <w:r>
                  <w:rPr>
                    <w:color w:val="000000"/>
                    <w:szCs w:val="24"/>
                  </w:rPr>
                  <w:t>2.17. Informuoti tėvus:</w:t>
                </w:r>
              </w:p>
              <w:p>
                <w:pPr>
                  <w:jc w:val="both"/>
                  <w:rPr>
                    <w:color w:val="000000"/>
                    <w:szCs w:val="24"/>
                  </w:rPr>
                </w:pPr>
                <w:r>
                  <w:rPr>
                    <w:color w:val="000000"/>
                    <w:szCs w:val="24"/>
                  </w:rPr>
                  <w:t>2.17.1. apie ligų ir traumų, nudegimų, prievartos profilaktiką, imunoprofilaktiką;</w:t>
                </w:r>
              </w:p>
              <w:p>
                <w:pPr>
                  <w:jc w:val="both"/>
                  <w:rPr>
                    <w:color w:val="000000"/>
                    <w:szCs w:val="24"/>
                  </w:rPr>
                </w:pPr>
                <w:r>
                  <w:rPr>
                    <w:color w:val="000000"/>
                    <w:szCs w:val="24"/>
                  </w:rPr>
                  <w:t>2.17.2. apie dantų ėduonies profilaktiką ir pamokyti burnos higienos pagrindų – išdygus pirmajam dančiui mokyti jį valyti.</w:t>
                </w:r>
              </w:p>
              <w:p>
                <w:pPr>
                  <w:jc w:val="both"/>
                  <w:rPr>
                    <w:color w:val="000000"/>
                    <w:szCs w:val="24"/>
                  </w:rPr>
                </w:pPr>
                <w:r>
                  <w:rPr>
                    <w:color w:val="000000"/>
                    <w:szCs w:val="24"/>
                  </w:rPr>
                  <w:t>2.18. Kiekvieno apsilankymo metu pasiteirauti kūdikio motinos ar lydinčio asmens apie kūdikio motinos emocinę sveikatą užduodant šiuos klausimus:</w:t>
                </w:r>
              </w:p>
              <w:p>
                <w:pPr>
                  <w:jc w:val="both"/>
                  <w:rPr>
                    <w:color w:val="000000"/>
                    <w:szCs w:val="24"/>
                  </w:rPr>
                </w:pPr>
                <w:r>
                  <w:rPr>
                    <w:color w:val="000000"/>
                    <w:szCs w:val="24"/>
                  </w:rPr>
                  <w:t xml:space="preserve">2.18.1. Ar per pastarąjį mėnesį Jus </w:t>
                </w:r>
                <w:r>
                  <w:rPr>
                    <w:szCs w:val="24"/>
                  </w:rPr>
                  <w:t xml:space="preserve">(kūdikio motiną) </w:t>
                </w:r>
                <w:r>
                  <w:rPr>
                    <w:color w:val="000000"/>
                    <w:szCs w:val="24"/>
                  </w:rPr>
                  <w:t xml:space="preserve">dažnai vargino prislėgta, depresiška, nevilties nuotaika? </w:t>
                </w:r>
              </w:p>
              <w:p>
                <w:pPr>
                  <w:keepNext/>
                  <w:keepLines/>
                  <w:jc w:val="both"/>
                  <w:rPr>
                    <w:szCs w:val="24"/>
                  </w:rPr>
                </w:pPr>
                <w:r>
                  <w:rPr>
                    <w:szCs w:val="24"/>
                  </w:rPr>
                  <w:t xml:space="preserve">2.18.2. Ar per pastarąjį mėnesį Jus (kūdikio motiną) dažnai vargino menkas susidomėjimas ir mėgavimasis ką nors veikiant? </w:t>
                </w:r>
              </w:p>
              <w:p>
                <w:pPr>
                  <w:keepNext/>
                  <w:keepLines/>
                  <w:jc w:val="both"/>
                  <w:rPr>
                    <w:szCs w:val="24"/>
                  </w:rPr>
                </w:pPr>
                <w:r>
                  <w:rPr>
                    <w:szCs w:val="24"/>
                  </w:rPr>
                  <w:t>Jei kūdikio motina teigiamai atsako bent į vieną iš šių klausimų, jai pateikiamas užpildyti klausimynas arba jis užpildomas kartu su kūdikio motina. Jei lydintis asmuo teigiamai atsako bent į vieną iš šių klausimų, jam / jai pateikiamas klausimynas, kurį paprašoma perduoti užpildyti kūdikio motinai bei paaiškinama, kokią balų sumą surinkus kūdikio motinai reikėtų skubiai kreiptis pagalbos į psichikos sveikatos specialistus.</w:t>
                </w:r>
              </w:p>
              <w:p>
                <w:pPr>
                  <w:keepNext/>
                  <w:keepLines/>
                  <w:jc w:val="both"/>
                  <w:rPr>
                    <w:szCs w:val="24"/>
                  </w:rPr>
                </w:pPr>
                <w:r>
                  <w:rPr>
                    <w:szCs w:val="24"/>
                  </w:rPr>
                  <w:t xml:space="preserve">Jei užpildžius klausimyną,  gautų rezultatų suma siekia 12 ir daugiau balų, kūdikio motinai rekomenduojama skubiai kreiptis pagalbos į psichikos sveikatos specialistus, informuojama, kur suteikiama</w:t>
                </w:r>
              </w:p>
              <w:p>
                <w:pPr>
                  <w:keepNext/>
                  <w:keepLines/>
                  <w:jc w:val="both"/>
                  <w:rPr>
                    <w:szCs w:val="24"/>
                  </w:rPr>
                </w:pPr>
                <w:r>
                  <w:rPr>
                    <w:szCs w:val="24"/>
                  </w:rPr>
                  <w:t xml:space="preserve">reikalinga pagalba bei, jei    anksčiau nebuvo įteiktas lankstinukas, įteikiamas lankstinukas.</w:t>
                </w:r>
              </w:p>
              <w:p>
                <w:pPr>
                  <w:keepNext/>
                  <w:keepLines/>
                  <w:jc w:val="both"/>
                  <w:rPr>
                    <w:szCs w:val="24"/>
                  </w:rPr>
                </w:pPr>
                <w:r>
                  <w:rPr>
                    <w:szCs w:val="24"/>
                  </w:rPr>
                  <w:t xml:space="preserve">Jei klausimyno gautų rezultatų suma mažiau nei 12 balų,  suteikiama informacija apie pagalbos galimybes būklei pablogėjus bei, jei   anksčiau nebuvo įteiktas lankstinukas,  įteikiamas lankstinukas. </w:t>
                </w:r>
              </w:p>
              <w:p>
                <w:pPr>
                  <w:keepNext/>
                  <w:keepLines/>
                  <w:jc w:val="both"/>
                  <w:rPr>
                    <w:szCs w:val="24"/>
                  </w:rPr>
                </w:pPr>
                <w:r>
                  <w:rPr>
                    <w:szCs w:val="24"/>
                  </w:rPr>
                  <w:t>Jei kūdikio motina informuoja, kad jai jau yra teikiama pagalba dėl depresijos po gimdymo, šiame papunktyje nurodyti veiksmai neatliekami bei  ši informacija įrašoma medicinos dokumentuose.</w:t>
                </w:r>
              </w:p>
            </w:tc>
            <w:tc>
              <w:tcPr>
                <w:tcW w:w="1701" w:type="dxa"/>
                <w:vMerge/>
                <w:tcBorders>
                  <w:bottom w:val="single" w:sz="4" w:space="0" w:color="auto"/>
                </w:tcBorders>
              </w:tcPr>
              <w:p>
                <w:pPr>
                  <w:rPr>
                    <w:color w:val="000000"/>
                    <w:szCs w:val="24"/>
                  </w:rPr>
                </w:pPr>
              </w:p>
            </w:tc>
            <w:tc>
              <w:tcPr>
                <w:tcW w:w="1559" w:type="dxa"/>
                <w:vMerge/>
                <w:tcBorders>
                  <w:bottom w:val="single" w:sz="4" w:space="0" w:color="auto"/>
                </w:tcBorders>
              </w:tcPr>
              <w:p>
                <w:pPr>
                  <w:rPr>
                    <w:color w:val="000000"/>
                    <w:szCs w:val="24"/>
                  </w:rPr>
                </w:pPr>
              </w:p>
            </w:tc>
            <w:tc>
              <w:tcPr>
                <w:tcW w:w="1701" w:type="dxa"/>
                <w:vMerge/>
              </w:tcPr>
              <w:p>
                <w:pPr>
                  <w:rPr>
                    <w:color w:val="000000"/>
                    <w:szCs w:val="24"/>
                  </w:rPr>
                </w:pPr>
              </w:p>
            </w:tc>
          </w:tr>
          <w:tr>
            <w:trPr>
              <w:trHeight w:val="2113"/>
            </w:trPr>
            <w:tc>
              <w:tcPr>
                <w:tcW w:w="568" w:type="dxa"/>
                <w:vMerge w:val="restart"/>
              </w:tcPr>
              <w:p>
                <w:pPr>
                  <w:jc w:val="both"/>
                  <w:rPr>
                    <w:color w:val="000000"/>
                    <w:szCs w:val="24"/>
                  </w:rPr>
                </w:pPr>
                <w:r>
                  <w:rPr>
                    <w:color w:val="000000"/>
                    <w:szCs w:val="24"/>
                  </w:rPr>
                  <w:t>3.</w:t>
                </w: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both"/>
                  <w:rPr>
                    <w:color w:val="000000"/>
                    <w:szCs w:val="24"/>
                  </w:rPr>
                </w:pPr>
              </w:p>
            </w:tc>
            <w:tc>
              <w:tcPr>
                <w:tcW w:w="1276" w:type="dxa"/>
                <w:vMerge w:val="restart"/>
              </w:tcPr>
              <w:p>
                <w:pPr>
                  <w:rPr>
                    <w:color w:val="000000"/>
                    <w:szCs w:val="24"/>
                  </w:rPr>
                </w:pPr>
                <w:r>
                  <w:rPr>
                    <w:color w:val="000000"/>
                    <w:szCs w:val="24"/>
                  </w:rPr>
                  <w:t xml:space="preserve">Ankstyvojo amžiaus vaikas </w:t>
                </w: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tc>
            <w:tc>
              <w:tcPr>
                <w:tcW w:w="1701" w:type="dxa"/>
                <w:tcBorders>
                  <w:bottom w:val="single" w:sz="4" w:space="0" w:color="auto"/>
                </w:tcBorders>
              </w:tcPr>
              <w:p>
                <w:pPr>
                  <w:rPr>
                    <w:color w:val="000000"/>
                    <w:szCs w:val="24"/>
                  </w:rPr>
                </w:pPr>
                <w:r>
                  <w:rPr>
                    <w:color w:val="000000"/>
                    <w:szCs w:val="24"/>
                  </w:rPr>
                  <w:t>1 kartą per metus</w:t>
                </w: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ind w:firstLine="60"/>
                  <w:rPr>
                    <w:color w:val="000000"/>
                    <w:szCs w:val="24"/>
                  </w:rPr>
                </w:pPr>
              </w:p>
            </w:tc>
            <w:tc>
              <w:tcPr>
                <w:tcW w:w="2268" w:type="dxa"/>
              </w:tcPr>
              <w:p>
                <w:pPr>
                  <w:widowControl w:val="0"/>
                  <w:rPr>
                    <w:color w:val="000000"/>
                    <w:szCs w:val="24"/>
                  </w:rPr>
                </w:pPr>
                <w:r>
                  <w:rPr>
                    <w:color w:val="000000"/>
                    <w:szCs w:val="24"/>
                  </w:rPr>
                  <w:t>Gydytojas</w:t>
                </w:r>
              </w:p>
            </w:tc>
            <w:tc>
              <w:tcPr>
                <w:tcW w:w="4536" w:type="dxa"/>
                <w:tcBorders>
                  <w:top w:val="single" w:sz="4" w:space="0" w:color="auto"/>
                </w:tcBorders>
              </w:tcPr>
              <w:p>
                <w:pPr>
                  <w:rPr>
                    <w:color w:val="000000"/>
                    <w:szCs w:val="24"/>
                  </w:rPr>
                </w:pPr>
                <w:r>
                  <w:rPr>
                    <w:color w:val="000000"/>
                    <w:szCs w:val="24"/>
                  </w:rPr>
                  <w:t>3.1. Kiekvieno apsilankymo metu įvertinti:</w:t>
                </w:r>
              </w:p>
              <w:p>
                <w:pPr>
                  <w:rPr>
                    <w:color w:val="000000"/>
                    <w:szCs w:val="24"/>
                  </w:rPr>
                </w:pPr>
                <w:r>
                  <w:rPr>
                    <w:color w:val="000000"/>
                    <w:szCs w:val="24"/>
                  </w:rPr>
                  <w:t>3.1.1. vaiko sveikatos būklę;</w:t>
                </w:r>
              </w:p>
              <w:p>
                <w:pPr>
                  <w:rPr>
                    <w:color w:val="000000"/>
                    <w:szCs w:val="24"/>
                  </w:rPr>
                </w:pPr>
                <w:r>
                  <w:rPr>
                    <w:color w:val="000000"/>
                    <w:szCs w:val="24"/>
                  </w:rPr>
                  <w:t xml:space="preserve">3.1.2. fizinę būklę pagal galvos apimties bei  svorio priklausomybės nuo ūgio kitimo diagramas pagal lytį nuo gimimo iki 2 metų, o nuo 2 metų amžiaus – pagal asmenines svorio priklausomybės nuo ūgio kitimo kreives pagal lytį;</w:t>
                </w:r>
              </w:p>
              <w:p>
                <w:pPr>
                  <w:rPr>
                    <w:color w:val="000000"/>
                    <w:szCs w:val="24"/>
                  </w:rPr>
                </w:pPr>
                <w:r>
                  <w:rPr>
                    <w:color w:val="000000"/>
                    <w:szCs w:val="24"/>
                  </w:rPr>
                  <w:t>3.1.3. regėjimą;</w:t>
                </w:r>
              </w:p>
              <w:p>
                <w:pPr>
                  <w:rPr>
                    <w:color w:val="000000"/>
                    <w:szCs w:val="24"/>
                  </w:rPr>
                </w:pPr>
                <w:r>
                  <w:rPr>
                    <w:color w:val="000000"/>
                    <w:szCs w:val="24"/>
                  </w:rPr>
                  <w:t>3.1.4. atramos judamąjį aparatą;</w:t>
                </w:r>
              </w:p>
              <w:p>
                <w:pPr>
                  <w:rPr>
                    <w:color w:val="000000"/>
                    <w:szCs w:val="24"/>
                  </w:rPr>
                </w:pPr>
                <w:r>
                  <w:rPr>
                    <w:color w:val="000000"/>
                    <w:szCs w:val="24"/>
                  </w:rPr>
                  <w:t>3.1.5. klausą.</w:t>
                </w:r>
              </w:p>
              <w:p>
                <w:pPr>
                  <w:rPr>
                    <w:color w:val="000000"/>
                    <w:szCs w:val="24"/>
                  </w:rPr>
                </w:pPr>
                <w:r>
                  <w:rPr>
                    <w:color w:val="000000"/>
                    <w:szCs w:val="24"/>
                  </w:rPr>
                  <w:t>3.2. Atlikti, patikrinti ir įvertinti:</w:t>
                </w:r>
              </w:p>
              <w:p>
                <w:pPr>
                  <w:rPr>
                    <w:color w:val="000000"/>
                    <w:szCs w:val="24"/>
                  </w:rPr>
                </w:pPr>
                <w:r>
                  <w:rPr>
                    <w:color w:val="000000"/>
                    <w:szCs w:val="24"/>
                  </w:rPr>
                  <w:t xml:space="preserve">3.2.1. 12 mėn.; 18 mėn.; 24 mėn.; 36 mėn.;  48 mėn. amžiaus vaiko psichomotorinę raidą;</w:t>
                </w:r>
              </w:p>
              <w:p>
                <w:pPr>
                  <w:rPr>
                    <w:color w:val="000000"/>
                    <w:szCs w:val="24"/>
                  </w:rPr>
                </w:pPr>
                <w:r>
                  <w:rPr>
                    <w:color w:val="000000"/>
                    <w:szCs w:val="24"/>
                  </w:rPr>
                  <w:t xml:space="preserve">3.2.2. arterinį kraujo spaudimą (toliau – AKS) iki 3 metų amžiaus – rizikos grupių vaikams:  neišnešiotiems, jei naujagimio svoris buvo mažesnis negu 1500 g, kuriems buvo kateterizuota bambos vena, turintiems įgimtą širdies ydą,  sergantiems inkstų ligomis, esant padidėjusiam intrakranijiniam spaudimui, po širdies ar kepenų transplantacijos, o n</w:t>
                </w:r>
                <w:r>
                  <w:rPr>
                    <w:color w:val="000000"/>
                    <w:szCs w:val="24"/>
                    <w:lang w:val="pl-PL"/>
                  </w:rPr>
                  <w:t xml:space="preserve">uo 3 metų amžiaus </w:t>
                </w:r>
                <w:r>
                  <w:rPr>
                    <w:color w:val="000000"/>
                    <w:szCs w:val="24"/>
                  </w:rPr>
                  <w:t>– visiems vaikams kiekvieno apsilankymo metu;</w:t>
                </w:r>
              </w:p>
            </w:tc>
            <w:tc>
              <w:tcPr>
                <w:tcW w:w="1701" w:type="dxa"/>
                <w:vMerge w:val="restart"/>
              </w:tcPr>
              <w:p>
                <w:pPr>
                  <w:rPr>
                    <w:color w:val="000000"/>
                    <w:szCs w:val="24"/>
                  </w:rPr>
                </w:pPr>
                <w:r>
                  <w:rPr>
                    <w:color w:val="000000"/>
                    <w:szCs w:val="24"/>
                  </w:rPr>
                  <w:t>1–3 metų amžiaus 1 kartą</w:t>
                </w: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tc>
            <w:tc>
              <w:tcPr>
                <w:tcW w:w="1559" w:type="dxa"/>
                <w:vMerge w:val="restart"/>
              </w:tcPr>
              <w:p>
                <w:pPr>
                  <w:widowControl w:val="0"/>
                  <w:rPr>
                    <w:color w:val="000000"/>
                    <w:szCs w:val="24"/>
                  </w:rPr>
                </w:pPr>
                <w:r>
                  <w:rPr>
                    <w:color w:val="000000"/>
                    <w:szCs w:val="24"/>
                  </w:rPr>
                  <w:t>Gydytojas oftalmologas</w:t>
                </w: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r>
                  <w:rPr>
                    <w:color w:val="000000"/>
                    <w:szCs w:val="24"/>
                  </w:rPr>
                  <w:t xml:space="preserve">Vaikų ligų gydytojas  </w:t>
                </w: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tc>
            <w:tc>
              <w:tcPr>
                <w:tcW w:w="1701" w:type="dxa"/>
                <w:vMerge w:val="restart"/>
              </w:tcPr>
              <w:p>
                <w:pPr>
                  <w:rPr>
                    <w:color w:val="000000"/>
                    <w:szCs w:val="24"/>
                  </w:rPr>
                </w:pPr>
                <w:r>
                  <w:rPr>
                    <w:color w:val="000000"/>
                    <w:szCs w:val="24"/>
                  </w:rPr>
                  <w:t>Įvertinti refrakciją, regėjimą (žvairumas, astigmatizmas, įgimtos anomalijos).</w:t>
                </w:r>
              </w:p>
              <w:p>
                <w:pPr>
                  <w:rPr>
                    <w:color w:val="000000"/>
                    <w:szCs w:val="24"/>
                  </w:rPr>
                </w:pPr>
                <w:r>
                  <w:rPr>
                    <w:color w:val="000000"/>
                    <w:szCs w:val="24"/>
                  </w:rPr>
                  <w:t>Nustatyti ir įvertinti rizikos sveikatai veiksnius.</w:t>
                </w:r>
              </w:p>
              <w:p>
                <w:pPr>
                  <w:rPr>
                    <w:color w:val="000000"/>
                    <w:szCs w:val="24"/>
                  </w:rPr>
                </w:pPr>
                <w:r>
                  <w:rPr>
                    <w:color w:val="000000"/>
                    <w:szCs w:val="24"/>
                  </w:rPr>
                  <w:t>Esant indikacijų, paskirti kitų gydytojų specialistų profilaktinius patikrinimus.</w:t>
                </w:r>
              </w:p>
            </w:tc>
          </w:tr>
          <w:tr>
            <w:trPr>
              <w:trHeight w:val="864"/>
            </w:trPr>
            <w:tc>
              <w:tcPr>
                <w:tcW w:w="568" w:type="dxa"/>
                <w:vMerge/>
              </w:tcPr>
              <w:p>
                <w:pPr>
                  <w:jc w:val="both"/>
                  <w:rPr>
                    <w:color w:val="000000"/>
                    <w:szCs w:val="24"/>
                  </w:rPr>
                </w:pPr>
              </w:p>
            </w:tc>
            <w:tc>
              <w:tcPr>
                <w:tcW w:w="1276" w:type="dxa"/>
                <w:vMerge/>
              </w:tcPr>
              <w:p>
                <w:pPr>
                  <w:rPr>
                    <w:color w:val="000000"/>
                    <w:szCs w:val="24"/>
                  </w:rPr>
                </w:pPr>
              </w:p>
            </w:tc>
            <w:tc>
              <w:tcPr>
                <w:tcW w:w="1701" w:type="dxa"/>
                <w:tcBorders>
                  <w:bottom w:val="single" w:sz="4" w:space="0" w:color="auto"/>
                </w:tcBorders>
              </w:tcPr>
              <w:p>
                <w:pPr>
                  <w:rPr>
                    <w:color w:val="000000"/>
                    <w:szCs w:val="24"/>
                  </w:rPr>
                </w:pPr>
                <w:r>
                  <w:rPr>
                    <w:color w:val="000000"/>
                    <w:szCs w:val="24"/>
                  </w:rPr>
                  <w:t>12–18 mėn. amžiaus</w:t>
                </w:r>
              </w:p>
              <w:p>
                <w:pPr>
                  <w:rPr>
                    <w:color w:val="000000"/>
                    <w:szCs w:val="24"/>
                  </w:rPr>
                </w:pPr>
                <w:r>
                  <w:rPr>
                    <w:color w:val="000000"/>
                    <w:szCs w:val="24"/>
                  </w:rPr>
                  <w:t>1 kartą</w:t>
                </w:r>
              </w:p>
            </w:tc>
            <w:tc>
              <w:tcPr>
                <w:tcW w:w="2268" w:type="dxa"/>
              </w:tcPr>
              <w:p>
                <w:pPr>
                  <w:widowControl w:val="0"/>
                  <w:rPr>
                    <w:color w:val="000000"/>
                    <w:szCs w:val="24"/>
                  </w:rPr>
                </w:pPr>
                <w:r>
                  <w:rPr>
                    <w:color w:val="000000"/>
                    <w:szCs w:val="24"/>
                  </w:rPr>
                  <w:t xml:space="preserve">Gydytojas </w:t>
                </w:r>
              </w:p>
            </w:tc>
            <w:tc>
              <w:tcPr>
                <w:tcW w:w="4536" w:type="dxa"/>
              </w:tcPr>
              <w:p>
                <w:pPr>
                  <w:rPr>
                    <w:color w:val="000000"/>
                    <w:szCs w:val="24"/>
                  </w:rPr>
                </w:pPr>
                <w:r>
                  <w:rPr>
                    <w:color w:val="000000"/>
                    <w:szCs w:val="24"/>
                    <w:lang w:val="pl-PL"/>
                  </w:rPr>
                  <w:t>3.2.3. šlapimo tyrimą;</w:t>
                </w:r>
              </w:p>
            </w:tc>
            <w:tc>
              <w:tcPr>
                <w:tcW w:w="1701" w:type="dxa"/>
                <w:vMerge/>
              </w:tcPr>
              <w:p>
                <w:pPr>
                  <w:rPr>
                    <w:color w:val="000000"/>
                    <w:szCs w:val="24"/>
                  </w:rPr>
                </w:pPr>
              </w:p>
            </w:tc>
            <w:tc>
              <w:tcPr>
                <w:tcW w:w="1559" w:type="dxa"/>
                <w:vMerge/>
              </w:tcPr>
              <w:p>
                <w:pPr>
                  <w:widowControl w:val="0"/>
                  <w:rPr>
                    <w:color w:val="000000"/>
                    <w:szCs w:val="24"/>
                  </w:rPr>
                </w:pPr>
              </w:p>
            </w:tc>
            <w:tc>
              <w:tcPr>
                <w:tcW w:w="1701" w:type="dxa"/>
                <w:vMerge/>
              </w:tcPr>
              <w:p>
                <w:pPr>
                  <w:rPr>
                    <w:color w:val="000000"/>
                    <w:szCs w:val="24"/>
                  </w:rPr>
                </w:pPr>
              </w:p>
            </w:tc>
          </w:tr>
          <w:tr>
            <w:trPr>
              <w:trHeight w:val="1941"/>
            </w:trPr>
            <w:tc>
              <w:tcPr>
                <w:tcW w:w="568" w:type="dxa"/>
                <w:vMerge/>
              </w:tcPr>
              <w:p>
                <w:pPr>
                  <w:jc w:val="both"/>
                  <w:rPr>
                    <w:color w:val="000000"/>
                    <w:szCs w:val="24"/>
                  </w:rPr>
                </w:pPr>
              </w:p>
            </w:tc>
            <w:tc>
              <w:tcPr>
                <w:tcW w:w="1276" w:type="dxa"/>
                <w:vMerge/>
              </w:tcPr>
              <w:p>
                <w:pPr>
                  <w:rPr>
                    <w:color w:val="000000"/>
                    <w:szCs w:val="24"/>
                  </w:rPr>
                </w:pPr>
              </w:p>
            </w:tc>
            <w:tc>
              <w:tcPr>
                <w:tcW w:w="1701" w:type="dxa"/>
                <w:tcBorders>
                  <w:bottom w:val="single" w:sz="4" w:space="0" w:color="auto"/>
                </w:tcBorders>
              </w:tcPr>
              <w:p>
                <w:pPr>
                  <w:rPr>
                    <w:color w:val="000000"/>
                    <w:szCs w:val="24"/>
                  </w:rPr>
                </w:pPr>
                <w:r>
                  <w:rPr>
                    <w:color w:val="000000"/>
                    <w:szCs w:val="24"/>
                  </w:rPr>
                  <w:t xml:space="preserve">15–18 mėn. amžiaus </w:t>
                </w:r>
              </w:p>
              <w:p>
                <w:pPr>
                  <w:rPr>
                    <w:color w:val="000000"/>
                    <w:szCs w:val="24"/>
                  </w:rPr>
                </w:pPr>
                <w:r>
                  <w:rPr>
                    <w:color w:val="000000"/>
                    <w:szCs w:val="24"/>
                  </w:rPr>
                  <w:t>1 kartą</w:t>
                </w:r>
              </w:p>
              <w:p>
                <w:pPr>
                  <w:rPr>
                    <w:color w:val="000000"/>
                    <w:szCs w:val="24"/>
                  </w:rPr>
                </w:pPr>
              </w:p>
            </w:tc>
            <w:tc>
              <w:tcPr>
                <w:tcW w:w="2268" w:type="dxa"/>
                <w:tcBorders>
                  <w:bottom w:val="single" w:sz="4" w:space="0" w:color="auto"/>
                </w:tcBorders>
              </w:tcPr>
              <w:p>
                <w:pPr>
                  <w:rPr>
                    <w:color w:val="000000"/>
                    <w:szCs w:val="24"/>
                  </w:rPr>
                </w:pPr>
                <w:r>
                  <w:rPr>
                    <w:color w:val="000000"/>
                    <w:szCs w:val="24"/>
                  </w:rPr>
                  <w:t xml:space="preserve">Gydytojas </w:t>
                </w:r>
              </w:p>
              <w:p>
                <w:pPr>
                  <w:widowControl w:val="0"/>
                  <w:rPr>
                    <w:color w:val="000000"/>
                    <w:szCs w:val="24"/>
                  </w:rPr>
                </w:pPr>
              </w:p>
            </w:tc>
            <w:tc>
              <w:tcPr>
                <w:tcW w:w="4536" w:type="dxa"/>
                <w:tcBorders>
                  <w:bottom w:val="single" w:sz="4" w:space="0" w:color="auto"/>
                </w:tcBorders>
              </w:tcPr>
              <w:p>
                <w:pPr>
                  <w:rPr>
                    <w:color w:val="000000"/>
                    <w:szCs w:val="24"/>
                    <w:lang w:val="pl-PL"/>
                  </w:rPr>
                </w:pPr>
                <w:r>
                  <w:rPr>
                    <w:color w:val="000000"/>
                    <w:szCs w:val="24"/>
                    <w:lang w:val="pl-PL"/>
                  </w:rPr>
                  <w:t>3.2.4. b</w:t>
                </w:r>
                <w:r>
                  <w:rPr>
                    <w:color w:val="000000"/>
                    <w:szCs w:val="24"/>
                  </w:rPr>
                  <w:t>endrą kraujo tyrimą – 2.3.2 papunktyje nurodytų rizikos grupių vaikams, taip pat tiems, kurių</w:t>
                </w:r>
                <w:r>
                  <w:rPr>
                    <w:color w:val="000000"/>
                    <w:szCs w:val="24"/>
                    <w:lang w:val="pl-PL"/>
                  </w:rPr>
                  <w:t xml:space="preserve"> </w:t>
                </w:r>
                <w:r>
                  <w:rPr>
                    <w:color w:val="000000"/>
                    <w:szCs w:val="24"/>
                  </w:rPr>
                  <w:t xml:space="preserve">racione &gt; 600 ml karvės  / ožkos pieno, </w:t>
                </w:r>
                <w:r>
                  <w:rPr>
                    <w:color w:val="000000"/>
                    <w:szCs w:val="24"/>
                    <w:lang w:val="pl-PL"/>
                  </w:rPr>
                  <w:t xml:space="preserve"> tiems, kurių tėvai vegetarai, tiems, kurie turi specialiųjų sveikatos poreikių (serga lėtinėmis ligomis, dažnai serga, nustatytas neharmoningas augimas).</w:t>
                </w:r>
              </w:p>
            </w:tc>
            <w:tc>
              <w:tcPr>
                <w:tcW w:w="1701" w:type="dxa"/>
                <w:vMerge/>
                <w:tcBorders>
                  <w:bottom w:val="single" w:sz="4" w:space="0" w:color="auto"/>
                </w:tcBorders>
              </w:tcPr>
              <w:p>
                <w:pPr>
                  <w:rPr>
                    <w:color w:val="000000"/>
                    <w:szCs w:val="24"/>
                  </w:rPr>
                </w:pPr>
              </w:p>
            </w:tc>
            <w:tc>
              <w:tcPr>
                <w:tcW w:w="1559" w:type="dxa"/>
                <w:vMerge/>
                <w:tcBorders>
                  <w:bottom w:val="single" w:sz="4" w:space="0" w:color="auto"/>
                </w:tcBorders>
              </w:tcPr>
              <w:p>
                <w:pPr>
                  <w:widowControl w:val="0"/>
                  <w:rPr>
                    <w:color w:val="000000"/>
                    <w:szCs w:val="24"/>
                  </w:rPr>
                </w:pPr>
              </w:p>
            </w:tc>
            <w:tc>
              <w:tcPr>
                <w:tcW w:w="1701" w:type="dxa"/>
                <w:vMerge/>
                <w:tcBorders>
                  <w:bottom w:val="single" w:sz="4" w:space="0" w:color="auto"/>
                </w:tcBorders>
              </w:tcPr>
              <w:p>
                <w:pPr>
                  <w:rPr>
                    <w:color w:val="000000"/>
                    <w:szCs w:val="24"/>
                  </w:rPr>
                </w:pPr>
              </w:p>
            </w:tc>
          </w:tr>
          <w:tr>
            <w:trPr>
              <w:trHeight w:val="20"/>
            </w:trPr>
            <w:tc>
              <w:tcPr>
                <w:tcW w:w="568" w:type="dxa"/>
                <w:vMerge/>
              </w:tcPr>
              <w:p>
                <w:pPr>
                  <w:jc w:val="center"/>
                  <w:rPr>
                    <w:color w:val="000000"/>
                    <w:szCs w:val="24"/>
                  </w:rPr>
                </w:pPr>
              </w:p>
            </w:tc>
            <w:tc>
              <w:tcPr>
                <w:tcW w:w="1276" w:type="dxa"/>
                <w:vMerge/>
              </w:tcPr>
              <w:p>
                <w:pPr>
                  <w:jc w:val="center"/>
                  <w:rPr>
                    <w:color w:val="000000"/>
                    <w:szCs w:val="24"/>
                  </w:rPr>
                </w:pPr>
              </w:p>
            </w:tc>
            <w:tc>
              <w:tcPr>
                <w:tcW w:w="1701" w:type="dxa"/>
              </w:tcPr>
              <w:p>
                <w:pPr>
                  <w:rPr>
                    <w:color w:val="000000"/>
                    <w:szCs w:val="24"/>
                  </w:rPr>
                </w:pPr>
                <w:r>
                  <w:rPr>
                    <w:color w:val="000000"/>
                    <w:szCs w:val="24"/>
                  </w:rPr>
                  <w:t>1 kartą per metus</w:t>
                </w:r>
              </w:p>
              <w:p>
                <w:pPr>
                  <w:rPr>
                    <w:color w:val="000000"/>
                    <w:szCs w:val="24"/>
                  </w:rPr>
                </w:pPr>
              </w:p>
              <w:p>
                <w:pPr>
                  <w:rPr>
                    <w:color w:val="000000"/>
                    <w:szCs w:val="24"/>
                  </w:rPr>
                </w:pPr>
              </w:p>
            </w:tc>
            <w:tc>
              <w:tcPr>
                <w:tcW w:w="2268" w:type="dxa"/>
              </w:tcPr>
              <w:p>
                <w:pPr>
                  <w:rPr>
                    <w:color w:val="000000"/>
                    <w:szCs w:val="24"/>
                  </w:rPr>
                </w:pPr>
                <w:r>
                  <w:rPr>
                    <w:color w:val="000000"/>
                    <w:szCs w:val="24"/>
                  </w:rPr>
                  <w:t>Gydytojas odontologas arba</w:t>
                </w:r>
              </w:p>
              <w:p>
                <w:pPr>
                  <w:rPr>
                    <w:color w:val="000000"/>
                    <w:szCs w:val="24"/>
                  </w:rPr>
                </w:pPr>
                <w:r>
                  <w:rPr>
                    <w:color w:val="000000"/>
                    <w:szCs w:val="24"/>
                  </w:rPr>
                  <w:t>gydytojas odontologas specialistas</w:t>
                </w:r>
              </w:p>
              <w:p>
                <w:pPr>
                  <w:rPr>
                    <w:color w:val="000000"/>
                    <w:szCs w:val="24"/>
                  </w:rPr>
                </w:pPr>
              </w:p>
            </w:tc>
            <w:tc>
              <w:tcPr>
                <w:tcW w:w="4536" w:type="dxa"/>
              </w:tcPr>
              <w:p>
                <w:pPr>
                  <w:rPr>
                    <w:color w:val="000000"/>
                    <w:szCs w:val="24"/>
                  </w:rPr>
                </w:pPr>
                <w:r>
                  <w:rPr>
                    <w:color w:val="000000"/>
                    <w:szCs w:val="24"/>
                  </w:rPr>
                  <w:t>3.3. 1–2 metų amžiaus įvertinti dantų dygimą;</w:t>
                </w:r>
              </w:p>
              <w:p>
                <w:pPr>
                  <w:spacing w:line="480" w:lineRule="auto"/>
                  <w:rPr>
                    <w:color w:val="000000"/>
                    <w:szCs w:val="24"/>
                  </w:rPr>
                </w:pPr>
                <w:r>
                  <w:rPr>
                    <w:color w:val="000000"/>
                    <w:szCs w:val="24"/>
                  </w:rPr>
                  <w:t>3.4. Atlikti ankstyvo dantų ėduonies diagnostiką;</w:t>
                </w:r>
              </w:p>
              <w:p>
                <w:pPr>
                  <w:rPr>
                    <w:sz w:val="10"/>
                    <w:szCs w:val="10"/>
                  </w:rPr>
                </w:pPr>
              </w:p>
              <w:p>
                <w:pPr>
                  <w:rPr>
                    <w:color w:val="000000"/>
                    <w:szCs w:val="24"/>
                  </w:rPr>
                </w:pPr>
                <w:r>
                  <w:rPr>
                    <w:color w:val="000000"/>
                    <w:szCs w:val="24"/>
                  </w:rPr>
                  <w:t>3.5. Įvertinti burnos higienos būklę ir išdygus pirmajam dančiui tėvus mokyti burnos higienos pagrindų.</w:t>
                </w:r>
              </w:p>
            </w:tc>
            <w:tc>
              <w:tcPr>
                <w:tcW w:w="1701" w:type="dxa"/>
                <w:vMerge w:val="restart"/>
              </w:tcPr>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tc>
            <w:tc>
              <w:tcPr>
                <w:tcW w:w="1559" w:type="dxa"/>
                <w:vMerge w:val="restart"/>
              </w:tcPr>
              <w:p>
                <w:pPr>
                  <w:rPr>
                    <w:b/>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tc>
            <w:tc>
              <w:tcPr>
                <w:tcW w:w="1701" w:type="dxa"/>
                <w:vMerge w:val="restart"/>
                <w:tcBorders>
                  <w:tl2br w:val="nil"/>
                  <w:tr2bl w:val="nil"/>
                </w:tcBorders>
              </w:tcPr>
              <w:p>
                <w:pPr>
                  <w:spacing w:line="480" w:lineRule="auto"/>
                  <w:ind w:firstLine="60"/>
                  <w:rPr>
                    <w:color w:val="000000"/>
                    <w:szCs w:val="24"/>
                  </w:rPr>
                </w:pPr>
              </w:p>
              <w:p>
                <w:pPr>
                  <w:rPr>
                    <w:sz w:val="10"/>
                    <w:szCs w:val="10"/>
                  </w:rPr>
                </w:pPr>
              </w:p>
              <w:p>
                <w:pPr>
                  <w:spacing w:line="480" w:lineRule="auto"/>
                  <w:rPr>
                    <w:color w:val="000000"/>
                    <w:szCs w:val="24"/>
                  </w:rPr>
                </w:pPr>
              </w:p>
              <w:p>
                <w:pPr>
                  <w:rPr>
                    <w:sz w:val="10"/>
                    <w:szCs w:val="10"/>
                  </w:rPr>
                </w:pPr>
              </w:p>
              <w:p>
                <w:pPr>
                  <w:spacing w:line="480" w:lineRule="auto"/>
                  <w:rPr>
                    <w:color w:val="000000"/>
                    <w:szCs w:val="24"/>
                  </w:rPr>
                </w:pPr>
              </w:p>
              <w:p>
                <w:pPr>
                  <w:rPr>
                    <w:sz w:val="10"/>
                    <w:szCs w:val="10"/>
                  </w:rPr>
                </w:pPr>
              </w:p>
              <w:p>
                <w:pPr>
                  <w:spacing w:line="480" w:lineRule="auto"/>
                  <w:rPr>
                    <w:color w:val="000000"/>
                    <w:szCs w:val="24"/>
                  </w:rPr>
                </w:pPr>
              </w:p>
              <w:p>
                <w:pPr>
                  <w:rPr>
                    <w:sz w:val="10"/>
                    <w:szCs w:val="10"/>
                  </w:rPr>
                </w:pPr>
              </w:p>
              <w:p>
                <w:pPr>
                  <w:spacing w:line="480" w:lineRule="auto"/>
                  <w:rPr>
                    <w:color w:val="000000"/>
                    <w:szCs w:val="24"/>
                  </w:rPr>
                </w:pPr>
              </w:p>
              <w:p>
                <w:pPr>
                  <w:rPr>
                    <w:sz w:val="10"/>
                    <w:szCs w:val="10"/>
                  </w:rPr>
                </w:pPr>
              </w:p>
              <w:p>
                <w:pPr>
                  <w:spacing w:line="480" w:lineRule="auto"/>
                  <w:rPr>
                    <w:color w:val="000000"/>
                    <w:szCs w:val="24"/>
                  </w:rPr>
                </w:pPr>
              </w:p>
            </w:tc>
          </w:tr>
          <w:tr>
            <w:trPr>
              <w:trHeight w:val="1540"/>
            </w:trPr>
            <w:tc>
              <w:tcPr>
                <w:tcW w:w="568" w:type="dxa"/>
                <w:vMerge/>
              </w:tcPr>
              <w:p>
                <w:pPr>
                  <w:jc w:val="center"/>
                  <w:rPr>
                    <w:color w:val="000000"/>
                    <w:szCs w:val="24"/>
                  </w:rPr>
                </w:pPr>
              </w:p>
            </w:tc>
            <w:tc>
              <w:tcPr>
                <w:tcW w:w="1276" w:type="dxa"/>
                <w:vMerge/>
              </w:tcPr>
              <w:p>
                <w:pPr>
                  <w:jc w:val="center"/>
                  <w:rPr>
                    <w:color w:val="000000"/>
                    <w:szCs w:val="24"/>
                  </w:rPr>
                </w:pPr>
              </w:p>
            </w:tc>
            <w:tc>
              <w:tcPr>
                <w:tcW w:w="1701" w:type="dxa"/>
              </w:tcPr>
              <w:p>
                <w:pPr>
                  <w:rPr>
                    <w:color w:val="000000"/>
                    <w:szCs w:val="24"/>
                  </w:rPr>
                </w:pPr>
                <w:r>
                  <w:rPr>
                    <w:color w:val="000000"/>
                    <w:szCs w:val="24"/>
                  </w:rPr>
                  <w:t>1 kartą per metus</w:t>
                </w:r>
              </w:p>
            </w:tc>
            <w:tc>
              <w:tcPr>
                <w:tcW w:w="2268" w:type="dxa"/>
              </w:tcPr>
              <w:p>
                <w:pPr>
                  <w:rPr>
                    <w:color w:val="000000"/>
                    <w:szCs w:val="24"/>
                  </w:rPr>
                </w:pPr>
                <w:r>
                  <w:rPr>
                    <w:color w:val="000000"/>
                    <w:szCs w:val="24"/>
                  </w:rPr>
                  <w:t>Gydytojas odontologas arba</w:t>
                </w:r>
              </w:p>
              <w:p>
                <w:pPr>
                  <w:rPr>
                    <w:color w:val="000000"/>
                    <w:szCs w:val="24"/>
                  </w:rPr>
                </w:pPr>
                <w:r>
                  <w:rPr>
                    <w:color w:val="000000"/>
                    <w:szCs w:val="24"/>
                  </w:rPr>
                  <w:t>gydytojas odontologas specialistas,</w:t>
                </w:r>
              </w:p>
              <w:p>
                <w:pPr>
                  <w:rPr>
                    <w:color w:val="000000"/>
                    <w:szCs w:val="24"/>
                  </w:rPr>
                </w:pPr>
                <w:r>
                  <w:rPr>
                    <w:color w:val="000000"/>
                    <w:szCs w:val="24"/>
                  </w:rPr>
                  <w:t>arba burnos higienistas</w:t>
                </w:r>
              </w:p>
            </w:tc>
            <w:tc>
              <w:tcPr>
                <w:tcW w:w="4536" w:type="dxa"/>
              </w:tcPr>
              <w:p>
                <w:pPr>
                  <w:spacing w:line="480" w:lineRule="auto"/>
                  <w:rPr>
                    <w:color w:val="000000"/>
                    <w:szCs w:val="24"/>
                  </w:rPr>
                </w:pPr>
                <w:r>
                  <w:rPr>
                    <w:color w:val="000000"/>
                    <w:szCs w:val="24"/>
                  </w:rPr>
                  <w:t xml:space="preserve">3.6. Atlikti ankstyvo dantų ėduonies profilaktiką. </w:t>
                </w:r>
              </w:p>
              <w:p>
                <w:pPr>
                  <w:rPr>
                    <w:sz w:val="10"/>
                    <w:szCs w:val="10"/>
                  </w:rPr>
                </w:pPr>
              </w:p>
              <w:p>
                <w:pPr>
                  <w:rPr>
                    <w:color w:val="000000"/>
                    <w:szCs w:val="24"/>
                  </w:rPr>
                </w:pPr>
                <w:r>
                  <w:rPr>
                    <w:color w:val="000000"/>
                    <w:szCs w:val="24"/>
                  </w:rPr>
                  <w:t xml:space="preserve">3.7. Įvertinti burnos higienos būklę ir išdygus pirmajam dančiui  tėvus pamokyti burnos higienos pagrindų, sveikos mitybos pagrindų.</w:t>
                </w:r>
              </w:p>
            </w:tc>
            <w:tc>
              <w:tcPr>
                <w:tcW w:w="1701" w:type="dxa"/>
                <w:vMerge/>
              </w:tcPr>
              <w:p>
                <w:pPr>
                  <w:jc w:val="center"/>
                  <w:rPr>
                    <w:color w:val="000000"/>
                    <w:szCs w:val="24"/>
                  </w:rPr>
                </w:pPr>
              </w:p>
            </w:tc>
            <w:tc>
              <w:tcPr>
                <w:tcW w:w="1559" w:type="dxa"/>
                <w:vMerge/>
              </w:tcPr>
              <w:p>
                <w:pPr>
                  <w:rPr>
                    <w:b/>
                    <w:color w:val="000000"/>
                    <w:szCs w:val="24"/>
                  </w:rPr>
                </w:pPr>
              </w:p>
            </w:tc>
            <w:tc>
              <w:tcPr>
                <w:tcW w:w="1701" w:type="dxa"/>
                <w:vMerge/>
                <w:tcBorders>
                  <w:tl2br w:val="nil"/>
                  <w:tr2bl w:val="nil"/>
                </w:tcBorders>
              </w:tcPr>
              <w:p>
                <w:pPr>
                  <w:spacing w:line="480" w:lineRule="auto"/>
                  <w:rPr>
                    <w:color w:val="000000"/>
                    <w:szCs w:val="24"/>
                  </w:rPr>
                </w:pPr>
              </w:p>
            </w:tc>
          </w:tr>
          <w:tr>
            <w:trPr>
              <w:trHeight w:val="2595"/>
            </w:trPr>
            <w:tc>
              <w:tcPr>
                <w:tcW w:w="568" w:type="dxa"/>
                <w:vMerge/>
                <w:tcBorders>
                  <w:bottom w:val="single" w:sz="4" w:space="0" w:color="auto"/>
                </w:tcBorders>
              </w:tcPr>
              <w:p>
                <w:pPr>
                  <w:jc w:val="center"/>
                  <w:rPr>
                    <w:color w:val="000000"/>
                    <w:szCs w:val="24"/>
                  </w:rPr>
                </w:pPr>
              </w:p>
            </w:tc>
            <w:tc>
              <w:tcPr>
                <w:tcW w:w="1276" w:type="dxa"/>
                <w:vMerge/>
                <w:tcBorders>
                  <w:bottom w:val="single" w:sz="4" w:space="0" w:color="auto"/>
                </w:tcBorders>
              </w:tcPr>
              <w:p>
                <w:pPr>
                  <w:jc w:val="center"/>
                  <w:rPr>
                    <w:color w:val="000000"/>
                    <w:szCs w:val="24"/>
                  </w:rPr>
                </w:pPr>
              </w:p>
            </w:tc>
            <w:tc>
              <w:tcPr>
                <w:tcW w:w="1701" w:type="dxa"/>
                <w:tcBorders>
                  <w:bottom w:val="single" w:sz="4" w:space="0" w:color="auto"/>
                </w:tcBorders>
              </w:tcPr>
              <w:p>
                <w:pPr>
                  <w:rPr>
                    <w:color w:val="000000"/>
                    <w:szCs w:val="24"/>
                  </w:rPr>
                </w:pPr>
                <w:r>
                  <w:rPr>
                    <w:color w:val="000000"/>
                    <w:szCs w:val="24"/>
                  </w:rPr>
                  <w:t>1 kartą per metus</w:t>
                </w:r>
              </w:p>
            </w:tc>
            <w:tc>
              <w:tcPr>
                <w:tcW w:w="2268" w:type="dxa"/>
                <w:tcBorders>
                  <w:bottom w:val="single" w:sz="4" w:space="0" w:color="auto"/>
                </w:tcBorders>
              </w:tcPr>
              <w:p>
                <w:pPr>
                  <w:rPr>
                    <w:color w:val="000000"/>
                    <w:szCs w:val="24"/>
                  </w:rPr>
                </w:pPr>
                <w:r>
                  <w:rPr>
                    <w:color w:val="000000"/>
                    <w:szCs w:val="24"/>
                  </w:rPr>
                  <w:t>Slaugytojas</w:t>
                </w:r>
              </w:p>
              <w:p>
                <w:pPr>
                  <w:jc w:val="center"/>
                  <w:rPr>
                    <w:color w:val="000000"/>
                    <w:szCs w:val="24"/>
                  </w:rPr>
                </w:pPr>
              </w:p>
            </w:tc>
            <w:tc>
              <w:tcPr>
                <w:tcW w:w="4536" w:type="dxa"/>
                <w:tcBorders>
                  <w:bottom w:val="single" w:sz="4" w:space="0" w:color="auto"/>
                </w:tcBorders>
              </w:tcPr>
              <w:p>
                <w:pPr>
                  <w:rPr>
                    <w:color w:val="000000"/>
                    <w:szCs w:val="24"/>
                  </w:rPr>
                </w:pPr>
                <w:r>
                  <w:rPr>
                    <w:color w:val="000000"/>
                    <w:szCs w:val="24"/>
                  </w:rPr>
                  <w:t>3.8. Kiekvieno apsilankymo iki 2 m. amžiaus metu pasverti vaiką, pamatuoti galvos apimtį, ūgį, šiuos duomenis įrašyti į augimo diagramą, o nuo 2 metų – pasverti, pamatuoti ūgį ir įrašyti į atitinkamą svorio priklausomybės nuo ūgio kitimo diagramą</w:t>
                </w:r>
                <w:r>
                  <w:rPr>
                    <w:color w:val="000000"/>
                    <w:szCs w:val="24"/>
                    <w:lang w:val="pl-PL"/>
                  </w:rPr>
                  <w:t>.</w:t>
                </w:r>
              </w:p>
              <w:p>
                <w:pPr>
                  <w:rPr>
                    <w:color w:val="000000"/>
                    <w:szCs w:val="24"/>
                  </w:rPr>
                </w:pPr>
                <w:r>
                  <w:rPr>
                    <w:color w:val="000000"/>
                    <w:szCs w:val="24"/>
                  </w:rPr>
                  <w:t>3.9. Informuoti tėvus ir vaikus apie racionalią mitybą, traumų, nudegimų ir smurto, žalingų sveikatai įpročių profilaktiką.</w:t>
                </w:r>
              </w:p>
            </w:tc>
            <w:tc>
              <w:tcPr>
                <w:tcW w:w="1701" w:type="dxa"/>
                <w:vMerge/>
                <w:tcBorders>
                  <w:bottom w:val="single" w:sz="4" w:space="0" w:color="auto"/>
                </w:tcBorders>
              </w:tcPr>
              <w:p>
                <w:pPr>
                  <w:jc w:val="center"/>
                  <w:rPr>
                    <w:color w:val="000000"/>
                    <w:szCs w:val="24"/>
                  </w:rPr>
                </w:pPr>
              </w:p>
            </w:tc>
            <w:tc>
              <w:tcPr>
                <w:tcW w:w="1559" w:type="dxa"/>
                <w:vMerge/>
                <w:tcBorders>
                  <w:bottom w:val="single" w:sz="4" w:space="0" w:color="auto"/>
                </w:tcBorders>
              </w:tcPr>
              <w:p>
                <w:pPr>
                  <w:rPr>
                    <w:b/>
                    <w:color w:val="000000"/>
                    <w:szCs w:val="24"/>
                  </w:rPr>
                </w:pPr>
              </w:p>
            </w:tc>
            <w:tc>
              <w:tcPr>
                <w:tcW w:w="1701" w:type="dxa"/>
                <w:vMerge/>
                <w:tcBorders>
                  <w:bottom w:val="single" w:sz="4" w:space="0" w:color="auto"/>
                </w:tcBorders>
              </w:tcPr>
              <w:p>
                <w:pPr>
                  <w:spacing w:line="480" w:lineRule="auto"/>
                  <w:rPr>
                    <w:color w:val="000000"/>
                    <w:szCs w:val="24"/>
                  </w:rPr>
                </w:pPr>
              </w:p>
            </w:tc>
          </w:tr>
          <w:tr>
            <w:trPr>
              <w:trHeight w:val="3036"/>
            </w:trPr>
            <w:tc>
              <w:tcPr>
                <w:tcW w:w="568" w:type="dxa"/>
                <w:vMerge w:val="restart"/>
              </w:tcPr>
              <w:p>
                <w:pPr>
                  <w:jc w:val="center"/>
                  <w:rPr>
                    <w:color w:val="000000"/>
                    <w:szCs w:val="24"/>
                  </w:rPr>
                </w:pPr>
                <w:r>
                  <w:rPr>
                    <w:color w:val="000000"/>
                    <w:szCs w:val="24"/>
                  </w:rPr>
                  <w:t>4.</w:t>
                </w: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tc>
            <w:tc>
              <w:tcPr>
                <w:tcW w:w="1276" w:type="dxa"/>
                <w:vMerge w:val="restart"/>
              </w:tcPr>
              <w:p>
                <w:pPr>
                  <w:rPr>
                    <w:color w:val="000000"/>
                    <w:szCs w:val="24"/>
                  </w:rPr>
                </w:pPr>
                <w:r>
                  <w:rPr>
                    <w:color w:val="000000"/>
                    <w:szCs w:val="24"/>
                  </w:rPr>
                  <w:t>Viduriniojo amžiaus vaikas</w:t>
                </w: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tc>
            <w:tc>
              <w:tcPr>
                <w:tcW w:w="1701" w:type="dxa"/>
              </w:tcPr>
              <w:p>
                <w:pPr>
                  <w:rPr>
                    <w:color w:val="000000"/>
                    <w:szCs w:val="24"/>
                  </w:rPr>
                </w:pPr>
                <w:r>
                  <w:rPr>
                    <w:color w:val="000000"/>
                    <w:szCs w:val="24"/>
                  </w:rPr>
                  <w:t>1 kartą per metus</w:t>
                </w:r>
              </w:p>
              <w:p>
                <w:pPr>
                  <w:rPr>
                    <w:color w:val="000000"/>
                    <w:szCs w:val="24"/>
                  </w:rPr>
                </w:pPr>
              </w:p>
            </w:tc>
            <w:tc>
              <w:tcPr>
                <w:tcW w:w="2268" w:type="dxa"/>
              </w:tcPr>
              <w:p>
                <w:pPr>
                  <w:tabs>
                    <w:tab w:val="left" w:pos="-250"/>
                  </w:tabs>
                  <w:rPr>
                    <w:color w:val="000000"/>
                    <w:szCs w:val="24"/>
                  </w:rPr>
                </w:pPr>
                <w:r>
                  <w:rPr>
                    <w:color w:val="000000"/>
                    <w:szCs w:val="24"/>
                  </w:rPr>
                  <w:t>Gydytojas</w:t>
                </w:r>
              </w:p>
            </w:tc>
            <w:tc>
              <w:tcPr>
                <w:tcW w:w="4536" w:type="dxa"/>
              </w:tcPr>
              <w:p>
                <w:pPr>
                  <w:tabs>
                    <w:tab w:val="left" w:pos="85"/>
                  </w:tabs>
                  <w:rPr>
                    <w:color w:val="000000"/>
                    <w:szCs w:val="24"/>
                  </w:rPr>
                </w:pPr>
                <w:r>
                  <w:rPr>
                    <w:color w:val="000000"/>
                    <w:szCs w:val="24"/>
                  </w:rPr>
                  <w:t xml:space="preserve">4.1. Kiekvieno apsilankymo metu įvertinti vaiko sveikatos būklę, fizinę būklę, įvertinti augimą, nubrėžiant  asmeninę ūgio ir svorio bei svorio priklausomybės nuo ūgio kitimo kreives pagal lytį; įvertinti: </w:t>
                </w:r>
              </w:p>
              <w:p>
                <w:pPr>
                  <w:tabs>
                    <w:tab w:val="left" w:pos="85"/>
                  </w:tabs>
                  <w:rPr>
                    <w:color w:val="000000"/>
                    <w:szCs w:val="24"/>
                  </w:rPr>
                </w:pPr>
                <w:r>
                  <w:rPr>
                    <w:color w:val="000000"/>
                    <w:szCs w:val="24"/>
                  </w:rPr>
                  <w:t xml:space="preserve">4.1.1. </w:t>
                </w:r>
                <w:r>
                  <w:rPr>
                    <w:color w:val="000000"/>
                    <w:szCs w:val="24"/>
                    <w:lang w:val="pl-PL"/>
                  </w:rPr>
                  <w:t xml:space="preserve">kūno masės indeksą (toliau – KMI); </w:t>
                </w:r>
              </w:p>
              <w:p>
                <w:pPr>
                  <w:tabs>
                    <w:tab w:val="left" w:pos="85"/>
                  </w:tabs>
                  <w:rPr>
                    <w:color w:val="000000"/>
                    <w:szCs w:val="24"/>
                  </w:rPr>
                </w:pPr>
                <w:r>
                  <w:rPr>
                    <w:color w:val="000000"/>
                    <w:szCs w:val="24"/>
                  </w:rPr>
                  <w:t>4.1.2. klausą;</w:t>
                </w:r>
              </w:p>
              <w:p>
                <w:pPr>
                  <w:tabs>
                    <w:tab w:val="left" w:pos="85"/>
                  </w:tabs>
                  <w:rPr>
                    <w:color w:val="000000"/>
                    <w:szCs w:val="24"/>
                  </w:rPr>
                </w:pPr>
                <w:r>
                  <w:rPr>
                    <w:color w:val="000000"/>
                    <w:szCs w:val="24"/>
                  </w:rPr>
                  <w:t>4.1.3. regėjimą;</w:t>
                </w:r>
              </w:p>
              <w:p>
                <w:pPr>
                  <w:tabs>
                    <w:tab w:val="left" w:pos="85"/>
                  </w:tabs>
                  <w:rPr>
                    <w:color w:val="000000"/>
                    <w:szCs w:val="24"/>
                  </w:rPr>
                </w:pPr>
                <w:r>
                  <w:rPr>
                    <w:color w:val="000000"/>
                    <w:szCs w:val="24"/>
                  </w:rPr>
                  <w:t>4.1.4. atramos judamąjį aparatą;</w:t>
                </w:r>
              </w:p>
              <w:p>
                <w:pPr>
                  <w:tabs>
                    <w:tab w:val="left" w:pos="600"/>
                  </w:tabs>
                  <w:rPr>
                    <w:color w:val="000000"/>
                    <w:szCs w:val="24"/>
                  </w:rPr>
                </w:pPr>
                <w:r>
                  <w:rPr>
                    <w:color w:val="000000"/>
                    <w:szCs w:val="24"/>
                  </w:rPr>
                  <w:t>4.1.5. psichikos būklę;</w:t>
                </w:r>
              </w:p>
              <w:p>
                <w:pPr>
                  <w:tabs>
                    <w:tab w:val="left" w:pos="85"/>
                  </w:tabs>
                  <w:rPr>
                    <w:color w:val="000000"/>
                    <w:szCs w:val="24"/>
                  </w:rPr>
                </w:pPr>
                <w:r>
                  <w:rPr>
                    <w:color w:val="000000"/>
                    <w:szCs w:val="24"/>
                  </w:rPr>
                  <w:t>4.1.6. mitybos ir higienos įgūdžius;</w:t>
                </w:r>
              </w:p>
              <w:p>
                <w:pPr>
                  <w:tabs>
                    <w:tab w:val="left" w:pos="85"/>
                  </w:tabs>
                  <w:rPr>
                    <w:color w:val="000000"/>
                    <w:szCs w:val="24"/>
                  </w:rPr>
                </w:pPr>
                <w:r>
                  <w:rPr>
                    <w:color w:val="000000"/>
                    <w:szCs w:val="24"/>
                  </w:rPr>
                  <w:t xml:space="preserve">4.1.7. AKS. </w:t>
                </w:r>
              </w:p>
              <w:p>
                <w:pPr>
                  <w:tabs>
                    <w:tab w:val="left" w:pos="85"/>
                  </w:tabs>
                  <w:rPr>
                    <w:color w:val="000000"/>
                    <w:szCs w:val="24"/>
                  </w:rPr>
                </w:pPr>
              </w:p>
            </w:tc>
            <w:tc>
              <w:tcPr>
                <w:tcW w:w="1701" w:type="dxa"/>
                <w:vMerge w:val="restart"/>
              </w:tcPr>
              <w:p>
                <w:pPr>
                  <w:tabs>
                    <w:tab w:val="left" w:pos="1503"/>
                  </w:tabs>
                  <w:rPr>
                    <w:color w:val="000000"/>
                    <w:szCs w:val="24"/>
                  </w:rPr>
                </w:pPr>
                <w:r>
                  <w:rPr>
                    <w:color w:val="000000"/>
                    <w:szCs w:val="24"/>
                  </w:rPr>
                  <w:t xml:space="preserve">6–7 metų amžiaus </w:t>
                </w:r>
              </w:p>
              <w:p>
                <w:pPr>
                  <w:tabs>
                    <w:tab w:val="left" w:pos="600"/>
                  </w:tabs>
                  <w:rPr>
                    <w:color w:val="000000"/>
                    <w:szCs w:val="24"/>
                  </w:rPr>
                </w:pPr>
                <w:r>
                  <w:rPr>
                    <w:color w:val="000000"/>
                    <w:szCs w:val="24"/>
                  </w:rPr>
                  <w:t>1 kartą</w:t>
                </w: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tc>
            <w:tc>
              <w:tcPr>
                <w:tcW w:w="1559" w:type="dxa"/>
                <w:vMerge w:val="restart"/>
              </w:tcPr>
              <w:p>
                <w:pPr>
                  <w:widowControl w:val="0"/>
                  <w:rPr>
                    <w:color w:val="000000"/>
                    <w:szCs w:val="24"/>
                  </w:rPr>
                </w:pPr>
                <w:r>
                  <w:rPr>
                    <w:color w:val="000000"/>
                    <w:szCs w:val="24"/>
                  </w:rPr>
                  <w:t>Gydytojas oftalmologas</w:t>
                </w: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ind w:firstLine="60"/>
                  <w:rPr>
                    <w:color w:val="000000"/>
                    <w:szCs w:val="24"/>
                  </w:rPr>
                </w:pPr>
              </w:p>
              <w:p>
                <w:pPr>
                  <w:widowControl w:val="0"/>
                  <w:rPr>
                    <w:color w:val="000000"/>
                    <w:szCs w:val="24"/>
                  </w:rPr>
                </w:pPr>
                <w:r>
                  <w:rPr>
                    <w:color w:val="000000"/>
                    <w:szCs w:val="24"/>
                  </w:rPr>
                  <w:t xml:space="preserve">Vaikų ligų gydytojas </w:t>
                </w:r>
              </w:p>
              <w:p>
                <w:pPr>
                  <w:tabs>
                    <w:tab w:val="left" w:pos="1503"/>
                  </w:tabs>
                  <w:rPr>
                    <w:color w:val="000000"/>
                    <w:szCs w:val="24"/>
                  </w:rPr>
                </w:pPr>
              </w:p>
              <w:p>
                <w:pPr>
                  <w:tabs>
                    <w:tab w:val="left" w:pos="1503"/>
                  </w:tabs>
                  <w:rPr>
                    <w:color w:val="000000"/>
                    <w:szCs w:val="24"/>
                  </w:rPr>
                </w:pPr>
              </w:p>
              <w:p>
                <w:pPr>
                  <w:tabs>
                    <w:tab w:val="left" w:pos="1503"/>
                  </w:tabs>
                  <w:rPr>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tc>
            <w:tc>
              <w:tcPr>
                <w:tcW w:w="1701" w:type="dxa"/>
                <w:vMerge w:val="restart"/>
              </w:tcPr>
              <w:p>
                <w:pPr>
                  <w:rPr>
                    <w:color w:val="000000"/>
                    <w:szCs w:val="24"/>
                  </w:rPr>
                </w:pPr>
                <w:r>
                  <w:rPr>
                    <w:color w:val="000000"/>
                    <w:szCs w:val="24"/>
                  </w:rPr>
                  <w:t>Įvertinti refrakciją, regėjimą (žvairumas, astigmatizmas, įgimtos anomalijos).</w:t>
                </w:r>
              </w:p>
              <w:p>
                <w:pPr>
                  <w:rPr>
                    <w:color w:val="000000"/>
                    <w:szCs w:val="24"/>
                  </w:rPr>
                </w:pPr>
                <w:r>
                  <w:rPr>
                    <w:color w:val="000000"/>
                    <w:szCs w:val="24"/>
                  </w:rPr>
                  <w:t>Nustatyti ir įvertinti rizikos sveikatai veiksnius.</w:t>
                </w: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tc>
          </w:tr>
          <w:tr>
            <w:trPr>
              <w:trHeight w:val="2032"/>
            </w:trPr>
            <w:tc>
              <w:tcPr>
                <w:tcW w:w="568" w:type="dxa"/>
                <w:vMerge/>
              </w:tcPr>
              <w:p>
                <w:pPr>
                  <w:jc w:val="center"/>
                  <w:rPr>
                    <w:color w:val="000000"/>
                    <w:szCs w:val="24"/>
                  </w:rPr>
                </w:pPr>
              </w:p>
            </w:tc>
            <w:tc>
              <w:tcPr>
                <w:tcW w:w="1276" w:type="dxa"/>
                <w:vMerge/>
              </w:tcPr>
              <w:p>
                <w:pPr>
                  <w:jc w:val="center"/>
                  <w:rPr>
                    <w:color w:val="000000"/>
                    <w:szCs w:val="24"/>
                  </w:rPr>
                </w:pPr>
              </w:p>
            </w:tc>
            <w:tc>
              <w:tcPr>
                <w:tcW w:w="1701" w:type="dxa"/>
              </w:tcPr>
              <w:p>
                <w:pPr>
                  <w:rPr>
                    <w:color w:val="000000"/>
                    <w:szCs w:val="24"/>
                  </w:rPr>
                </w:pPr>
                <w:r>
                  <w:rPr>
                    <w:color w:val="000000"/>
                    <w:szCs w:val="24"/>
                  </w:rPr>
                  <w:t xml:space="preserve">6–7 metų amžiaus </w:t>
                </w:r>
              </w:p>
              <w:p>
                <w:pPr>
                  <w:rPr>
                    <w:color w:val="000000"/>
                    <w:szCs w:val="24"/>
                  </w:rPr>
                </w:pPr>
                <w:r>
                  <w:rPr>
                    <w:color w:val="000000"/>
                    <w:szCs w:val="24"/>
                  </w:rPr>
                  <w:t>1 kartą</w:t>
                </w:r>
              </w:p>
            </w:tc>
            <w:tc>
              <w:tcPr>
                <w:tcW w:w="2268" w:type="dxa"/>
              </w:tcPr>
              <w:p>
                <w:pPr>
                  <w:rPr>
                    <w:color w:val="000000"/>
                    <w:szCs w:val="24"/>
                  </w:rPr>
                </w:pPr>
                <w:r>
                  <w:rPr>
                    <w:color w:val="000000"/>
                    <w:szCs w:val="24"/>
                  </w:rPr>
                  <w:t xml:space="preserve">Gydytojas </w:t>
                </w:r>
              </w:p>
              <w:p>
                <w:pPr>
                  <w:tabs>
                    <w:tab w:val="left" w:pos="-250"/>
                  </w:tabs>
                  <w:rPr>
                    <w:color w:val="000000"/>
                    <w:szCs w:val="24"/>
                  </w:rPr>
                </w:pPr>
              </w:p>
            </w:tc>
            <w:tc>
              <w:tcPr>
                <w:tcW w:w="4536" w:type="dxa"/>
              </w:tcPr>
              <w:p>
                <w:pPr>
                  <w:rPr>
                    <w:color w:val="000000"/>
                    <w:szCs w:val="24"/>
                  </w:rPr>
                </w:pPr>
                <w:r>
                  <w:rPr>
                    <w:color w:val="000000"/>
                    <w:szCs w:val="24"/>
                  </w:rPr>
                  <w:t>4.2. Atlikti ir įvertinti:</w:t>
                </w:r>
              </w:p>
              <w:p>
                <w:pPr>
                  <w:tabs>
                    <w:tab w:val="left" w:pos="85"/>
                  </w:tabs>
                  <w:rPr>
                    <w:color w:val="000000"/>
                    <w:szCs w:val="24"/>
                  </w:rPr>
                </w:pPr>
                <w:r>
                  <w:rPr>
                    <w:color w:val="000000"/>
                    <w:szCs w:val="24"/>
                  </w:rPr>
                  <w:t xml:space="preserve">4.2.1. bendrą kraujo tyrimą; </w:t>
                </w:r>
              </w:p>
              <w:p>
                <w:pPr>
                  <w:tabs>
                    <w:tab w:val="left" w:pos="85"/>
                  </w:tabs>
                  <w:rPr>
                    <w:color w:val="000000"/>
                    <w:szCs w:val="24"/>
                  </w:rPr>
                </w:pPr>
                <w:r>
                  <w:rPr>
                    <w:color w:val="000000"/>
                    <w:szCs w:val="24"/>
                  </w:rPr>
                  <w:t>4.2.2. šlapimo tyrimą;</w:t>
                </w:r>
              </w:p>
              <w:p>
                <w:pPr>
                  <w:tabs>
                    <w:tab w:val="left" w:pos="85"/>
                  </w:tabs>
                  <w:rPr>
                    <w:color w:val="000000"/>
                    <w:szCs w:val="24"/>
                  </w:rPr>
                </w:pPr>
                <w:r>
                  <w:rPr>
                    <w:color w:val="000000"/>
                    <w:szCs w:val="24"/>
                  </w:rPr>
                  <w:t>4.2.3. tyrimą dėl helmintozių;</w:t>
                </w:r>
              </w:p>
              <w:p>
                <w:pPr>
                  <w:tabs>
                    <w:tab w:val="left" w:pos="85"/>
                  </w:tabs>
                  <w:rPr>
                    <w:color w:val="000000"/>
                    <w:szCs w:val="24"/>
                  </w:rPr>
                </w:pPr>
                <w:r>
                  <w:rPr>
                    <w:color w:val="000000"/>
                    <w:szCs w:val="24"/>
                  </w:rPr>
                  <w:t>4.2.4. elektrokardiogramą;</w:t>
                </w:r>
              </w:p>
              <w:p>
                <w:pPr>
                  <w:tabs>
                    <w:tab w:val="left" w:pos="85"/>
                  </w:tabs>
                  <w:rPr>
                    <w:color w:val="000000"/>
                    <w:szCs w:val="24"/>
                  </w:rPr>
                </w:pPr>
                <w:r>
                  <w:rPr>
                    <w:color w:val="000000"/>
                    <w:szCs w:val="24"/>
                  </w:rPr>
                  <w:t>4.2.5. tuberkulino mėginį (rizikos grupės vaikams – kasmet).</w:t>
                </w:r>
              </w:p>
            </w:tc>
            <w:tc>
              <w:tcPr>
                <w:tcW w:w="1701" w:type="dxa"/>
                <w:vMerge/>
              </w:tcPr>
              <w:p>
                <w:pPr>
                  <w:tabs>
                    <w:tab w:val="left" w:pos="1503"/>
                  </w:tabs>
                  <w:rPr>
                    <w:color w:val="000000"/>
                    <w:szCs w:val="24"/>
                  </w:rPr>
                </w:pPr>
              </w:p>
            </w:tc>
            <w:tc>
              <w:tcPr>
                <w:tcW w:w="1559" w:type="dxa"/>
                <w:vMerge/>
              </w:tcPr>
              <w:p>
                <w:pPr>
                  <w:widowControl w:val="0"/>
                  <w:rPr>
                    <w:color w:val="000000"/>
                    <w:szCs w:val="24"/>
                  </w:rPr>
                </w:pPr>
              </w:p>
            </w:tc>
            <w:tc>
              <w:tcPr>
                <w:tcW w:w="1701" w:type="dxa"/>
                <w:vMerge/>
              </w:tcPr>
              <w:p>
                <w:pPr>
                  <w:rPr>
                    <w:color w:val="000000"/>
                    <w:szCs w:val="24"/>
                  </w:rPr>
                </w:pPr>
              </w:p>
            </w:tc>
          </w:tr>
          <w:tr>
            <w:trPr>
              <w:trHeight w:val="393"/>
            </w:trPr>
            <w:tc>
              <w:tcPr>
                <w:tcW w:w="568" w:type="dxa"/>
                <w:vMerge/>
              </w:tcPr>
              <w:p>
                <w:pPr>
                  <w:jc w:val="center"/>
                  <w:rPr>
                    <w:color w:val="000000"/>
                    <w:szCs w:val="24"/>
                  </w:rPr>
                </w:pPr>
              </w:p>
            </w:tc>
            <w:tc>
              <w:tcPr>
                <w:tcW w:w="1276" w:type="dxa"/>
                <w:vMerge/>
              </w:tcPr>
              <w:p>
                <w:pPr>
                  <w:jc w:val="center"/>
                  <w:rPr>
                    <w:color w:val="000000"/>
                    <w:szCs w:val="24"/>
                  </w:rPr>
                </w:pPr>
              </w:p>
            </w:tc>
            <w:tc>
              <w:tcPr>
                <w:tcW w:w="1701" w:type="dxa"/>
              </w:tcPr>
              <w:p>
                <w:pPr>
                  <w:tabs>
                    <w:tab w:val="left" w:pos="600"/>
                  </w:tabs>
                  <w:rPr>
                    <w:color w:val="000000"/>
                    <w:szCs w:val="24"/>
                  </w:rPr>
                </w:pPr>
                <w:r>
                  <w:rPr>
                    <w:color w:val="000000"/>
                    <w:szCs w:val="24"/>
                  </w:rPr>
                  <w:t>1 kartą per metus</w:t>
                </w: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rPr>
                    <w:color w:val="000000"/>
                    <w:szCs w:val="24"/>
                  </w:rPr>
                </w:pPr>
              </w:p>
            </w:tc>
            <w:tc>
              <w:tcPr>
                <w:tcW w:w="2268" w:type="dxa"/>
              </w:tcPr>
              <w:p>
                <w:pPr>
                  <w:rPr>
                    <w:color w:val="000000"/>
                    <w:szCs w:val="24"/>
                  </w:rPr>
                </w:pPr>
                <w:r>
                  <w:rPr>
                    <w:color w:val="000000"/>
                    <w:szCs w:val="24"/>
                  </w:rPr>
                  <w:t>Gydytojas odontologas</w:t>
                </w:r>
              </w:p>
              <w:p>
                <w:pPr>
                  <w:rPr>
                    <w:color w:val="000000"/>
                    <w:szCs w:val="24"/>
                  </w:rPr>
                </w:pPr>
                <w:r>
                  <w:rPr>
                    <w:color w:val="000000"/>
                    <w:szCs w:val="24"/>
                  </w:rPr>
                  <w:t>arba gydytojas odontologas specialistas</w:t>
                </w:r>
              </w:p>
              <w:p>
                <w:pPr>
                  <w:rPr>
                    <w:color w:val="000000"/>
                    <w:szCs w:val="24"/>
                  </w:rPr>
                </w:pPr>
              </w:p>
              <w:p>
                <w:pPr>
                  <w:rPr>
                    <w:color w:val="000000"/>
                    <w:szCs w:val="24"/>
                  </w:rPr>
                </w:pPr>
              </w:p>
              <w:p>
                <w:pPr>
                  <w:rPr>
                    <w:color w:val="000000"/>
                    <w:szCs w:val="24"/>
                  </w:rPr>
                </w:pPr>
              </w:p>
              <w:p>
                <w:pPr>
                  <w:widowControl w:val="0"/>
                  <w:rPr>
                    <w:color w:val="000000"/>
                    <w:szCs w:val="24"/>
                  </w:rPr>
                </w:pPr>
              </w:p>
            </w:tc>
            <w:tc>
              <w:tcPr>
                <w:tcW w:w="4536" w:type="dxa"/>
              </w:tcPr>
              <w:p>
                <w:pPr>
                  <w:spacing w:line="480" w:lineRule="auto"/>
                  <w:rPr>
                    <w:color w:val="000000"/>
                    <w:szCs w:val="24"/>
                  </w:rPr>
                </w:pPr>
                <w:r>
                  <w:rPr>
                    <w:color w:val="000000"/>
                    <w:szCs w:val="24"/>
                  </w:rPr>
                  <w:t xml:space="preserve">4.3. Įvertinti 5–7 metų vaiko nuolatinių dantų dygimą. </w:t>
                </w:r>
              </w:p>
              <w:p>
                <w:pPr>
                  <w:rPr>
                    <w:sz w:val="10"/>
                    <w:szCs w:val="10"/>
                  </w:rPr>
                </w:pPr>
              </w:p>
              <w:p>
                <w:pPr>
                  <w:tabs>
                    <w:tab w:val="left" w:pos="600"/>
                  </w:tabs>
                  <w:rPr>
                    <w:color w:val="000000"/>
                    <w:szCs w:val="24"/>
                  </w:rPr>
                </w:pPr>
                <w:r>
                  <w:rPr>
                    <w:color w:val="000000"/>
                    <w:szCs w:val="24"/>
                  </w:rPr>
                  <w:t xml:space="preserve">4.4. Atlikti dantų ėduonies diagnostiką, krūminių dantų silantavimą – priklausomai nuo dantų dygimo laiko, esant reikalui, pagydyti  ar skirti  gydymo laiką, siųsti gydyti. </w:t>
                </w:r>
              </w:p>
              <w:p>
                <w:pPr>
                  <w:tabs>
                    <w:tab w:val="left" w:pos="600"/>
                  </w:tabs>
                  <w:rPr>
                    <w:color w:val="000000"/>
                    <w:szCs w:val="24"/>
                  </w:rPr>
                </w:pPr>
                <w:r>
                  <w:rPr>
                    <w:color w:val="000000"/>
                    <w:szCs w:val="24"/>
                  </w:rPr>
                  <w:t xml:space="preserve">4.5. Įvertinti nuolatinių dantų sąkandį, nustatyti, ar nėra sąkandžio anomalijų, esant reikalui, pagydyti ar skirti gydymo laiką / siųsti konsultacijos / gydyti. </w:t>
                </w:r>
              </w:p>
            </w:tc>
            <w:tc>
              <w:tcPr>
                <w:tcW w:w="1701" w:type="dxa"/>
                <w:vMerge/>
              </w:tcPr>
              <w:p>
                <w:pPr>
                  <w:tabs>
                    <w:tab w:val="left" w:pos="600"/>
                  </w:tabs>
                  <w:rPr>
                    <w:color w:val="000000"/>
                    <w:szCs w:val="24"/>
                  </w:rPr>
                </w:pPr>
              </w:p>
            </w:tc>
            <w:tc>
              <w:tcPr>
                <w:tcW w:w="1559" w:type="dxa"/>
                <w:vMerge/>
              </w:tcPr>
              <w:p>
                <w:pPr>
                  <w:rPr>
                    <w:b/>
                    <w:color w:val="000000"/>
                    <w:szCs w:val="24"/>
                  </w:rPr>
                </w:pPr>
              </w:p>
            </w:tc>
            <w:tc>
              <w:tcPr>
                <w:tcW w:w="1701" w:type="dxa"/>
                <w:vMerge/>
              </w:tcPr>
              <w:p>
                <w:pPr>
                  <w:spacing w:line="480" w:lineRule="auto"/>
                  <w:rPr>
                    <w:color w:val="000000"/>
                    <w:szCs w:val="24"/>
                  </w:rPr>
                </w:pPr>
              </w:p>
            </w:tc>
          </w:tr>
          <w:tr>
            <w:trPr>
              <w:trHeight w:val="20"/>
            </w:trPr>
            <w:tc>
              <w:tcPr>
                <w:tcW w:w="568" w:type="dxa"/>
                <w:vMerge/>
              </w:tcPr>
              <w:p>
                <w:pPr>
                  <w:jc w:val="center"/>
                  <w:rPr>
                    <w:color w:val="000000"/>
                    <w:szCs w:val="24"/>
                  </w:rPr>
                </w:pPr>
              </w:p>
            </w:tc>
            <w:tc>
              <w:tcPr>
                <w:tcW w:w="1276" w:type="dxa"/>
                <w:vMerge/>
              </w:tcPr>
              <w:p>
                <w:pPr>
                  <w:jc w:val="center"/>
                  <w:rPr>
                    <w:color w:val="000000"/>
                    <w:szCs w:val="24"/>
                  </w:rPr>
                </w:pPr>
              </w:p>
            </w:tc>
            <w:tc>
              <w:tcPr>
                <w:tcW w:w="1701" w:type="dxa"/>
                <w:tcBorders>
                  <w:bottom w:val="single" w:sz="4" w:space="0" w:color="auto"/>
                </w:tcBorders>
              </w:tcPr>
              <w:p>
                <w:pPr>
                  <w:tabs>
                    <w:tab w:val="left" w:pos="600"/>
                  </w:tabs>
                  <w:rPr>
                    <w:color w:val="000000"/>
                    <w:szCs w:val="24"/>
                  </w:rPr>
                </w:pPr>
                <w:r>
                  <w:rPr>
                    <w:color w:val="000000"/>
                    <w:szCs w:val="24"/>
                  </w:rPr>
                  <w:t>1 kartą per metus</w:t>
                </w:r>
              </w:p>
            </w:tc>
            <w:tc>
              <w:tcPr>
                <w:tcW w:w="2268" w:type="dxa"/>
                <w:tcBorders>
                  <w:bottom w:val="single" w:sz="4" w:space="0" w:color="auto"/>
                </w:tcBorders>
              </w:tcPr>
              <w:p>
                <w:pPr>
                  <w:rPr>
                    <w:color w:val="000000"/>
                    <w:szCs w:val="24"/>
                  </w:rPr>
                </w:pPr>
                <w:r>
                  <w:rPr>
                    <w:color w:val="000000"/>
                    <w:szCs w:val="24"/>
                  </w:rPr>
                  <w:t>Gydytojas odontologas</w:t>
                </w:r>
              </w:p>
              <w:p>
                <w:pPr>
                  <w:rPr>
                    <w:color w:val="000000"/>
                    <w:szCs w:val="24"/>
                  </w:rPr>
                </w:pPr>
                <w:r>
                  <w:rPr>
                    <w:color w:val="000000"/>
                    <w:szCs w:val="24"/>
                  </w:rPr>
                  <w:t>arba gydytojas odontologas specialistas,</w:t>
                </w:r>
              </w:p>
              <w:p>
                <w:pPr>
                  <w:rPr>
                    <w:color w:val="000000"/>
                    <w:szCs w:val="24"/>
                  </w:rPr>
                </w:pPr>
                <w:r>
                  <w:rPr>
                    <w:color w:val="000000"/>
                    <w:szCs w:val="24"/>
                  </w:rPr>
                  <w:t xml:space="preserve">arba burnos higienistas </w:t>
                </w:r>
              </w:p>
            </w:tc>
            <w:tc>
              <w:tcPr>
                <w:tcW w:w="4536" w:type="dxa"/>
                <w:tcBorders>
                  <w:bottom w:val="single" w:sz="4" w:space="0" w:color="auto"/>
                </w:tcBorders>
              </w:tcPr>
              <w:p>
                <w:pPr>
                  <w:spacing w:line="480" w:lineRule="auto"/>
                  <w:rPr>
                    <w:color w:val="000000"/>
                    <w:szCs w:val="24"/>
                  </w:rPr>
                </w:pPr>
                <w:r>
                  <w:rPr>
                    <w:color w:val="000000"/>
                    <w:szCs w:val="24"/>
                  </w:rPr>
                  <w:t xml:space="preserve">4.6. Atlikti dantų ėduonies profilaktiką. </w:t>
                </w:r>
              </w:p>
              <w:p>
                <w:pPr>
                  <w:rPr>
                    <w:sz w:val="10"/>
                    <w:szCs w:val="10"/>
                  </w:rPr>
                </w:pPr>
              </w:p>
              <w:p>
                <w:pPr>
                  <w:spacing w:line="480" w:lineRule="auto"/>
                  <w:rPr>
                    <w:color w:val="000000"/>
                    <w:szCs w:val="24"/>
                  </w:rPr>
                </w:pPr>
                <w:r>
                  <w:rPr>
                    <w:color w:val="000000"/>
                    <w:szCs w:val="24"/>
                  </w:rPr>
                  <w:t>4.7. Įvertinti burnos higienos būklę ir pamokyti burnos higienos pagrindų (dantų valymo šepetėliu ir tarpdančių siūlu).</w:t>
                </w:r>
              </w:p>
              <w:p>
                <w:pPr>
                  <w:rPr>
                    <w:sz w:val="10"/>
                    <w:szCs w:val="10"/>
                  </w:rPr>
                </w:pPr>
              </w:p>
              <w:p>
                <w:pPr>
                  <w:spacing w:line="480" w:lineRule="auto"/>
                  <w:rPr>
                    <w:color w:val="000000"/>
                    <w:szCs w:val="24"/>
                  </w:rPr>
                </w:pPr>
                <w:r>
                  <w:rPr>
                    <w:color w:val="000000"/>
                    <w:szCs w:val="24"/>
                  </w:rPr>
                  <w:t>4.8. Patikrinti burnos sveikatą prieš einant į mokyklą.</w:t>
                </w:r>
              </w:p>
            </w:tc>
            <w:tc>
              <w:tcPr>
                <w:tcW w:w="1701" w:type="dxa"/>
                <w:vMerge/>
              </w:tcPr>
              <w:p>
                <w:pPr>
                  <w:tabs>
                    <w:tab w:val="left" w:pos="600"/>
                  </w:tabs>
                  <w:rPr>
                    <w:color w:val="000000"/>
                    <w:szCs w:val="24"/>
                  </w:rPr>
                </w:pPr>
              </w:p>
            </w:tc>
            <w:tc>
              <w:tcPr>
                <w:tcW w:w="1559" w:type="dxa"/>
                <w:vMerge/>
              </w:tcPr>
              <w:p>
                <w:pPr>
                  <w:rPr>
                    <w:b/>
                    <w:color w:val="000000"/>
                    <w:szCs w:val="24"/>
                  </w:rPr>
                </w:pPr>
              </w:p>
            </w:tc>
            <w:tc>
              <w:tcPr>
                <w:tcW w:w="1701" w:type="dxa"/>
                <w:vMerge/>
              </w:tcPr>
              <w:p>
                <w:pPr>
                  <w:spacing w:line="480" w:lineRule="auto"/>
                  <w:rPr>
                    <w:color w:val="000000"/>
                    <w:szCs w:val="24"/>
                  </w:rPr>
                </w:pPr>
              </w:p>
            </w:tc>
          </w:tr>
          <w:tr>
            <w:trPr>
              <w:trHeight w:val="20"/>
            </w:trPr>
            <w:tc>
              <w:tcPr>
                <w:tcW w:w="568" w:type="dxa"/>
                <w:vMerge/>
                <w:tcBorders>
                  <w:bottom w:val="single" w:sz="4" w:space="0" w:color="auto"/>
                </w:tcBorders>
              </w:tcPr>
              <w:p>
                <w:pPr>
                  <w:jc w:val="center"/>
                  <w:rPr>
                    <w:color w:val="000000"/>
                    <w:szCs w:val="24"/>
                  </w:rPr>
                </w:pPr>
              </w:p>
            </w:tc>
            <w:tc>
              <w:tcPr>
                <w:tcW w:w="1276" w:type="dxa"/>
                <w:vMerge/>
                <w:tcBorders>
                  <w:bottom w:val="single" w:sz="4" w:space="0" w:color="auto"/>
                </w:tcBorders>
              </w:tcPr>
              <w:p>
                <w:pPr>
                  <w:jc w:val="center"/>
                  <w:rPr>
                    <w:color w:val="000000"/>
                    <w:szCs w:val="24"/>
                  </w:rPr>
                </w:pPr>
              </w:p>
            </w:tc>
            <w:tc>
              <w:tcPr>
                <w:tcW w:w="1701" w:type="dxa"/>
                <w:tcBorders>
                  <w:bottom w:val="single" w:sz="4" w:space="0" w:color="auto"/>
                </w:tcBorders>
              </w:tcPr>
              <w:p>
                <w:pPr>
                  <w:rPr>
                    <w:color w:val="000000"/>
                    <w:szCs w:val="24"/>
                  </w:rPr>
                </w:pPr>
                <w:r>
                  <w:rPr>
                    <w:color w:val="000000"/>
                    <w:szCs w:val="24"/>
                  </w:rPr>
                  <w:t>1 kartą per metus</w:t>
                </w:r>
              </w:p>
              <w:p>
                <w:pPr>
                  <w:rPr>
                    <w:color w:val="000000"/>
                    <w:szCs w:val="24"/>
                  </w:rPr>
                </w:pPr>
              </w:p>
              <w:p>
                <w:pPr>
                  <w:rPr>
                    <w:color w:val="000000"/>
                    <w:szCs w:val="24"/>
                  </w:rPr>
                </w:pPr>
              </w:p>
              <w:p>
                <w:pPr>
                  <w:rPr>
                    <w:color w:val="000000"/>
                    <w:szCs w:val="24"/>
                  </w:rPr>
                </w:pPr>
              </w:p>
              <w:p>
                <w:pPr>
                  <w:rPr>
                    <w:color w:val="000000"/>
                    <w:szCs w:val="24"/>
                  </w:rPr>
                </w:pPr>
              </w:p>
              <w:p>
                <w:pPr>
                  <w:tabs>
                    <w:tab w:val="left" w:pos="600"/>
                  </w:tabs>
                  <w:rPr>
                    <w:b/>
                    <w:color w:val="000000"/>
                    <w:szCs w:val="24"/>
                  </w:rPr>
                </w:pPr>
              </w:p>
            </w:tc>
            <w:tc>
              <w:tcPr>
                <w:tcW w:w="2268" w:type="dxa"/>
                <w:tcBorders>
                  <w:bottom w:val="single" w:sz="4" w:space="0" w:color="auto"/>
                </w:tcBorders>
              </w:tcPr>
              <w:p>
                <w:pPr>
                  <w:widowControl w:val="0"/>
                  <w:rPr>
                    <w:color w:val="000000"/>
                    <w:szCs w:val="24"/>
                  </w:rPr>
                </w:pPr>
                <w:r>
                  <w:rPr>
                    <w:color w:val="000000"/>
                    <w:szCs w:val="24"/>
                  </w:rPr>
                  <w:t>Slaugytojas</w:t>
                </w:r>
              </w:p>
              <w:p>
                <w:pPr>
                  <w:widowControl w:val="0"/>
                  <w:rPr>
                    <w:color w:val="000000"/>
                    <w:szCs w:val="24"/>
                  </w:rPr>
                </w:pPr>
              </w:p>
              <w:p>
                <w:pPr>
                  <w:widowControl w:val="0"/>
                  <w:rPr>
                    <w:color w:val="000000"/>
                    <w:szCs w:val="24"/>
                  </w:rPr>
                </w:pPr>
              </w:p>
              <w:p>
                <w:pPr>
                  <w:widowControl w:val="0"/>
                  <w:rPr>
                    <w:color w:val="000000"/>
                    <w:szCs w:val="24"/>
                  </w:rPr>
                </w:pPr>
              </w:p>
              <w:p>
                <w:pPr>
                  <w:tabs>
                    <w:tab w:val="left" w:pos="600"/>
                  </w:tabs>
                  <w:rPr>
                    <w:color w:val="000000"/>
                    <w:szCs w:val="24"/>
                  </w:rPr>
                </w:pPr>
              </w:p>
            </w:tc>
            <w:tc>
              <w:tcPr>
                <w:tcW w:w="4536" w:type="dxa"/>
                <w:tcBorders>
                  <w:bottom w:val="single" w:sz="4" w:space="0" w:color="auto"/>
                </w:tcBorders>
              </w:tcPr>
              <w:p>
                <w:pPr>
                  <w:tabs>
                    <w:tab w:val="left" w:pos="600"/>
                  </w:tabs>
                  <w:rPr>
                    <w:color w:val="000000"/>
                    <w:szCs w:val="24"/>
                    <w:lang w:val="pl-PL"/>
                  </w:rPr>
                </w:pPr>
                <w:r>
                  <w:rPr>
                    <w:color w:val="000000"/>
                    <w:szCs w:val="24"/>
                  </w:rPr>
                  <w:t xml:space="preserve">4.9. Kiekvieno apsilankymo metu pamatuoti AKS, ūgį, svorį ir šiuos duomenis įrašyti į atitinkamas ūgio ir svorio bei  svorio priklausomybės nuo ūgio kitimo diagramas, apskaičiuoti </w:t>
                </w:r>
                <w:r>
                  <w:rPr>
                    <w:color w:val="000000"/>
                    <w:szCs w:val="24"/>
                    <w:lang w:val="pl-PL"/>
                  </w:rPr>
                  <w:t>KMI.</w:t>
                </w:r>
              </w:p>
              <w:p>
                <w:pPr>
                  <w:tabs>
                    <w:tab w:val="left" w:pos="600"/>
                  </w:tabs>
                  <w:rPr>
                    <w:color w:val="000000"/>
                    <w:szCs w:val="24"/>
                  </w:rPr>
                </w:pPr>
                <w:r>
                  <w:rPr>
                    <w:color w:val="000000"/>
                    <w:szCs w:val="24"/>
                    <w:lang w:val="pl-PL"/>
                  </w:rPr>
                  <w:t xml:space="preserve">4.10. </w:t>
                </w:r>
                <w:r>
                  <w:rPr>
                    <w:color w:val="000000"/>
                    <w:szCs w:val="24"/>
                  </w:rPr>
                  <w:t xml:space="preserve">Informuoti tėvus ir vaikus apie fizinį aktyvumą, racionalią mitybą, traumų, nudegimų, paskendimo, smurto, ligų ir žalingų sveikatai įpročių profilaktiką, sveiko gyvenimo būdo ir lytinio švietimo principus. </w:t>
                </w:r>
              </w:p>
              <w:p>
                <w:pPr>
                  <w:tabs>
                    <w:tab w:val="left" w:pos="600"/>
                  </w:tabs>
                  <w:rPr>
                    <w:color w:val="000000"/>
                    <w:szCs w:val="24"/>
                  </w:rPr>
                </w:pPr>
                <w:r>
                  <w:rPr>
                    <w:color w:val="000000"/>
                    <w:szCs w:val="24"/>
                  </w:rPr>
                  <w:t xml:space="preserve">4.11. Pagal amžiaus ir lyties ypatumus padėti vaikui ir tėvams formuoti higienos, racionalios mitybos, sveiko gyvenimo būdo, imunoprofilaktikos nuostatas. </w:t>
                </w:r>
              </w:p>
            </w:tc>
            <w:tc>
              <w:tcPr>
                <w:tcW w:w="1701" w:type="dxa"/>
                <w:vMerge/>
                <w:tcBorders>
                  <w:bottom w:val="single" w:sz="4" w:space="0" w:color="auto"/>
                </w:tcBorders>
              </w:tcPr>
              <w:p>
                <w:pPr>
                  <w:tabs>
                    <w:tab w:val="left" w:pos="600"/>
                  </w:tabs>
                  <w:rPr>
                    <w:color w:val="000000"/>
                    <w:szCs w:val="24"/>
                  </w:rPr>
                </w:pPr>
              </w:p>
            </w:tc>
            <w:tc>
              <w:tcPr>
                <w:tcW w:w="1559" w:type="dxa"/>
                <w:vMerge/>
                <w:tcBorders>
                  <w:bottom w:val="single" w:sz="4" w:space="0" w:color="auto"/>
                </w:tcBorders>
              </w:tcPr>
              <w:p>
                <w:pPr>
                  <w:rPr>
                    <w:b/>
                    <w:color w:val="000000"/>
                    <w:szCs w:val="24"/>
                  </w:rPr>
                </w:pPr>
              </w:p>
            </w:tc>
            <w:tc>
              <w:tcPr>
                <w:tcW w:w="1701" w:type="dxa"/>
                <w:vMerge/>
                <w:tcBorders>
                  <w:bottom w:val="single" w:sz="4" w:space="0" w:color="auto"/>
                </w:tcBorders>
              </w:tcPr>
              <w:p>
                <w:pPr>
                  <w:spacing w:line="480" w:lineRule="auto"/>
                  <w:rPr>
                    <w:color w:val="000000"/>
                    <w:szCs w:val="24"/>
                  </w:rPr>
                </w:pPr>
              </w:p>
            </w:tc>
          </w:tr>
          <w:tr>
            <w:trPr>
              <w:trHeight w:val="20"/>
            </w:trPr>
            <w:tc>
              <w:tcPr>
                <w:tcW w:w="568" w:type="dxa"/>
                <w:vMerge w:val="restart"/>
                <w:tcBorders>
                  <w:bottom w:val="single" w:sz="4" w:space="0" w:color="auto"/>
                </w:tcBorders>
              </w:tcPr>
              <w:p>
                <w:pPr>
                  <w:tabs>
                    <w:tab w:val="center" w:pos="4819"/>
                    <w:tab w:val="right" w:pos="9638"/>
                  </w:tabs>
                  <w:jc w:val="center"/>
                  <w:rPr>
                    <w:color w:val="000000"/>
                    <w:szCs w:val="24"/>
                  </w:rPr>
                </w:pPr>
                <w:r>
                  <w:rPr>
                    <w:color w:val="000000"/>
                    <w:szCs w:val="24"/>
                  </w:rPr>
                  <w:t>5.</w:t>
                </w: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tc>
            <w:tc>
              <w:tcPr>
                <w:tcW w:w="1276" w:type="dxa"/>
                <w:vMerge w:val="restart"/>
                <w:tcBorders>
                  <w:bottom w:val="single" w:sz="4" w:space="0" w:color="auto"/>
                </w:tcBorders>
              </w:tcPr>
              <w:p>
                <w:pPr>
                  <w:rPr>
                    <w:szCs w:val="24"/>
                    <w:lang w:eastAsia="lt-LT"/>
                  </w:rPr>
                </w:pPr>
                <w:r>
                  <w:rPr>
                    <w:szCs w:val="24"/>
                    <w:lang w:eastAsia="lt-LT"/>
                  </w:rPr>
                  <w:t>Paauglys, pilnametis mokinys</w:t>
                </w: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rPr>
                    <w:szCs w:val="24"/>
                    <w:lang w:eastAsia="lt-LT"/>
                  </w:rPr>
                </w:pPr>
              </w:p>
            </w:tc>
            <w:tc>
              <w:tcPr>
                <w:tcW w:w="1701" w:type="dxa"/>
                <w:tcBorders>
                  <w:top w:val="single" w:sz="4" w:space="0" w:color="auto"/>
                  <w:left w:val="single" w:sz="4" w:space="0" w:color="auto"/>
                  <w:bottom w:val="single" w:sz="4" w:space="0" w:color="auto"/>
                  <w:right w:val="single" w:sz="4" w:space="0" w:color="auto"/>
                </w:tcBorders>
              </w:tcPr>
              <w:p>
                <w:pPr>
                  <w:jc w:val="center"/>
                  <w:rPr>
                    <w:color w:val="000000"/>
                    <w:szCs w:val="24"/>
                  </w:rPr>
                </w:pPr>
                <w:r>
                  <w:rPr>
                    <w:color w:val="000000"/>
                    <w:szCs w:val="24"/>
                  </w:rPr>
                  <w:t>1 kartą per metus</w:t>
                </w:r>
              </w:p>
              <w:p>
                <w:pPr>
                  <w:jc w:val="center"/>
                  <w:rPr>
                    <w:color w:val="000000"/>
                    <w:szCs w:val="24"/>
                  </w:rPr>
                </w:pPr>
              </w:p>
              <w:p>
                <w:pPr>
                  <w:jc w:val="center"/>
                  <w:rPr>
                    <w:color w:val="000000"/>
                    <w:szCs w:val="24"/>
                  </w:rPr>
                </w:pPr>
              </w:p>
            </w:tc>
            <w:tc>
              <w:tcPr>
                <w:tcW w:w="2268" w:type="dxa"/>
                <w:tcBorders>
                  <w:top w:val="single" w:sz="4" w:space="0" w:color="auto"/>
                  <w:left w:val="single" w:sz="4" w:space="0" w:color="auto"/>
                  <w:bottom w:val="single" w:sz="4" w:space="0" w:color="auto"/>
                  <w:right w:val="single" w:sz="4" w:space="0" w:color="auto"/>
                </w:tcBorders>
              </w:tcPr>
              <w:p>
                <w:pPr>
                  <w:rPr>
                    <w:color w:val="000000"/>
                    <w:szCs w:val="24"/>
                  </w:rPr>
                </w:pPr>
                <w:r>
                  <w:rPr>
                    <w:color w:val="000000"/>
                    <w:szCs w:val="24"/>
                  </w:rPr>
                  <w:t>Šeimos gydytojas</w:t>
                </w:r>
              </w:p>
              <w:p>
                <w:pPr>
                  <w:rPr>
                    <w:color w:val="000000"/>
                    <w:szCs w:val="24"/>
                  </w:rPr>
                </w:pPr>
                <w:r>
                  <w:rPr>
                    <w:color w:val="000000"/>
                    <w:szCs w:val="24"/>
                  </w:rPr>
                  <w:t>arba</w:t>
                </w:r>
              </w:p>
              <w:p>
                <w:pPr>
                  <w:rPr>
                    <w:color w:val="000000"/>
                    <w:szCs w:val="24"/>
                  </w:rPr>
                </w:pPr>
                <w:r>
                  <w:rPr>
                    <w:color w:val="000000"/>
                    <w:szCs w:val="24"/>
                  </w:rPr>
                  <w:t>šeimos medicinos paslaugas teikiantis vaikų ligų gydytojas (tik paaugliams)</w:t>
                </w:r>
              </w:p>
              <w:p>
                <w:pPr>
                  <w:rPr>
                    <w:color w:val="000000"/>
                    <w:szCs w:val="24"/>
                  </w:rPr>
                </w:pPr>
                <w:r>
                  <w:rPr>
                    <w:color w:val="000000"/>
                    <w:szCs w:val="24"/>
                  </w:rPr>
                  <w:t xml:space="preserve">arba </w:t>
                </w:r>
              </w:p>
              <w:p>
                <w:pPr>
                  <w:rPr>
                    <w:color w:val="000000"/>
                    <w:szCs w:val="24"/>
                  </w:rPr>
                </w:pPr>
                <w:r>
                  <w:rPr>
                    <w:color w:val="000000"/>
                    <w:szCs w:val="24"/>
                  </w:rPr>
                  <w:t>šeimos medicinos paslaugas teikiantis vidaus ligų gydytojas (tik pilnamečiams mokiniams)</w:t>
                </w:r>
              </w:p>
              <w:p>
                <w:pPr>
                  <w:rPr>
                    <w:color w:val="000000"/>
                    <w:szCs w:val="24"/>
                  </w:rPr>
                </w:pPr>
              </w:p>
              <w:p>
                <w:pPr>
                  <w:rPr>
                    <w:color w:val="000000"/>
                    <w:szCs w:val="24"/>
                  </w:rPr>
                </w:pPr>
              </w:p>
            </w:tc>
            <w:tc>
              <w:tcPr>
                <w:tcW w:w="4536" w:type="dxa"/>
                <w:tcBorders>
                  <w:top w:val="single" w:sz="4" w:space="0" w:color="auto"/>
                  <w:left w:val="single" w:sz="4" w:space="0" w:color="auto"/>
                  <w:bottom w:val="single" w:sz="4" w:space="0" w:color="auto"/>
                  <w:right w:val="single" w:sz="4" w:space="0" w:color="auto"/>
                </w:tcBorders>
              </w:tcPr>
              <w:p>
                <w:pPr>
                  <w:rPr>
                    <w:color w:val="000000"/>
                    <w:szCs w:val="24"/>
                  </w:rPr>
                </w:pPr>
                <w:r>
                  <w:rPr>
                    <w:color w:val="000000"/>
                    <w:szCs w:val="24"/>
                  </w:rPr>
                  <w:t xml:space="preserve">5.1. Kiekvieno apsilankymo metu įvertinti paciento sveikatos būklę, fizinę būklę, lytinį brendimą, augimą, nubrėžiant  asmenines ūgio ir svorio bei  svorio priklausomybės nuo ūgio kitimo kreives pagal lytį; įvertinti KMI, AKS, mitybos įpročius, fizinį aktyvumą, atramos judamąjį aparatą, psichikos būklę, regėjimo aštrumą, klausos aštrumą, įsitraukimą į rizikingą sveikatai elgseną (pvz., patyčios, smurtas), lytinio aktyvumo bei lytinės elgsenos saugumą bei, atsižvelgiant į amžiaus ypatumus, informuoti pacientą, jo tėvus ar kitus atstovus pagal įstatymą apie sveikos gyvensenos ugdymą, rekomenduoti profilaktines priemones, mokyti sveikos gyvensenos principų, pagal paciento poreikius teikti sveikatos informavimo ir konsultavimo paslaugas toliau išvardytais klausimais: </w:t>
                </w:r>
              </w:p>
              <w:p>
                <w:pPr>
                  <w:rPr>
                    <w:color w:val="000000"/>
                    <w:szCs w:val="24"/>
                  </w:rPr>
                </w:pPr>
                <w:r>
                  <w:rPr>
                    <w:color w:val="000000"/>
                    <w:szCs w:val="24"/>
                  </w:rPr>
                  <w:t>5.1.1. asmens higienos;</w:t>
                </w:r>
              </w:p>
              <w:p>
                <w:pPr>
                  <w:rPr>
                    <w:color w:val="000000"/>
                    <w:szCs w:val="24"/>
                  </w:rPr>
                </w:pPr>
                <w:r>
                  <w:rPr>
                    <w:color w:val="000000"/>
                    <w:szCs w:val="24"/>
                  </w:rPr>
                  <w:t>5.1.2. racionalios mitybos;</w:t>
                </w:r>
              </w:p>
              <w:p>
                <w:pPr>
                  <w:rPr>
                    <w:color w:val="000000"/>
                    <w:szCs w:val="24"/>
                  </w:rPr>
                </w:pPr>
                <w:r>
                  <w:rPr>
                    <w:color w:val="000000"/>
                    <w:szCs w:val="24"/>
                  </w:rPr>
                  <w:t xml:space="preserve">5.1.3. miego ir budrumo režimo; </w:t>
                </w:r>
              </w:p>
              <w:p>
                <w:pPr>
                  <w:rPr>
                    <w:color w:val="000000"/>
                    <w:szCs w:val="24"/>
                  </w:rPr>
                </w:pPr>
                <w:r>
                  <w:rPr>
                    <w:color w:val="000000"/>
                    <w:szCs w:val="24"/>
                  </w:rPr>
                  <w:t>5.1.4. burnos sveikatos;</w:t>
                </w:r>
              </w:p>
              <w:p>
                <w:pPr>
                  <w:rPr>
                    <w:color w:val="000000"/>
                    <w:szCs w:val="24"/>
                  </w:rPr>
                </w:pPr>
                <w:r>
                  <w:rPr>
                    <w:color w:val="000000"/>
                    <w:szCs w:val="24"/>
                  </w:rPr>
                  <w:t>5.1.5. fizinio aktyvumo (rekomenduotina ne mažiau kaip 1 val. kasdien) lauke, ir sveiko gyvenimo būdo;</w:t>
                </w:r>
              </w:p>
              <w:p>
                <w:pPr>
                  <w:rPr>
                    <w:color w:val="000000"/>
                    <w:szCs w:val="24"/>
                  </w:rPr>
                </w:pPr>
                <w:r>
                  <w:rPr>
                    <w:color w:val="000000"/>
                    <w:szCs w:val="24"/>
                  </w:rPr>
                  <w:t>5.1.6. regėjimo sutrikimų, sukeliamų darbo su videoterminalais, profilaktikos, taisyklingos laikysenos sėdint prie kompiuterio, darbo ir poilsio režimo;</w:t>
                </w:r>
              </w:p>
              <w:p>
                <w:pPr>
                  <w:rPr>
                    <w:color w:val="000000"/>
                    <w:szCs w:val="24"/>
                  </w:rPr>
                </w:pPr>
                <w:r>
                  <w:rPr>
                    <w:color w:val="000000"/>
                    <w:szCs w:val="24"/>
                  </w:rPr>
                  <w:t>5.1.7. traumų, prievartos, uždusimo, paskendimo, apsinuodijimų, nudegimų ir kitų nelaimingų atsitikimų, saugaus elgesio kelyje ir kitoje aplinkoje profilaktiką, imunoprofilaktiką;</w:t>
                </w:r>
              </w:p>
              <w:p>
                <w:pPr>
                  <w:rPr>
                    <w:color w:val="000000"/>
                    <w:szCs w:val="24"/>
                  </w:rPr>
                </w:pPr>
                <w:r>
                  <w:rPr>
                    <w:color w:val="000000"/>
                    <w:szCs w:val="24"/>
                  </w:rPr>
                  <w:t xml:space="preserve">5.1.8. žalingų sveikatai įpročių (alkoholio, nikotino ir narkotinių medžiagų vartojimo); </w:t>
                </w:r>
              </w:p>
              <w:p>
                <w:pPr>
                  <w:rPr>
                    <w:color w:val="000000"/>
                    <w:szCs w:val="24"/>
                  </w:rPr>
                </w:pPr>
                <w:r>
                  <w:rPr>
                    <w:color w:val="000000"/>
                    <w:szCs w:val="24"/>
                  </w:rPr>
                  <w:t>5.1.9. atsparumo rizikingai sveikatai elgsenai;</w:t>
                </w:r>
              </w:p>
              <w:p>
                <w:pPr>
                  <w:rPr>
                    <w:color w:val="000000"/>
                    <w:szCs w:val="24"/>
                  </w:rPr>
                </w:pPr>
                <w:r>
                  <w:rPr>
                    <w:color w:val="000000"/>
                    <w:szCs w:val="24"/>
                  </w:rPr>
                  <w:t>5.1.10. lytinės elgsenos saugumo;</w:t>
                </w:r>
              </w:p>
              <w:p>
                <w:pPr>
                  <w:rPr>
                    <w:color w:val="000000"/>
                    <w:szCs w:val="24"/>
                  </w:rPr>
                </w:pPr>
                <w:r>
                  <w:rPr>
                    <w:color w:val="000000"/>
                    <w:szCs w:val="24"/>
                  </w:rPr>
                  <w:t xml:space="preserve">5.1.11. sveikatos priežiūros pagalbos neįgalaus vaiko šeimai. </w:t>
                </w:r>
              </w:p>
            </w:tc>
            <w:tc>
              <w:tcPr>
                <w:tcW w:w="1701" w:type="dxa"/>
                <w:vMerge w:val="restart"/>
                <w:tcBorders>
                  <w:bottom w:val="single" w:sz="4" w:space="0" w:color="auto"/>
                </w:tcBorders>
              </w:tcPr>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tc>
            <w:tc>
              <w:tcPr>
                <w:tcW w:w="1559" w:type="dxa"/>
                <w:vMerge w:val="restart"/>
                <w:tcBorders>
                  <w:bottom w:val="single" w:sz="4" w:space="0" w:color="auto"/>
                </w:tcBorders>
              </w:tcPr>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tc>
            <w:tc>
              <w:tcPr>
                <w:tcW w:w="1701" w:type="dxa"/>
                <w:vMerge w:val="restart"/>
                <w:tcBorders>
                  <w:bottom w:val="single" w:sz="4" w:space="0" w:color="auto"/>
                </w:tcBorders>
              </w:tcPr>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tc>
          </w:tr>
          <w:tr>
            <w:trPr>
              <w:trHeight w:val="20"/>
            </w:trPr>
            <w:tc>
              <w:tcPr>
                <w:tcW w:w="568" w:type="dxa"/>
                <w:vMerge/>
                <w:tcBorders>
                  <w:bottom w:val="single" w:sz="4" w:space="0" w:color="auto"/>
                </w:tcBorders>
              </w:tcPr>
              <w:p>
                <w:pPr>
                  <w:rPr>
                    <w:color w:val="000000"/>
                    <w:szCs w:val="24"/>
                  </w:rPr>
                </w:pPr>
              </w:p>
            </w:tc>
            <w:tc>
              <w:tcPr>
                <w:tcW w:w="1276" w:type="dxa"/>
                <w:vMerge/>
                <w:tcBorders>
                  <w:bottom w:val="single" w:sz="4" w:space="0" w:color="auto"/>
                </w:tcBorders>
              </w:tcPr>
              <w:p>
                <w:pPr>
                  <w:rPr>
                    <w:szCs w:val="24"/>
                    <w:lang w:eastAsia="lt-LT"/>
                  </w:rPr>
                </w:pPr>
              </w:p>
            </w:tc>
            <w:tc>
              <w:tcPr>
                <w:tcW w:w="1701" w:type="dxa"/>
                <w:tcBorders>
                  <w:top w:val="single" w:sz="4" w:space="0" w:color="auto"/>
                  <w:left w:val="single" w:sz="4" w:space="0" w:color="auto"/>
                  <w:bottom w:val="single" w:sz="4" w:space="0" w:color="auto"/>
                  <w:right w:val="single" w:sz="4" w:space="0" w:color="auto"/>
                </w:tcBorders>
              </w:tcPr>
              <w:p>
                <w:pPr>
                  <w:jc w:val="center"/>
                  <w:rPr>
                    <w:color w:val="000000"/>
                    <w:szCs w:val="24"/>
                  </w:rPr>
                </w:pPr>
                <w:r>
                  <w:rPr>
                    <w:color w:val="000000"/>
                    <w:szCs w:val="24"/>
                  </w:rPr>
                  <w:t xml:space="preserve">1 kartą per 2 metus </w:t>
                </w:r>
              </w:p>
              <w:p>
                <w:pPr>
                  <w:jc w:val="center"/>
                  <w:rPr>
                    <w:color w:val="000000"/>
                    <w:szCs w:val="24"/>
                  </w:rPr>
                </w:pPr>
              </w:p>
            </w:tc>
            <w:tc>
              <w:tcPr>
                <w:tcW w:w="2268" w:type="dxa"/>
                <w:tcBorders>
                  <w:top w:val="single" w:sz="4" w:space="0" w:color="auto"/>
                  <w:left w:val="single" w:sz="4" w:space="0" w:color="auto"/>
                  <w:bottom w:val="single" w:sz="4" w:space="0" w:color="auto"/>
                  <w:right w:val="single" w:sz="4" w:space="0" w:color="auto"/>
                </w:tcBorders>
              </w:tcPr>
              <w:p>
                <w:pPr>
                  <w:rPr>
                    <w:color w:val="000000"/>
                    <w:szCs w:val="24"/>
                  </w:rPr>
                </w:pPr>
                <w:r>
                  <w:rPr>
                    <w:color w:val="000000"/>
                    <w:szCs w:val="24"/>
                  </w:rPr>
                  <w:t>Šeimos gydytojas</w:t>
                </w:r>
              </w:p>
              <w:p>
                <w:pPr>
                  <w:rPr>
                    <w:color w:val="000000"/>
                    <w:szCs w:val="24"/>
                  </w:rPr>
                </w:pPr>
                <w:r>
                  <w:rPr>
                    <w:color w:val="000000"/>
                    <w:szCs w:val="24"/>
                  </w:rPr>
                  <w:t>arba</w:t>
                </w:r>
              </w:p>
              <w:p>
                <w:pPr>
                  <w:rPr>
                    <w:color w:val="000000"/>
                    <w:szCs w:val="24"/>
                  </w:rPr>
                </w:pPr>
                <w:r>
                  <w:rPr>
                    <w:color w:val="000000"/>
                    <w:szCs w:val="24"/>
                  </w:rPr>
                  <w:t>šeimos medicinos paslaugas teikiantis vaikų ligų gydytojas (tik paaugliams)</w:t>
                </w:r>
              </w:p>
              <w:p>
                <w:pPr>
                  <w:rPr>
                    <w:color w:val="000000"/>
                    <w:szCs w:val="24"/>
                  </w:rPr>
                </w:pPr>
                <w:r>
                  <w:rPr>
                    <w:color w:val="000000"/>
                    <w:szCs w:val="24"/>
                  </w:rPr>
                  <w:t xml:space="preserve">arba </w:t>
                </w:r>
              </w:p>
              <w:p>
                <w:pPr>
                  <w:rPr>
                    <w:color w:val="000000"/>
                    <w:szCs w:val="24"/>
                  </w:rPr>
                </w:pPr>
                <w:r>
                  <w:rPr>
                    <w:color w:val="000000"/>
                    <w:szCs w:val="24"/>
                  </w:rPr>
                  <w:t>šeimos medicinos paslaugas teikiantis vidaus ligų gydytojas (tik pilnamečiams mokiniams)</w:t>
                </w:r>
              </w:p>
              <w:p>
                <w:pPr>
                  <w:rPr>
                    <w:color w:val="000000"/>
                    <w:szCs w:val="24"/>
                  </w:rPr>
                </w:pPr>
              </w:p>
            </w:tc>
            <w:tc>
              <w:tcPr>
                <w:tcW w:w="4536" w:type="dxa"/>
                <w:tcBorders>
                  <w:top w:val="single" w:sz="4" w:space="0" w:color="auto"/>
                  <w:left w:val="single" w:sz="4" w:space="0" w:color="auto"/>
                  <w:bottom w:val="single" w:sz="4" w:space="0" w:color="auto"/>
                  <w:right w:val="single" w:sz="4" w:space="0" w:color="auto"/>
                </w:tcBorders>
              </w:tcPr>
              <w:p>
                <w:pPr>
                  <w:rPr>
                    <w:color w:val="000000"/>
                    <w:szCs w:val="24"/>
                  </w:rPr>
                </w:pPr>
                <w:r>
                  <w:rPr>
                    <w:color w:val="000000"/>
                    <w:szCs w:val="24"/>
                  </w:rPr>
                  <w:t>5.2. Atlikti ir įvertinti:</w:t>
                </w:r>
              </w:p>
              <w:p>
                <w:pPr>
                  <w:rPr>
                    <w:color w:val="000000"/>
                    <w:szCs w:val="24"/>
                  </w:rPr>
                </w:pPr>
                <w:r>
                  <w:rPr>
                    <w:color w:val="000000"/>
                    <w:szCs w:val="24"/>
                  </w:rPr>
                  <w:t>5.2.1. bendrą kraujo tyrimą, jei yra šie rizikos veiksniai: neracionali mityba (ypač – vegetarams), gausios menstruacijos, pacientas sportuoja, gyvena blogomis socialinėmis sąlygomis, augimo spurto metu ir jei paauglys netenka kūno masės;</w:t>
                </w:r>
              </w:p>
              <w:p>
                <w:pPr>
                  <w:rPr>
                    <w:color w:val="000000"/>
                    <w:szCs w:val="24"/>
                  </w:rPr>
                </w:pPr>
                <w:r>
                  <w:rPr>
                    <w:color w:val="000000"/>
                    <w:szCs w:val="24"/>
                  </w:rPr>
                  <w:t>5.2.2. kapiliarinės glikemijos tyrimą, jei yra šie klinikiniai simptomai: poliurija, polidipsija, svorio kritimas, nuovargis; nuo 10 metų arba prasidėjus lytiniam brendimui, kai KMI viršija 85 procentilę ir yra rizikos veiksnių, tokių kaip cukrinis diabetas ir (ar) širdies kraujagyslių ligos šeimoje,  atsparumo insulinui požymių (juodoji akantozė, dislipidemija, hipertenzija, policistinių kiaušidžių sindromas);</w:t>
                </w:r>
              </w:p>
              <w:p>
                <w:pPr>
                  <w:rPr>
                    <w:color w:val="000000"/>
                    <w:szCs w:val="24"/>
                  </w:rPr>
                </w:pPr>
                <w:r>
                  <w:rPr>
                    <w:color w:val="000000"/>
                    <w:szCs w:val="24"/>
                  </w:rPr>
                  <w:t>visiems, kurių KMI viršija 95 procentilę pagal amžių ir lytį;</w:t>
                </w:r>
              </w:p>
              <w:p>
                <w:pPr>
                  <w:rPr>
                    <w:color w:val="000000"/>
                    <w:szCs w:val="24"/>
                  </w:rPr>
                </w:pPr>
                <w:r>
                  <w:rPr>
                    <w:color w:val="000000"/>
                    <w:szCs w:val="24"/>
                  </w:rPr>
                  <w:t>5.2.3. bendrą šlapimo tyrimą.</w:t>
                </w:r>
              </w:p>
            </w:tc>
            <w:tc>
              <w:tcPr>
                <w:tcW w:w="1701" w:type="dxa"/>
                <w:vMerge/>
                <w:tcBorders>
                  <w:bottom w:val="single" w:sz="4" w:space="0" w:color="auto"/>
                </w:tcBorders>
              </w:tcPr>
              <w:p>
                <w:pPr>
                  <w:rPr>
                    <w:color w:val="000000"/>
                    <w:szCs w:val="24"/>
                  </w:rPr>
                </w:pPr>
              </w:p>
            </w:tc>
            <w:tc>
              <w:tcPr>
                <w:tcW w:w="1559" w:type="dxa"/>
                <w:vMerge/>
                <w:tcBorders>
                  <w:bottom w:val="single" w:sz="4" w:space="0" w:color="auto"/>
                </w:tcBorders>
              </w:tcPr>
              <w:p>
                <w:pPr>
                  <w:rPr>
                    <w:color w:val="000000"/>
                    <w:szCs w:val="24"/>
                  </w:rPr>
                </w:pPr>
              </w:p>
            </w:tc>
            <w:tc>
              <w:tcPr>
                <w:tcW w:w="1701" w:type="dxa"/>
                <w:vMerge/>
                <w:tcBorders>
                  <w:bottom w:val="single" w:sz="4" w:space="0" w:color="auto"/>
                </w:tcBorders>
              </w:tcPr>
              <w:p>
                <w:pPr>
                  <w:rPr>
                    <w:color w:val="000000"/>
                    <w:szCs w:val="24"/>
                  </w:rPr>
                </w:pPr>
              </w:p>
            </w:tc>
          </w:tr>
          <w:tr>
            <w:trPr>
              <w:trHeight w:val="20"/>
            </w:trPr>
            <w:tc>
              <w:tcPr>
                <w:tcW w:w="568" w:type="dxa"/>
                <w:vMerge/>
                <w:tcBorders>
                  <w:bottom w:val="single" w:sz="4" w:space="0" w:color="auto"/>
                </w:tcBorders>
              </w:tcPr>
              <w:p>
                <w:pPr>
                  <w:rPr>
                    <w:color w:val="000000"/>
                    <w:szCs w:val="24"/>
                  </w:rPr>
                </w:pPr>
              </w:p>
            </w:tc>
            <w:tc>
              <w:tcPr>
                <w:tcW w:w="1276" w:type="dxa"/>
                <w:vMerge/>
                <w:tcBorders>
                  <w:bottom w:val="single" w:sz="4" w:space="0" w:color="auto"/>
                </w:tcBorders>
              </w:tcPr>
              <w:p>
                <w:pPr>
                  <w:rPr>
                    <w:szCs w:val="24"/>
                    <w:lang w:eastAsia="lt-LT"/>
                  </w:rPr>
                </w:pPr>
              </w:p>
            </w:tc>
            <w:tc>
              <w:tcPr>
                <w:tcW w:w="1701" w:type="dxa"/>
                <w:tcBorders>
                  <w:top w:val="single" w:sz="4" w:space="0" w:color="auto"/>
                  <w:left w:val="single" w:sz="4" w:space="0" w:color="auto"/>
                  <w:bottom w:val="single" w:sz="4" w:space="0" w:color="auto"/>
                  <w:right w:val="single" w:sz="4" w:space="0" w:color="auto"/>
                </w:tcBorders>
              </w:tcPr>
              <w:p>
                <w:pPr>
                  <w:jc w:val="center"/>
                  <w:rPr>
                    <w:color w:val="000000"/>
                    <w:szCs w:val="24"/>
                  </w:rPr>
                </w:pPr>
                <w:r>
                  <w:rPr>
                    <w:color w:val="000000"/>
                    <w:szCs w:val="24"/>
                  </w:rPr>
                  <w:t>1 kartą per metus</w:t>
                </w:r>
              </w:p>
            </w:tc>
            <w:tc>
              <w:tcPr>
                <w:tcW w:w="2268" w:type="dxa"/>
                <w:tcBorders>
                  <w:top w:val="single" w:sz="4" w:space="0" w:color="auto"/>
                  <w:left w:val="single" w:sz="4" w:space="0" w:color="auto"/>
                  <w:bottom w:val="single" w:sz="4" w:space="0" w:color="auto"/>
                  <w:right w:val="single" w:sz="4" w:space="0" w:color="auto"/>
                </w:tcBorders>
              </w:tcPr>
              <w:p>
                <w:pPr>
                  <w:rPr>
                    <w:color w:val="000000"/>
                    <w:szCs w:val="24"/>
                  </w:rPr>
                </w:pPr>
                <w:r>
                  <w:rPr>
                    <w:color w:val="000000"/>
                    <w:szCs w:val="24"/>
                  </w:rPr>
                  <w:t>Gydytojas odontologas, gydytojas odontologas specialistas arba burnos higienistas</w:t>
                </w:r>
              </w:p>
            </w:tc>
            <w:tc>
              <w:tcPr>
                <w:tcW w:w="4536" w:type="dxa"/>
                <w:tcBorders>
                  <w:top w:val="single" w:sz="4" w:space="0" w:color="auto"/>
                  <w:left w:val="single" w:sz="4" w:space="0" w:color="auto"/>
                  <w:bottom w:val="single" w:sz="4" w:space="0" w:color="auto"/>
                  <w:right w:val="single" w:sz="4" w:space="0" w:color="auto"/>
                </w:tcBorders>
              </w:tcPr>
              <w:p>
                <w:pPr>
                  <w:rPr>
                    <w:color w:val="000000"/>
                    <w:szCs w:val="24"/>
                  </w:rPr>
                </w:pPr>
                <w:r>
                  <w:rPr>
                    <w:color w:val="000000"/>
                    <w:szCs w:val="24"/>
                  </w:rPr>
                  <w:t xml:space="preserve">5.3. Atlikti dantų ėduonies diagnostiką, krūminių dantų silantavimą – priklausomai nuo dantų dygimo laiko, jei reikia, pagydyti ar skirti gydymo laiką / siųsti gydyti. </w:t>
                </w:r>
              </w:p>
              <w:p>
                <w:pPr>
                  <w:rPr>
                    <w:color w:val="000000"/>
                    <w:szCs w:val="24"/>
                  </w:rPr>
                </w:pPr>
                <w:r>
                  <w:rPr>
                    <w:color w:val="000000"/>
                    <w:szCs w:val="24"/>
                  </w:rPr>
                  <w:t xml:space="preserve">5.4. Įvertinti nuolatinių dantų sąkandį, nustatyti, ar nėra sąkandžio anomalijų, jei reikia, pagydyti ar siųsti konsultacijos / gydyti. </w:t>
                </w:r>
              </w:p>
            </w:tc>
            <w:tc>
              <w:tcPr>
                <w:tcW w:w="1701" w:type="dxa"/>
                <w:vMerge/>
                <w:tcBorders>
                  <w:bottom w:val="single" w:sz="4" w:space="0" w:color="auto"/>
                </w:tcBorders>
              </w:tcPr>
              <w:p>
                <w:pPr>
                  <w:rPr>
                    <w:color w:val="000000"/>
                    <w:szCs w:val="24"/>
                  </w:rPr>
                </w:pPr>
              </w:p>
            </w:tc>
            <w:tc>
              <w:tcPr>
                <w:tcW w:w="1559" w:type="dxa"/>
                <w:vMerge/>
                <w:tcBorders>
                  <w:bottom w:val="single" w:sz="4" w:space="0" w:color="auto"/>
                </w:tcBorders>
              </w:tcPr>
              <w:p>
                <w:pPr>
                  <w:rPr>
                    <w:color w:val="000000"/>
                    <w:szCs w:val="24"/>
                  </w:rPr>
                </w:pPr>
              </w:p>
            </w:tc>
            <w:tc>
              <w:tcPr>
                <w:tcW w:w="1701" w:type="dxa"/>
                <w:vMerge/>
                <w:tcBorders>
                  <w:bottom w:val="single" w:sz="4" w:space="0" w:color="auto"/>
                </w:tcBorders>
              </w:tcPr>
              <w:p>
                <w:pPr>
                  <w:rPr>
                    <w:color w:val="000000"/>
                    <w:szCs w:val="24"/>
                  </w:rPr>
                </w:pPr>
              </w:p>
            </w:tc>
          </w:tr>
          <w:tr>
            <w:trPr>
              <w:trHeight w:val="20"/>
            </w:trPr>
            <w:tc>
              <w:tcPr>
                <w:tcW w:w="568" w:type="dxa"/>
                <w:vMerge/>
                <w:tcBorders>
                  <w:bottom w:val="single" w:sz="4" w:space="0" w:color="auto"/>
                </w:tcBorders>
              </w:tcPr>
              <w:p>
                <w:pPr>
                  <w:rPr>
                    <w:color w:val="000000"/>
                    <w:szCs w:val="24"/>
                  </w:rPr>
                </w:pPr>
              </w:p>
            </w:tc>
            <w:tc>
              <w:tcPr>
                <w:tcW w:w="1276" w:type="dxa"/>
                <w:vMerge/>
                <w:tcBorders>
                  <w:bottom w:val="single" w:sz="4" w:space="0" w:color="auto"/>
                </w:tcBorders>
              </w:tcPr>
              <w:p>
                <w:pPr>
                  <w:rPr>
                    <w:szCs w:val="24"/>
                    <w:lang w:eastAsia="lt-LT"/>
                  </w:rPr>
                </w:pPr>
              </w:p>
            </w:tc>
            <w:tc>
              <w:tcPr>
                <w:tcW w:w="1701" w:type="dxa"/>
                <w:tcBorders>
                  <w:top w:val="single" w:sz="4" w:space="0" w:color="auto"/>
                  <w:left w:val="single" w:sz="4" w:space="0" w:color="auto"/>
                  <w:bottom w:val="single" w:sz="4" w:space="0" w:color="auto"/>
                  <w:right w:val="single" w:sz="4" w:space="0" w:color="auto"/>
                </w:tcBorders>
              </w:tcPr>
              <w:p>
                <w:pPr>
                  <w:jc w:val="center"/>
                  <w:rPr>
                    <w:color w:val="000000"/>
                    <w:szCs w:val="24"/>
                  </w:rPr>
                </w:pPr>
                <w:r>
                  <w:rPr>
                    <w:color w:val="000000"/>
                    <w:szCs w:val="24"/>
                  </w:rPr>
                  <w:t>1 kartą per metus</w:t>
                </w:r>
              </w:p>
            </w:tc>
            <w:tc>
              <w:tcPr>
                <w:tcW w:w="2268" w:type="dxa"/>
                <w:tcBorders>
                  <w:top w:val="single" w:sz="4" w:space="0" w:color="auto"/>
                  <w:left w:val="single" w:sz="4" w:space="0" w:color="auto"/>
                  <w:bottom w:val="single" w:sz="4" w:space="0" w:color="auto"/>
                  <w:right w:val="single" w:sz="4" w:space="0" w:color="auto"/>
                </w:tcBorders>
              </w:tcPr>
              <w:p>
                <w:pPr>
                  <w:rPr>
                    <w:color w:val="000000"/>
                    <w:szCs w:val="24"/>
                  </w:rPr>
                </w:pPr>
                <w:r>
                  <w:rPr>
                    <w:color w:val="000000"/>
                    <w:szCs w:val="24"/>
                  </w:rPr>
                  <w:t>Gydytojas odontologas,</w:t>
                </w:r>
              </w:p>
              <w:p>
                <w:pPr>
                  <w:rPr>
                    <w:color w:val="000000"/>
                    <w:szCs w:val="24"/>
                  </w:rPr>
                </w:pPr>
                <w:r>
                  <w:rPr>
                    <w:color w:val="000000"/>
                    <w:szCs w:val="24"/>
                  </w:rPr>
                  <w:t>gydytojas odontologas specialistas</w:t>
                </w:r>
              </w:p>
              <w:p>
                <w:pPr>
                  <w:rPr>
                    <w:color w:val="000000"/>
                    <w:szCs w:val="24"/>
                  </w:rPr>
                </w:pPr>
                <w:r>
                  <w:rPr>
                    <w:color w:val="000000"/>
                    <w:szCs w:val="24"/>
                  </w:rPr>
                  <w:t xml:space="preserve">arba burnos higienistas </w:t>
                </w:r>
              </w:p>
            </w:tc>
            <w:tc>
              <w:tcPr>
                <w:tcW w:w="4536" w:type="dxa"/>
                <w:tcBorders>
                  <w:top w:val="single" w:sz="4" w:space="0" w:color="auto"/>
                  <w:left w:val="single" w:sz="4" w:space="0" w:color="auto"/>
                  <w:bottom w:val="single" w:sz="4" w:space="0" w:color="auto"/>
                  <w:right w:val="single" w:sz="4" w:space="0" w:color="auto"/>
                </w:tcBorders>
              </w:tcPr>
              <w:p>
                <w:pPr>
                  <w:rPr>
                    <w:color w:val="000000"/>
                    <w:szCs w:val="24"/>
                  </w:rPr>
                </w:pPr>
                <w:r>
                  <w:rPr>
                    <w:color w:val="000000"/>
                    <w:szCs w:val="24"/>
                  </w:rPr>
                  <w:t>5.5. Atlikti dantų ėduonies profilaktiką.  </w:t>
                </w:r>
              </w:p>
              <w:p>
                <w:pPr>
                  <w:rPr>
                    <w:color w:val="000000"/>
                    <w:szCs w:val="24"/>
                  </w:rPr>
                </w:pPr>
                <w:r>
                  <w:rPr>
                    <w:color w:val="000000"/>
                    <w:szCs w:val="24"/>
                  </w:rPr>
                  <w:t>5.6. Įvertinti burnos higienos būklę ir pamokyti burnos higienos ir racionalios mitybos pagrindų, informuoti apie deimantų ant dantų, auskarų liežuvyje žalą. </w:t>
                </w:r>
              </w:p>
            </w:tc>
            <w:tc>
              <w:tcPr>
                <w:tcW w:w="1701" w:type="dxa"/>
                <w:vMerge/>
                <w:tcBorders>
                  <w:bottom w:val="single" w:sz="4" w:space="0" w:color="auto"/>
                </w:tcBorders>
              </w:tcPr>
              <w:p>
                <w:pPr>
                  <w:rPr>
                    <w:color w:val="000000"/>
                    <w:szCs w:val="24"/>
                  </w:rPr>
                </w:pPr>
              </w:p>
            </w:tc>
            <w:tc>
              <w:tcPr>
                <w:tcW w:w="1559" w:type="dxa"/>
                <w:vMerge/>
                <w:tcBorders>
                  <w:bottom w:val="single" w:sz="4" w:space="0" w:color="auto"/>
                </w:tcBorders>
              </w:tcPr>
              <w:p>
                <w:pPr>
                  <w:rPr>
                    <w:color w:val="000000"/>
                    <w:szCs w:val="24"/>
                  </w:rPr>
                </w:pPr>
              </w:p>
            </w:tc>
            <w:tc>
              <w:tcPr>
                <w:tcW w:w="1701" w:type="dxa"/>
                <w:vMerge/>
                <w:tcBorders>
                  <w:bottom w:val="single" w:sz="4" w:space="0" w:color="auto"/>
                </w:tcBorders>
              </w:tcPr>
              <w:p>
                <w:pPr>
                  <w:rPr>
                    <w:color w:val="000000"/>
                    <w:szCs w:val="24"/>
                  </w:rPr>
                </w:pPr>
              </w:p>
            </w:tc>
          </w:tr>
          <w:tr>
            <w:trPr>
              <w:trHeight w:val="20"/>
            </w:trPr>
            <w:tc>
              <w:tcPr>
                <w:tcW w:w="568" w:type="dxa"/>
                <w:vMerge/>
                <w:tcBorders>
                  <w:bottom w:val="single" w:sz="4" w:space="0" w:color="auto"/>
                </w:tcBorders>
              </w:tcPr>
              <w:p>
                <w:pPr>
                  <w:rPr>
                    <w:color w:val="000000"/>
                    <w:szCs w:val="24"/>
                  </w:rPr>
                </w:pPr>
              </w:p>
            </w:tc>
            <w:tc>
              <w:tcPr>
                <w:tcW w:w="1276" w:type="dxa"/>
                <w:vMerge/>
                <w:tcBorders>
                  <w:bottom w:val="single" w:sz="4" w:space="0" w:color="auto"/>
                </w:tcBorders>
              </w:tcPr>
              <w:p>
                <w:pPr>
                  <w:rPr>
                    <w:szCs w:val="24"/>
                    <w:lang w:eastAsia="lt-LT"/>
                  </w:rPr>
                </w:pPr>
              </w:p>
            </w:tc>
            <w:tc>
              <w:tcPr>
                <w:tcW w:w="1701" w:type="dxa"/>
                <w:tcBorders>
                  <w:top w:val="single" w:sz="4" w:space="0" w:color="auto"/>
                  <w:left w:val="single" w:sz="4" w:space="0" w:color="auto"/>
                  <w:bottom w:val="single" w:sz="4" w:space="0" w:color="auto"/>
                  <w:right w:val="single" w:sz="4" w:space="0" w:color="auto"/>
                </w:tcBorders>
              </w:tcPr>
              <w:p>
                <w:pPr>
                  <w:jc w:val="center"/>
                  <w:rPr>
                    <w:color w:val="000000"/>
                    <w:szCs w:val="24"/>
                  </w:rPr>
                </w:pPr>
                <w:r>
                  <w:rPr>
                    <w:color w:val="000000"/>
                    <w:szCs w:val="24"/>
                  </w:rPr>
                  <w:t>1 kartą per metus</w:t>
                </w:r>
              </w:p>
              <w:p>
                <w:pPr>
                  <w:jc w:val="center"/>
                  <w:rPr>
                    <w:color w:val="000000"/>
                    <w:szCs w:val="24"/>
                  </w:rPr>
                </w:pPr>
              </w:p>
            </w:tc>
            <w:tc>
              <w:tcPr>
                <w:tcW w:w="2268" w:type="dxa"/>
                <w:tcBorders>
                  <w:top w:val="single" w:sz="4" w:space="0" w:color="auto"/>
                  <w:left w:val="single" w:sz="4" w:space="0" w:color="auto"/>
                  <w:bottom w:val="single" w:sz="4" w:space="0" w:color="auto"/>
                  <w:right w:val="single" w:sz="4" w:space="0" w:color="auto"/>
                </w:tcBorders>
              </w:tcPr>
              <w:p>
                <w:pPr>
                  <w:rPr>
                    <w:color w:val="000000"/>
                    <w:szCs w:val="24"/>
                  </w:rPr>
                </w:pPr>
                <w:r>
                  <w:rPr>
                    <w:color w:val="000000"/>
                    <w:szCs w:val="24"/>
                  </w:rPr>
                  <w:t>Slaugytojas</w:t>
                </w:r>
              </w:p>
              <w:p>
                <w:pPr>
                  <w:rPr>
                    <w:color w:val="000000"/>
                    <w:szCs w:val="24"/>
                  </w:rPr>
                </w:pPr>
              </w:p>
            </w:tc>
            <w:tc>
              <w:tcPr>
                <w:tcW w:w="4536" w:type="dxa"/>
                <w:tcBorders>
                  <w:top w:val="single" w:sz="4" w:space="0" w:color="auto"/>
                  <w:left w:val="single" w:sz="4" w:space="0" w:color="auto"/>
                  <w:bottom w:val="single" w:sz="4" w:space="0" w:color="auto"/>
                  <w:right w:val="single" w:sz="4" w:space="0" w:color="auto"/>
                </w:tcBorders>
              </w:tcPr>
              <w:p>
                <w:pPr>
                  <w:rPr>
                    <w:color w:val="000000"/>
                    <w:szCs w:val="24"/>
                  </w:rPr>
                </w:pPr>
                <w:r>
                  <w:rPr>
                    <w:color w:val="000000"/>
                    <w:szCs w:val="24"/>
                  </w:rPr>
                  <w:t>5.7. Kiekvieno apsilankymo metu pamatuoti paciento AKS, ūgį bei svorį ir šiuos duomenis įrašyti į asmeninę svorio priklausomybės nuo ūgio kitimo diagramą pagal lytį, apskaičiuoti KMI.</w:t>
                </w:r>
              </w:p>
              <w:p>
                <w:pPr>
                  <w:rPr>
                    <w:color w:val="000000"/>
                    <w:szCs w:val="24"/>
                  </w:rPr>
                </w:pPr>
                <w:r>
                  <w:rPr>
                    <w:color w:val="000000"/>
                    <w:szCs w:val="24"/>
                  </w:rPr>
                  <w:t>5.8. Pagal amžiaus ir lyties ypatumus padėti pacientui susiformuoti racionalios mitybos, fizinio aktyvumo, sveiko gyvenimo būdo nuostatas.</w:t>
                </w:r>
              </w:p>
              <w:p>
                <w:pPr>
                  <w:rPr>
                    <w:color w:val="000000"/>
                    <w:szCs w:val="24"/>
                  </w:rPr>
                </w:pPr>
                <w:r>
                  <w:rPr>
                    <w:color w:val="000000"/>
                    <w:szCs w:val="24"/>
                  </w:rPr>
                  <w:t>5.9. Informuoti apie sveiką gyvenimo būdą,  ligų ir žalingų sveikatai įpročių profilaktiką, imunoprofilaktiką, lytinės elgsenos saugumą.“</w:t>
                </w:r>
              </w:p>
            </w:tc>
            <w:tc>
              <w:tcPr>
                <w:tcW w:w="1701" w:type="dxa"/>
                <w:vMerge/>
                <w:tcBorders>
                  <w:bottom w:val="single" w:sz="4" w:space="0" w:color="auto"/>
                </w:tcBorders>
              </w:tcPr>
              <w:p>
                <w:pPr>
                  <w:rPr>
                    <w:color w:val="000000"/>
                    <w:szCs w:val="24"/>
                  </w:rPr>
                </w:pPr>
              </w:p>
            </w:tc>
            <w:tc>
              <w:tcPr>
                <w:tcW w:w="1559" w:type="dxa"/>
                <w:vMerge/>
                <w:tcBorders>
                  <w:bottom w:val="single" w:sz="4" w:space="0" w:color="auto"/>
                </w:tcBorders>
              </w:tcPr>
              <w:p>
                <w:pPr>
                  <w:rPr>
                    <w:color w:val="000000"/>
                    <w:szCs w:val="24"/>
                  </w:rPr>
                </w:pPr>
              </w:p>
            </w:tc>
            <w:tc>
              <w:tcPr>
                <w:tcW w:w="1701" w:type="dxa"/>
                <w:vMerge/>
                <w:tcBorders>
                  <w:bottom w:val="single" w:sz="4" w:space="0" w:color="auto"/>
                </w:tcBorders>
              </w:tcPr>
              <w:p>
                <w:pPr>
                  <w:rPr>
                    <w:color w:val="000000"/>
                    <w:szCs w:val="24"/>
                  </w:rPr>
                </w:pPr>
              </w:p>
            </w:tc>
          </w:tr>
        </w:tbl>
        <w:p>
          <w:pPr>
            <w:tabs>
              <w:tab w:val="left" w:pos="600"/>
            </w:tabs>
            <w:jc w:val="both"/>
            <w:rPr>
              <w:color w:val="000000"/>
              <w:szCs w:val="24"/>
            </w:rPr>
          </w:pPr>
        </w:p>
        <w:p>
          <w:pPr>
            <w:snapToGrid w:val="0"/>
            <w:ind w:left="851"/>
            <w:jc w:val="center"/>
          </w:pPr>
          <w:r>
            <w:rPr>
              <w:color w:val="000000"/>
              <w:szCs w:val="24"/>
            </w:rPr>
            <w:t>______________</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d17f70d3c111e4bcd1a882e9a189f1">
            <w:r w:rsidRPr="00532B9F">
              <w:rPr>
                <w:rFonts w:ascii="Times New Roman" w:eastAsia="MS Mincho" w:hAnsi="Times New Roman"/>
                <w:sz w:val="20"/>
                <w:i/>
                <w:iCs/>
                <w:color w:val="0000FF" w:themeColor="hyperlink"/>
                <w:u w:val="single"/>
              </w:rPr>
              <w:t>V-383</w:t>
            </w:r>
          </w:fldSimple>
          <w:r>
            <w:rPr>
              <w:rFonts w:ascii="Times New Roman" w:eastAsia="MS Mincho" w:hAnsi="Times New Roman"/>
              <w:sz w:val="20"/>
              <w:i/>
              <w:iCs/>
            </w:rPr>
            <w:t>,
2015-03-23,
paskelbta TAR 2015-03-26, i. k. 2015-04324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595bc076f111e9b81587fcbd5a76f6">
            <w:r w:rsidRPr="00532B9F">
              <w:rPr>
                <w:rFonts w:ascii="Times New Roman" w:eastAsia="MS Mincho" w:hAnsi="Times New Roman"/>
                <w:sz w:val="20"/>
                <w:i/>
                <w:iCs/>
                <w:color w:val="0000FF" w:themeColor="hyperlink"/>
                <w:u w:val="single"/>
              </w:rPr>
              <w:t>V-566</w:t>
            </w:r>
          </w:fldSimple>
          <w:r>
            <w:rPr>
              <w:rFonts w:ascii="Times New Roman" w:eastAsia="MS Mincho" w:hAnsi="Times New Roman"/>
              <w:sz w:val="20"/>
              <w:i/>
              <w:iCs/>
            </w:rPr>
            <w:t>,
2019-05-14,
paskelbta TAR 2019-05-15, i. k. 2019-07703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f3a0a0015a11ebb74de75171d26d52">
            <w:r w:rsidRPr="00532B9F">
              <w:rPr>
                <w:rFonts w:ascii="Times New Roman" w:eastAsia="MS Mincho" w:hAnsi="Times New Roman"/>
                <w:sz w:val="20"/>
                <w:i/>
                <w:iCs/>
                <w:color w:val="0000FF" w:themeColor="hyperlink"/>
                <w:u w:val="single"/>
              </w:rPr>
              <w:t>V-2130</w:t>
            </w:r>
          </w:fldSimple>
          <w:r>
            <w:rPr>
              <w:rFonts w:ascii="Times New Roman" w:eastAsia="MS Mincho" w:hAnsi="Times New Roman"/>
              <w:sz w:val="20"/>
              <w:i/>
              <w:iCs/>
            </w:rPr>
            <w:t>,
2020-09-28,
paskelbta TAR 2020-09-28, i. k. 2020-20108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05ed8c092cc11eea5a28c81c82193a8">
            <w:r w:rsidRPr="00532B9F">
              <w:rPr>
                <w:rFonts w:ascii="Times New Roman" w:eastAsia="MS Mincho" w:hAnsi="Times New Roman"/>
                <w:sz w:val="20"/>
                <w:i/>
                <w:iCs/>
                <w:color w:val="0000FF" w:themeColor="hyperlink"/>
                <w:u w:val="single"/>
              </w:rPr>
              <w:t>V-1259</w:t>
            </w:r>
          </w:fldSimple>
          <w:r>
            <w:rPr>
              <w:rFonts w:ascii="Times New Roman" w:eastAsia="MS Mincho" w:hAnsi="Times New Roman"/>
              <w:sz w:val="20"/>
              <w:i/>
              <w:iCs/>
            </w:rPr>
            <w:t>,
2023-12-04,
paskelbta TAR 2023-12-04, i. k. 2023-23483            </w:t>
          </w:r>
        </w:p>
        <w:p/>
      </w:sdtContent>
    </w:sdt>
    <w:sdt>
      <w:sdtPr>
        <w:alias w:val="2 pr."/>
        <w:tag w:val="part_e5847b622753471f994024c27831818b"/>
        <w:lock w:val="sdtLocked"/>
        <w:richText/>
      </w:sdtPr>
      <w:sdtContent>
        <w:p>
          <w:pPr>
            <w:ind w:left="11907"/>
            <w:sectPr>
              <w:headerReference w:type="even" r:id="rId84"/>
              <w:headerReference w:type="default" r:id="rId85"/>
              <w:headerReference w:type="first" r:id="rId86"/>
              <w:pgSz w:w="16838" w:h="11906" w:orient="landscape" w:code="9"/>
              <w:pgMar w:top="539" w:right="1440" w:bottom="284" w:left="1134" w:header="284" w:footer="284" w:gutter="0"/>
              <w:pgNumType w:start="1"/>
              <w:cols w:space="708"/>
              <w:titlePg/>
              <w:docGrid w:linePitch="360"/>
            </w:sectPr>
          </w:pPr>
        </w:p>
        <w:p>
          <w:pPr>
            <w:shd w:val="clear" w:color="auto" w:fill="FFFFFF"/>
            <w:tabs>
              <w:tab w:val="left" w:pos="5812"/>
            </w:tabs>
            <w:ind w:left="9639"/>
            <w:rPr>
              <w:bCs/>
              <w:szCs w:val="24"/>
            </w:rPr>
          </w:pPr>
          <w:r>
            <w:rPr>
              <w:szCs w:val="24"/>
            </w:rPr>
            <w:t xml:space="preserve">Vaikų </w:t>
          </w:r>
          <w:r>
            <w:rPr>
              <w:bCs/>
              <w:szCs w:val="24"/>
            </w:rPr>
            <w:t xml:space="preserve">ir pilnamečių mokinių, ugdomų </w:t>
          </w:r>
        </w:p>
        <w:p>
          <w:pPr>
            <w:shd w:val="clear" w:color="auto" w:fill="FFFFFF"/>
            <w:tabs>
              <w:tab w:val="left" w:pos="5812"/>
            </w:tabs>
            <w:ind w:left="9639"/>
            <w:rPr>
              <w:szCs w:val="24"/>
            </w:rPr>
          </w:pPr>
          <w:r>
            <w:rPr>
              <w:bCs/>
              <w:szCs w:val="24"/>
            </w:rPr>
            <w:t>pagal bendrojo ugdymo programas,</w:t>
          </w:r>
          <w:r>
            <w:rPr>
              <w:szCs w:val="24"/>
            </w:rPr>
            <w:t xml:space="preserve"> </w:t>
          </w:r>
        </w:p>
        <w:p>
          <w:pPr>
            <w:ind w:left="9639" w:right="395"/>
            <w:rPr>
              <w:color w:val="000000"/>
              <w:szCs w:val="24"/>
            </w:rPr>
          </w:pPr>
          <w:r>
            <w:rPr>
              <w:szCs w:val="24"/>
            </w:rPr>
            <w:t>tikrinimo tvarkos aprašo</w:t>
          </w:r>
          <w:r>
            <w:rPr>
              <w:color w:val="000000"/>
              <w:szCs w:val="24"/>
            </w:rPr>
            <w:t xml:space="preserve">  </w:t>
          </w:r>
        </w:p>
        <w:p>
          <w:pPr>
            <w:ind w:left="9639"/>
            <w:rPr>
              <w:color w:val="000000"/>
              <w:szCs w:val="24"/>
            </w:rPr>
          </w:pPr>
          <w:sdt>
            <w:sdtPr>
              <w:alias w:val="Numeris"/>
              <w:tag w:val="nr_e5847b622753471f994024c27831818b"/>
              <w:lock w:val="sdtLocked"/>
              <w:richText/>
            </w:sdtPr>
            <w:sdtContent>
              <w:r>
                <w:rPr>
                  <w:color w:val="000000"/>
                  <w:szCs w:val="24"/>
                </w:rPr>
                <w:t>2</w:t>
              </w:r>
            </w:sdtContent>
          </w:sdt>
          <w:r>
            <w:rPr>
              <w:color w:val="000000"/>
              <w:szCs w:val="24"/>
            </w:rPr>
            <w:t xml:space="preserve"> priedas</w:t>
          </w:r>
        </w:p>
        <w:p>
          <w:pPr>
            <w:ind w:right="395"/>
            <w:jc w:val="right"/>
            <w:rPr>
              <w:color w:val="000000"/>
              <w:szCs w:val="24"/>
            </w:rPr>
          </w:pPr>
          <w:r>
            <w:rPr>
              <w:color w:val="000000"/>
              <w:szCs w:val="24"/>
            </w:rPr>
            <w:t>____________________</w:t>
          </w:r>
        </w:p>
        <w:p>
          <w:pPr>
            <w:ind w:right="395" w:firstLine="2880"/>
            <w:jc w:val="right"/>
            <w:rPr>
              <w:color w:val="000000"/>
              <w:szCs w:val="24"/>
            </w:rPr>
          </w:pPr>
          <w:r>
            <w:rPr>
              <w:color w:val="000000"/>
              <w:szCs w:val="24"/>
            </w:rPr>
            <w:t>Vaiko vardas, pavardė, formos Nr. 025-112/a, į kurią įklijuojama, Nr.</w:t>
            <w:br/>
          </w:r>
        </w:p>
        <w:sdt>
          <w:sdtPr>
            <w:alias w:val="Pavadinimas"/>
            <w:tag w:val="title_e5847b622753471f994024c27831818b"/>
            <w:lock w:val="sdtLocked"/>
            <w:richText/>
          </w:sdtPr>
          <w:sdtContent>
            <w:p>
              <w:pPr>
                <w:jc w:val="center"/>
                <w:rPr>
                  <w:color w:val="000000"/>
                  <w:szCs w:val="24"/>
                </w:rPr>
              </w:pPr>
              <w:r>
                <w:rPr>
                  <w:b/>
                  <w:color w:val="000000"/>
                  <w:szCs w:val="24"/>
                </w:rPr>
                <w:t xml:space="preserve">VAIKO PSICHOMOTORINĖS RAIDOS TIKRINIMO LAPAS (KŪDIKIS) </w:t>
              </w:r>
            </w:p>
          </w:sdtContent>
        </w:sdt>
        <w:p>
          <w:pPr>
            <w:ind w:right="395"/>
            <w:jc w:val="right"/>
            <w:rPr>
              <w:b/>
              <w:color w:val="000000"/>
              <w:szCs w:val="24"/>
            </w:rPr>
          </w:pPr>
          <w:r>
            <w:rPr>
              <w:color w:val="000000"/>
              <w:szCs w:val="24"/>
            </w:rPr>
            <w:t>1 lentelė</w:t>
          </w:r>
        </w:p>
        <w:tbl>
          <w:tblPr>
            <w:tblW w:w="1505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568"/>
            <w:gridCol w:w="1247"/>
            <w:gridCol w:w="1871"/>
            <w:gridCol w:w="4253"/>
            <w:gridCol w:w="1672"/>
            <w:gridCol w:w="850"/>
            <w:gridCol w:w="851"/>
            <w:gridCol w:w="1134"/>
            <w:gridCol w:w="769"/>
            <w:gridCol w:w="1844"/>
          </w:tblGrid>
          <w:tr>
            <w:trPr>
              <w:trHeight w:hRule="exact" w:val="567"/>
            </w:trPr>
            <w:tc>
              <w:tcPr>
                <w:tcW w:w="568" w:type="dxa"/>
                <w:vMerge w:val="restart"/>
              </w:tcPr>
              <w:p>
                <w:pPr>
                  <w:jc w:val="center"/>
                  <w:rPr>
                    <w:b/>
                    <w:color w:val="000000"/>
                    <w:szCs w:val="24"/>
                  </w:rPr>
                </w:pPr>
                <w:r>
                  <w:rPr>
                    <w:b/>
                    <w:color w:val="000000"/>
                    <w:szCs w:val="24"/>
                  </w:rPr>
                  <w:t>Nr.</w:t>
                </w:r>
              </w:p>
            </w:tc>
            <w:tc>
              <w:tcPr>
                <w:tcW w:w="1247" w:type="dxa"/>
                <w:vMerge w:val="restart"/>
              </w:tcPr>
              <w:p>
                <w:pPr>
                  <w:jc w:val="center"/>
                  <w:rPr>
                    <w:b/>
                    <w:color w:val="000000"/>
                    <w:szCs w:val="24"/>
                  </w:rPr>
                </w:pPr>
                <w:r>
                  <w:rPr>
                    <w:b/>
                    <w:color w:val="000000"/>
                    <w:szCs w:val="24"/>
                  </w:rPr>
                  <w:t>Kūdikio</w:t>
                </w:r>
              </w:p>
              <w:p>
                <w:pPr>
                  <w:jc w:val="center"/>
                  <w:rPr>
                    <w:b/>
                    <w:color w:val="000000"/>
                    <w:szCs w:val="24"/>
                  </w:rPr>
                </w:pPr>
                <w:r>
                  <w:rPr>
                    <w:b/>
                    <w:color w:val="000000"/>
                    <w:szCs w:val="24"/>
                  </w:rPr>
                  <w:t>amžius</w:t>
                </w:r>
              </w:p>
            </w:tc>
            <w:tc>
              <w:tcPr>
                <w:tcW w:w="7796" w:type="dxa"/>
                <w:gridSpan w:val="3"/>
                <w:vMerge w:val="restart"/>
              </w:tcPr>
              <w:p>
                <w:pPr>
                  <w:jc w:val="center"/>
                  <w:rPr>
                    <w:b/>
                    <w:color w:val="000000"/>
                    <w:szCs w:val="24"/>
                  </w:rPr>
                </w:pPr>
                <w:r>
                  <w:rPr>
                    <w:b/>
                    <w:color w:val="000000"/>
                    <w:szCs w:val="24"/>
                  </w:rPr>
                  <w:t xml:space="preserve">Įgūdžio aprašymas </w:t>
                </w:r>
              </w:p>
            </w:tc>
            <w:tc>
              <w:tcPr>
                <w:tcW w:w="1701" w:type="dxa"/>
                <w:gridSpan w:val="2"/>
              </w:tcPr>
              <w:p>
                <w:pPr>
                  <w:jc w:val="center"/>
                  <w:rPr>
                    <w:b/>
                    <w:color w:val="000000"/>
                    <w:szCs w:val="24"/>
                  </w:rPr>
                </w:pPr>
                <w:r>
                  <w:rPr>
                    <w:b/>
                    <w:color w:val="000000"/>
                    <w:szCs w:val="24"/>
                  </w:rPr>
                  <w:t>Įgūdžio vertinimas</w:t>
                </w:r>
              </w:p>
            </w:tc>
            <w:tc>
              <w:tcPr>
                <w:tcW w:w="1134" w:type="dxa"/>
                <w:vMerge w:val="restart"/>
              </w:tcPr>
              <w:p>
                <w:pPr>
                  <w:jc w:val="center"/>
                  <w:rPr>
                    <w:b/>
                    <w:color w:val="000000"/>
                    <w:szCs w:val="24"/>
                  </w:rPr>
                </w:pPr>
                <w:r>
                  <w:rPr>
                    <w:b/>
                    <w:color w:val="000000"/>
                    <w:szCs w:val="24"/>
                  </w:rPr>
                  <w:t>Išvada</w:t>
                </w:r>
              </w:p>
            </w:tc>
            <w:tc>
              <w:tcPr>
                <w:tcW w:w="769" w:type="dxa"/>
                <w:vMerge w:val="restart"/>
              </w:tcPr>
              <w:p>
                <w:pPr>
                  <w:jc w:val="center"/>
                  <w:rPr>
                    <w:b/>
                    <w:color w:val="000000"/>
                    <w:szCs w:val="24"/>
                  </w:rPr>
                </w:pPr>
                <w:r>
                  <w:rPr>
                    <w:b/>
                    <w:color w:val="000000"/>
                    <w:szCs w:val="24"/>
                  </w:rPr>
                  <w:t>Data</w:t>
                </w:r>
              </w:p>
            </w:tc>
            <w:tc>
              <w:tcPr>
                <w:tcW w:w="1844" w:type="dxa"/>
                <w:vMerge w:val="restart"/>
              </w:tcPr>
              <w:p>
                <w:pPr>
                  <w:jc w:val="center"/>
                  <w:rPr>
                    <w:b/>
                    <w:color w:val="000000"/>
                    <w:szCs w:val="24"/>
                  </w:rPr>
                </w:pPr>
                <w:r>
                  <w:rPr>
                    <w:b/>
                    <w:color w:val="000000"/>
                    <w:szCs w:val="24"/>
                  </w:rPr>
                  <w:t>Gydytojo parašas, spaudas</w:t>
                </w:r>
              </w:p>
            </w:tc>
          </w:tr>
          <w:tr>
            <w:trPr>
              <w:trHeight w:hRule="exact" w:val="567"/>
            </w:trPr>
            <w:tc>
              <w:tcPr>
                <w:tcW w:w="568" w:type="dxa"/>
                <w:vMerge/>
              </w:tcPr>
              <w:p>
                <w:pPr>
                  <w:jc w:val="center"/>
                  <w:rPr>
                    <w:b/>
                    <w:color w:val="000000"/>
                    <w:szCs w:val="24"/>
                  </w:rPr>
                </w:pPr>
              </w:p>
            </w:tc>
            <w:tc>
              <w:tcPr>
                <w:tcW w:w="1247" w:type="dxa"/>
                <w:vMerge/>
              </w:tcPr>
              <w:p>
                <w:pPr>
                  <w:jc w:val="center"/>
                  <w:rPr>
                    <w:b/>
                    <w:color w:val="000000"/>
                    <w:szCs w:val="24"/>
                  </w:rPr>
                </w:pPr>
              </w:p>
            </w:tc>
            <w:tc>
              <w:tcPr>
                <w:tcW w:w="7796" w:type="dxa"/>
                <w:gridSpan w:val="3"/>
                <w:vMerge/>
              </w:tcPr>
              <w:p>
                <w:pPr>
                  <w:jc w:val="center"/>
                  <w:rPr>
                    <w:b/>
                    <w:color w:val="000000"/>
                    <w:szCs w:val="24"/>
                  </w:rPr>
                </w:pPr>
              </w:p>
            </w:tc>
            <w:tc>
              <w:tcPr>
                <w:tcW w:w="850" w:type="dxa"/>
              </w:tcPr>
              <w:p>
                <w:pPr>
                  <w:jc w:val="center"/>
                  <w:rPr>
                    <w:b/>
                    <w:color w:val="000000"/>
                    <w:szCs w:val="24"/>
                  </w:rPr>
                </w:pPr>
                <w:r>
                  <w:rPr>
                    <w:b/>
                    <w:color w:val="000000"/>
                    <w:szCs w:val="24"/>
                  </w:rPr>
                  <w:t>Taip</w:t>
                </w:r>
              </w:p>
              <w:p>
                <w:pPr>
                  <w:jc w:val="center"/>
                  <w:rPr>
                    <w:b/>
                    <w:color w:val="000000"/>
                    <w:sz w:val="18"/>
                    <w:szCs w:val="18"/>
                  </w:rPr>
                </w:pPr>
                <w:r>
                  <w:rPr>
                    <w:b/>
                    <w:color w:val="000000"/>
                    <w:sz w:val="28"/>
                    <w:szCs w:val="28"/>
                  </w:rPr>
                  <w:t>√</w:t>
                </w:r>
              </w:p>
            </w:tc>
            <w:tc>
              <w:tcPr>
                <w:tcW w:w="851" w:type="dxa"/>
              </w:tcPr>
              <w:p>
                <w:pPr>
                  <w:jc w:val="center"/>
                  <w:rPr>
                    <w:b/>
                    <w:color w:val="000000"/>
                    <w:szCs w:val="24"/>
                  </w:rPr>
                </w:pPr>
                <w:r>
                  <w:rPr>
                    <w:b/>
                    <w:color w:val="000000"/>
                    <w:szCs w:val="24"/>
                  </w:rPr>
                  <w:t>Ne</w:t>
                </w:r>
              </w:p>
              <w:p>
                <w:pPr>
                  <w:jc w:val="center"/>
                  <w:rPr>
                    <w:b/>
                    <w:color w:val="000000"/>
                    <w:sz w:val="18"/>
                    <w:szCs w:val="18"/>
                  </w:rPr>
                </w:pPr>
                <w:r>
                  <w:rPr>
                    <w:b/>
                    <w:color w:val="000000"/>
                    <w:sz w:val="28"/>
                    <w:szCs w:val="28"/>
                  </w:rPr>
                  <w:t>√</w:t>
                </w:r>
              </w:p>
            </w:tc>
            <w:tc>
              <w:tcPr>
                <w:tcW w:w="1134" w:type="dxa"/>
                <w:vMerge/>
              </w:tcPr>
              <w:p>
                <w:pPr>
                  <w:jc w:val="center"/>
                  <w:rPr>
                    <w:b/>
                    <w:color w:val="000000"/>
                    <w:szCs w:val="24"/>
                  </w:rPr>
                </w:pPr>
              </w:p>
            </w:tc>
            <w:tc>
              <w:tcPr>
                <w:tcW w:w="769" w:type="dxa"/>
                <w:vMerge/>
              </w:tcPr>
              <w:p>
                <w:pPr>
                  <w:jc w:val="center"/>
                  <w:rPr>
                    <w:b/>
                    <w:color w:val="000000"/>
                    <w:szCs w:val="24"/>
                  </w:rPr>
                </w:pPr>
              </w:p>
            </w:tc>
            <w:tc>
              <w:tcPr>
                <w:tcW w:w="1844" w:type="dxa"/>
                <w:vMerge/>
              </w:tcPr>
              <w:p>
                <w:pPr>
                  <w:jc w:val="center"/>
                  <w:rPr>
                    <w:b/>
                    <w:color w:val="000000"/>
                    <w:szCs w:val="24"/>
                  </w:rPr>
                </w:pPr>
              </w:p>
            </w:tc>
          </w:tr>
          <w:tr>
            <w:trPr>
              <w:trHeight w:val="996"/>
            </w:trPr>
            <w:tc>
              <w:tcPr>
                <w:tcW w:w="568" w:type="dxa"/>
                <w:vMerge w:val="restart"/>
              </w:tcPr>
              <w:p>
                <w:pPr>
                  <w:rPr>
                    <w:color w:val="000000"/>
                    <w:szCs w:val="24"/>
                  </w:rPr>
                </w:pPr>
                <w:r>
                  <w:rPr>
                    <w:color w:val="000000"/>
                    <w:szCs w:val="24"/>
                  </w:rPr>
                  <w:t>1.</w:t>
                </w:r>
              </w:p>
            </w:tc>
            <w:tc>
              <w:tcPr>
                <w:tcW w:w="1247" w:type="dxa"/>
                <w:vMerge w:val="restart"/>
              </w:tcPr>
              <w:p>
                <w:pPr>
                  <w:rPr>
                    <w:color w:val="000000"/>
                    <w:szCs w:val="24"/>
                  </w:rPr>
                </w:pPr>
                <w:r>
                  <w:rPr>
                    <w:color w:val="000000"/>
                    <w:szCs w:val="24"/>
                  </w:rPr>
                  <w:t>3 mėn.</w:t>
                </w:r>
              </w:p>
              <w:p>
                <w:pPr>
                  <w:rPr>
                    <w:color w:val="000000"/>
                    <w:szCs w:val="24"/>
                    <w:lang w:eastAsia="lt-LT"/>
                  </w:rPr>
                </w:pPr>
              </w:p>
              <w:p>
                <w:pPr>
                  <w:rPr>
                    <w:color w:val="000000"/>
                    <w:szCs w:val="24"/>
                  </w:rPr>
                </w:pPr>
              </w:p>
            </w:tc>
            <w:tc>
              <w:tcPr>
                <w:tcW w:w="1871" w:type="dxa"/>
              </w:tcPr>
              <w:p>
                <w:pPr>
                  <w:rPr>
                    <w:color w:val="000000"/>
                    <w:szCs w:val="24"/>
                  </w:rPr>
                </w:pPr>
                <w:r>
                  <w:rPr>
                    <w:color w:val="000000"/>
                    <w:szCs w:val="24"/>
                  </w:rPr>
                  <w:t>1.1. Laiko galvą gulėdamas ant pilvo.</w:t>
                </w:r>
              </w:p>
            </w:tc>
            <w:tc>
              <w:tcPr>
                <w:tcW w:w="4253" w:type="dxa"/>
              </w:tcPr>
              <w:p>
                <w:pPr>
                  <w:rPr>
                    <w:color w:val="000000"/>
                    <w:szCs w:val="24"/>
                  </w:rPr>
                </w:pPr>
                <w:r>
                  <w:rPr>
                    <w:color w:val="000000"/>
                    <w:szCs w:val="24"/>
                  </w:rPr>
                  <w:t>Gulėdamas ant pilvo gerai laiko galvą, ją sukinėja į visas puses.</w:t>
                </w:r>
              </w:p>
            </w:tc>
            <w:tc>
              <w:tcPr>
                <w:tcW w:w="1672" w:type="dxa"/>
              </w:tcPr>
              <w:p>
                <w:pPr>
                  <w:rPr>
                    <w:b/>
                    <w:color w:val="000000"/>
                    <w:szCs w:val="24"/>
                  </w:rPr>
                </w:pPr>
                <w:r>
                  <w:rPr>
                    <w:b/>
                    <w:color w:val="000000"/>
                    <w:szCs w:val="24"/>
                    <w:lang w:eastAsia="lt-LT"/>
                  </w:rPr>
                  <w:drawing>
                    <wp:inline distT="0" distB="0" distL="0" distR="0">
                      <wp:extent cx="946298" cy="733647"/>
                      <wp:effectExtent l="0" t="0" r="6350" b="9525"/>
                      <wp:docPr id="32"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uli ant pilvuko 1.png"/>
                              <pic:cNvPicPr/>
                            </pic:nvPicPr>
                            <pic:blipFill>
                              <a:blip r:embed="rId87" cstate="print">
                                <a:extLst>
                                  <a:ext uri="{28A0092B-C50C-407E-A947-70E740481C1C}">
                                    <a14:useLocalDpi xmlns:a14="http://schemas.microsoft.com/office/drawing/2010/main" val="0"/>
                                  </a:ext>
                                </a:extLst>
                              </a:blip>
                              <a:stretch>
                                <a:fillRect/>
                              </a:stretch>
                            </pic:blipFill>
                            <pic:spPr>
                              <a:xfrm>
                                <a:off x="0" y="0"/>
                                <a:ext cx="942975" cy="731071"/>
                              </a:xfrm>
                              <a:prstGeom prst="rect">
                                <a:avLst/>
                              </a:prstGeom>
                            </pic:spPr>
                          </pic:pic>
                        </a:graphicData>
                      </a:graphic>
                    </wp:inline>
                  </w:drawing>
                </w:r>
              </w:p>
            </w:tc>
            <w:tc>
              <w:tcPr>
                <w:tcW w:w="850" w:type="dxa"/>
              </w:tcPr>
              <w:p>
                <w:pPr>
                  <w:rPr>
                    <w:color w:val="000000"/>
                    <w:szCs w:val="24"/>
                    <w:lang w:eastAsia="lt-LT"/>
                  </w:rPr>
                </w:pPr>
              </w:p>
            </w:tc>
            <w:tc>
              <w:tcPr>
                <w:tcW w:w="851" w:type="dxa"/>
              </w:tcPr>
              <w:p>
                <w:pPr>
                  <w:rPr>
                    <w:color w:val="000000"/>
                    <w:szCs w:val="24"/>
                    <w:lang w:eastAsia="lt-LT"/>
                  </w:rPr>
                </w:pPr>
              </w:p>
            </w:tc>
            <w:tc>
              <w:tcPr>
                <w:tcW w:w="1134" w:type="dxa"/>
                <w:vMerge w:val="restart"/>
              </w:tcPr>
              <w:p>
                <w:pPr>
                  <w:rPr>
                    <w:color w:val="000000"/>
                    <w:szCs w:val="24"/>
                    <w:lang w:eastAsia="lt-LT"/>
                  </w:rPr>
                </w:pPr>
                <w:r>
                  <w:rPr>
                    <w:color w:val="000000"/>
                    <w:szCs w:val="24"/>
                    <w:lang w:eastAsia="lt-LT"/>
                  </w:rPr>
                  <w:t xml:space="preserve">□ Normali </w:t>
                </w:r>
              </w:p>
              <w:p>
                <w:pPr>
                  <w:rPr>
                    <w:color w:val="000000"/>
                    <w:szCs w:val="24"/>
                    <w:lang w:eastAsia="lt-LT"/>
                  </w:rPr>
                </w:pPr>
                <w:r>
                  <w:rPr>
                    <w:color w:val="000000"/>
                    <w:szCs w:val="24"/>
                    <w:lang w:eastAsia="lt-LT"/>
                  </w:rPr>
                  <w:t>raida</w:t>
                </w:r>
              </w:p>
              <w:p>
                <w:pPr>
                  <w:rPr>
                    <w:color w:val="000000"/>
                    <w:szCs w:val="24"/>
                    <w:lang w:eastAsia="lt-LT"/>
                  </w:rPr>
                </w:pPr>
              </w:p>
              <w:p>
                <w:pPr>
                  <w:rPr>
                    <w:color w:val="000000"/>
                    <w:szCs w:val="24"/>
                    <w:lang w:eastAsia="lt-LT"/>
                  </w:rPr>
                </w:pPr>
                <w:r>
                  <w:rPr>
                    <w:color w:val="000000"/>
                    <w:szCs w:val="24"/>
                    <w:lang w:eastAsia="lt-LT"/>
                  </w:rPr>
                  <w:t>□ Raidos sutrikimo rizika</w:t>
                </w:r>
              </w:p>
            </w:tc>
            <w:tc>
              <w:tcPr>
                <w:tcW w:w="769" w:type="dxa"/>
                <w:vMerge w:val="restart"/>
              </w:tcPr>
              <w:p>
                <w:pPr>
                  <w:rPr>
                    <w:color w:val="000000"/>
                    <w:szCs w:val="24"/>
                    <w:lang w:eastAsia="lt-LT"/>
                  </w:rPr>
                </w:pPr>
              </w:p>
            </w:tc>
            <w:tc>
              <w:tcPr>
                <w:tcW w:w="1844" w:type="dxa"/>
                <w:vMerge w:val="restart"/>
              </w:tcPr>
              <w:p>
                <w:pPr>
                  <w:rPr>
                    <w:color w:val="000000"/>
                    <w:szCs w:val="24"/>
                    <w:lang w:eastAsia="lt-LT"/>
                  </w:rPr>
                </w:pPr>
              </w:p>
            </w:tc>
          </w:tr>
          <w:tr>
            <w:trPr>
              <w:trHeight w:val="958"/>
            </w:trPr>
            <w:tc>
              <w:tcPr>
                <w:tcW w:w="568" w:type="dxa"/>
                <w:vMerge/>
              </w:tcPr>
              <w:p>
                <w:pPr>
                  <w:rPr>
                    <w:color w:val="000000"/>
                    <w:szCs w:val="24"/>
                  </w:rPr>
                </w:pPr>
              </w:p>
            </w:tc>
            <w:tc>
              <w:tcPr>
                <w:tcW w:w="1247" w:type="dxa"/>
                <w:vMerge/>
              </w:tcPr>
              <w:p>
                <w:pPr>
                  <w:rPr>
                    <w:color w:val="000000"/>
                    <w:szCs w:val="24"/>
                  </w:rPr>
                </w:pPr>
              </w:p>
            </w:tc>
            <w:tc>
              <w:tcPr>
                <w:tcW w:w="1871" w:type="dxa"/>
              </w:tcPr>
              <w:p>
                <w:pPr>
                  <w:rPr>
                    <w:color w:val="000000"/>
                    <w:szCs w:val="24"/>
                  </w:rPr>
                </w:pPr>
                <w:r>
                  <w:rPr>
                    <w:color w:val="000000"/>
                    <w:szCs w:val="24"/>
                  </w:rPr>
                  <w:t>1.2. Gulėdamas ant nugaros suveda rankas į vidurio liniją.</w:t>
                </w:r>
              </w:p>
            </w:tc>
            <w:tc>
              <w:tcPr>
                <w:tcW w:w="4253" w:type="dxa"/>
              </w:tcPr>
              <w:p>
                <w:pPr>
                  <w:rPr>
                    <w:color w:val="000000"/>
                    <w:szCs w:val="24"/>
                  </w:rPr>
                </w:pPr>
                <w:r>
                  <w:rPr>
                    <w:color w:val="000000"/>
                    <w:szCs w:val="24"/>
                  </w:rPr>
                  <w:t>Gulėdamas ant nugaros rankas suveda ant krūtinės, gali viena ranka</w:t>
                </w:r>
                <w:r>
                  <w:rPr>
                    <w:color w:val="000000"/>
                    <w:szCs w:val="24"/>
                    <w:lang w:eastAsia="lt-LT"/>
                  </w:rPr>
                  <w:t xml:space="preserve"> </w:t>
                </w:r>
                <w:r>
                  <w:rPr>
                    <w:color w:val="000000"/>
                    <w:szCs w:val="24"/>
                  </w:rPr>
                  <w:t xml:space="preserve">suimti kitą. </w:t>
                </w:r>
              </w:p>
            </w:tc>
            <w:tc>
              <w:tcPr>
                <w:tcW w:w="1672" w:type="dxa"/>
              </w:tcPr>
              <w:p>
                <w:pPr>
                  <w:rPr>
                    <w:b/>
                    <w:color w:val="000000"/>
                    <w:szCs w:val="24"/>
                  </w:rPr>
                </w:pPr>
                <w:r>
                  <w:rPr>
                    <w:b/>
                    <w:color w:val="000000"/>
                    <w:szCs w:val="24"/>
                    <w:lang w:eastAsia="lt-LT"/>
                  </w:rPr>
                  <w:drawing>
                    <wp:inline distT="0" distB="0" distL="0" distR="0">
                      <wp:extent cx="933450" cy="762000"/>
                      <wp:effectExtent l="0" t="0" r="0" b="0"/>
                      <wp:docPr id="33"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uli.png"/>
                              <pic:cNvPicPr/>
                            </pic:nvPicPr>
                            <pic:blipFill>
                              <a:blip r:embed="rId88" cstate="print">
                                <a:extLst>
                                  <a:ext uri="{28A0092B-C50C-407E-A947-70E740481C1C}">
                                    <a14:useLocalDpi xmlns:a14="http://schemas.microsoft.com/office/drawing/2010/main" val="0"/>
                                  </a:ext>
                                </a:extLst>
                              </a:blip>
                              <a:stretch>
                                <a:fillRect/>
                              </a:stretch>
                            </pic:blipFill>
                            <pic:spPr>
                              <a:xfrm>
                                <a:off x="0" y="0"/>
                                <a:ext cx="942975" cy="769776"/>
                              </a:xfrm>
                              <a:prstGeom prst="rect">
                                <a:avLst/>
                              </a:prstGeom>
                            </pic:spPr>
                          </pic:pic>
                        </a:graphicData>
                      </a:graphic>
                    </wp:inline>
                  </w:drawing>
                </w:r>
              </w:p>
            </w:tc>
            <w:tc>
              <w:tcPr>
                <w:tcW w:w="850" w:type="dxa"/>
              </w:tcPr>
              <w:p>
                <w:pPr>
                  <w:rPr>
                    <w:color w:val="000000"/>
                    <w:szCs w:val="24"/>
                    <w:lang w:eastAsia="lt-LT"/>
                  </w:rPr>
                </w:pPr>
              </w:p>
            </w:tc>
            <w:tc>
              <w:tcPr>
                <w:tcW w:w="851" w:type="dxa"/>
              </w:tcPr>
              <w:p>
                <w:pPr>
                  <w:rPr>
                    <w:color w:val="000000"/>
                    <w:szCs w:val="24"/>
                    <w:lang w:eastAsia="lt-LT"/>
                  </w:rPr>
                </w:pPr>
              </w:p>
            </w:tc>
            <w:tc>
              <w:tcPr>
                <w:tcW w:w="1134" w:type="dxa"/>
                <w:vMerge/>
              </w:tcPr>
              <w:p>
                <w:pPr>
                  <w:rPr>
                    <w:color w:val="000000"/>
                    <w:szCs w:val="24"/>
                    <w:lang w:eastAsia="lt-LT"/>
                  </w:rPr>
                </w:pPr>
              </w:p>
            </w:tc>
            <w:tc>
              <w:tcPr>
                <w:tcW w:w="769" w:type="dxa"/>
                <w:vMerge/>
              </w:tcPr>
              <w:p>
                <w:pPr>
                  <w:rPr>
                    <w:color w:val="000000"/>
                    <w:szCs w:val="24"/>
                    <w:lang w:eastAsia="lt-LT"/>
                  </w:rPr>
                </w:pPr>
              </w:p>
            </w:tc>
            <w:tc>
              <w:tcPr>
                <w:tcW w:w="1844" w:type="dxa"/>
                <w:vMerge/>
              </w:tcPr>
              <w:p>
                <w:pPr>
                  <w:rPr>
                    <w:color w:val="000000"/>
                    <w:szCs w:val="24"/>
                    <w:lang w:eastAsia="lt-LT"/>
                  </w:rPr>
                </w:pPr>
              </w:p>
            </w:tc>
          </w:tr>
          <w:tr>
            <w:trPr>
              <w:trHeight w:val="677"/>
            </w:trPr>
            <w:tc>
              <w:tcPr>
                <w:tcW w:w="568" w:type="dxa"/>
                <w:vMerge/>
              </w:tcPr>
              <w:p>
                <w:pPr>
                  <w:rPr>
                    <w:color w:val="000000"/>
                    <w:szCs w:val="24"/>
                  </w:rPr>
                </w:pPr>
              </w:p>
            </w:tc>
            <w:tc>
              <w:tcPr>
                <w:tcW w:w="1247" w:type="dxa"/>
                <w:vMerge/>
              </w:tcPr>
              <w:p>
                <w:pPr>
                  <w:rPr>
                    <w:color w:val="000000"/>
                    <w:szCs w:val="24"/>
                  </w:rPr>
                </w:pPr>
              </w:p>
            </w:tc>
            <w:tc>
              <w:tcPr>
                <w:tcW w:w="1871" w:type="dxa"/>
              </w:tcPr>
              <w:p>
                <w:pPr>
                  <w:rPr>
                    <w:color w:val="000000"/>
                    <w:szCs w:val="24"/>
                  </w:rPr>
                </w:pPr>
                <w:r>
                  <w:rPr>
                    <w:color w:val="000000"/>
                    <w:szCs w:val="24"/>
                  </w:rPr>
                  <w:t>1.3. Šypsosi kalbinamas.</w:t>
                </w:r>
              </w:p>
            </w:tc>
            <w:tc>
              <w:tcPr>
                <w:tcW w:w="4253" w:type="dxa"/>
              </w:tcPr>
              <w:p>
                <w:pPr>
                  <w:rPr>
                    <w:color w:val="000000"/>
                    <w:szCs w:val="24"/>
                  </w:rPr>
                </w:pPr>
                <w:r>
                  <w:rPr>
                    <w:color w:val="000000"/>
                    <w:szCs w:val="24"/>
                  </w:rPr>
                  <w:t xml:space="preserve">Kai šypsodamasis suaugusysis kalbina vaiką, vaikas atsako šypsena. </w:t>
                </w:r>
              </w:p>
            </w:tc>
            <w:tc>
              <w:tcPr>
                <w:tcW w:w="1672" w:type="dxa"/>
              </w:tcPr>
              <w:p>
                <w:pPr>
                  <w:rPr>
                    <w:b/>
                    <w:color w:val="000000"/>
                    <w:szCs w:val="24"/>
                  </w:rPr>
                </w:pPr>
                <w:r>
                  <w:rPr>
                    <w:b/>
                    <w:color w:val="000000"/>
                    <w:szCs w:val="24"/>
                    <w:lang w:eastAsia="lt-LT"/>
                  </w:rPr>
                  <w:drawing>
                    <wp:inline distT="0" distB="0" distL="0" distR="0">
                      <wp:extent cx="581025" cy="596285"/>
                      <wp:effectExtent l="0" t="0" r="0" b="0"/>
                      <wp:docPr id="34"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0.png"/>
                              <pic:cNvPicPr/>
                            </pic:nvPicPr>
                            <pic:blipFill>
                              <a:blip r:embed="rId89" cstate="print">
                                <a:extLst>
                                  <a:ext uri="{28A0092B-C50C-407E-A947-70E740481C1C}">
                                    <a14:useLocalDpi xmlns:a14="http://schemas.microsoft.com/office/drawing/2010/main" val="0"/>
                                  </a:ext>
                                </a:extLst>
                              </a:blip>
                              <a:stretch>
                                <a:fillRect/>
                              </a:stretch>
                            </pic:blipFill>
                            <pic:spPr>
                              <a:xfrm>
                                <a:off x="0" y="0"/>
                                <a:ext cx="581254" cy="596520"/>
                              </a:xfrm>
                              <a:prstGeom prst="rect">
                                <a:avLst/>
                              </a:prstGeom>
                            </pic:spPr>
                          </pic:pic>
                        </a:graphicData>
                      </a:graphic>
                    </wp:inline>
                  </w:drawing>
                </w:r>
              </w:p>
            </w:tc>
            <w:tc>
              <w:tcPr>
                <w:tcW w:w="850" w:type="dxa"/>
              </w:tcPr>
              <w:p>
                <w:pPr>
                  <w:rPr>
                    <w:b/>
                    <w:color w:val="000000"/>
                    <w:szCs w:val="24"/>
                  </w:rPr>
                </w:pPr>
              </w:p>
            </w:tc>
            <w:tc>
              <w:tcPr>
                <w:tcW w:w="851" w:type="dxa"/>
              </w:tcPr>
              <w:p>
                <w:pPr>
                  <w:rPr>
                    <w:b/>
                    <w:color w:val="000000"/>
                    <w:szCs w:val="24"/>
                  </w:rPr>
                </w:pPr>
              </w:p>
            </w:tc>
            <w:tc>
              <w:tcPr>
                <w:tcW w:w="1134" w:type="dxa"/>
                <w:vMerge/>
              </w:tcPr>
              <w:p>
                <w:pPr>
                  <w:rPr>
                    <w:b/>
                    <w:color w:val="000000"/>
                    <w:szCs w:val="24"/>
                  </w:rPr>
                </w:pPr>
              </w:p>
            </w:tc>
            <w:tc>
              <w:tcPr>
                <w:tcW w:w="769" w:type="dxa"/>
                <w:vMerge/>
              </w:tcPr>
              <w:p>
                <w:pPr>
                  <w:rPr>
                    <w:b/>
                    <w:color w:val="000000"/>
                    <w:szCs w:val="24"/>
                  </w:rPr>
                </w:pPr>
              </w:p>
            </w:tc>
            <w:tc>
              <w:tcPr>
                <w:tcW w:w="1844" w:type="dxa"/>
                <w:vMerge/>
              </w:tcPr>
              <w:p>
                <w:pPr>
                  <w:rPr>
                    <w:b/>
                    <w:color w:val="000000"/>
                    <w:szCs w:val="24"/>
                  </w:rPr>
                </w:pPr>
              </w:p>
            </w:tc>
          </w:tr>
          <w:tr>
            <w:trPr>
              <w:trHeight w:hRule="exact" w:val="1280"/>
            </w:trPr>
            <w:tc>
              <w:tcPr>
                <w:tcW w:w="568" w:type="dxa"/>
                <w:vMerge w:val="restart"/>
              </w:tcPr>
              <w:p>
                <w:pPr>
                  <w:rPr>
                    <w:color w:val="000000"/>
                    <w:szCs w:val="24"/>
                  </w:rPr>
                </w:pPr>
                <w:r>
                  <w:rPr>
                    <w:color w:val="000000"/>
                    <w:szCs w:val="24"/>
                  </w:rPr>
                  <w:t>2.</w:t>
                </w:r>
              </w:p>
            </w:tc>
            <w:tc>
              <w:tcPr>
                <w:tcW w:w="1247" w:type="dxa"/>
                <w:vMerge w:val="restart"/>
              </w:tcPr>
              <w:p>
                <w:pPr>
                  <w:rPr>
                    <w:color w:val="000000"/>
                    <w:szCs w:val="24"/>
                  </w:rPr>
                </w:pPr>
                <w:r>
                  <w:rPr>
                    <w:color w:val="000000"/>
                    <w:szCs w:val="24"/>
                  </w:rPr>
                  <w:t>6 mėn.</w:t>
                </w:r>
              </w:p>
            </w:tc>
            <w:tc>
              <w:tcPr>
                <w:tcW w:w="1871" w:type="dxa"/>
              </w:tcPr>
              <w:p>
                <w:pPr>
                  <w:ind w:left="34" w:hanging="34"/>
                  <w:rPr>
                    <w:color w:val="000000"/>
                    <w:szCs w:val="24"/>
                  </w:rPr>
                </w:pPr>
                <w:r>
                  <w:rPr>
                    <w:color w:val="000000"/>
                    <w:szCs w:val="24"/>
                  </w:rPr>
                  <w:t>2.1. Verčiasi nuo nugaros ant pilvo.</w:t>
                </w:r>
              </w:p>
            </w:tc>
            <w:tc>
              <w:tcPr>
                <w:tcW w:w="4253" w:type="dxa"/>
              </w:tcPr>
              <w:p>
                <w:pPr>
                  <w:rPr>
                    <w:b/>
                    <w:color w:val="000000"/>
                    <w:szCs w:val="24"/>
                  </w:rPr>
                </w:pPr>
                <w:r>
                  <w:rPr>
                    <w:color w:val="000000"/>
                    <w:szCs w:val="24"/>
                    <w:lang w:eastAsia="lt-LT"/>
                  </w:rPr>
                  <w:t xml:space="preserve">Vaikas, gulėdamas ant nugaros, visiškai arba dalinai apsiverčia  ant pilvo.</w:t>
                </w:r>
              </w:p>
            </w:tc>
            <w:tc>
              <w:tcPr>
                <w:tcW w:w="1672" w:type="dxa"/>
              </w:tcPr>
              <w:p>
                <w:pPr>
                  <w:rPr>
                    <w:b/>
                    <w:color w:val="000000"/>
                    <w:szCs w:val="24"/>
                  </w:rPr>
                </w:pPr>
                <w:r>
                  <w:rPr>
                    <w:b/>
                    <w:color w:val="000000"/>
                    <w:szCs w:val="24"/>
                    <w:lang w:eastAsia="lt-LT"/>
                  </w:rPr>
                  <w:drawing>
                    <wp:inline distT="0" distB="0" distL="0" distR="0">
                      <wp:extent cx="923925" cy="904875"/>
                      <wp:effectExtent l="0" t="0" r="0" b="9525"/>
                      <wp:docPr id="35" name="Picture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erčias.png"/>
                              <pic:cNvPicPr/>
                            </pic:nvPicPr>
                            <pic:blipFill>
                              <a:blip r:embed="rId90" cstate="print">
                                <a:extLst>
                                  <a:ext uri="{28A0092B-C50C-407E-A947-70E740481C1C}">
                                    <a14:useLocalDpi xmlns:a14="http://schemas.microsoft.com/office/drawing/2010/main" val="0"/>
                                  </a:ext>
                                </a:extLst>
                              </a:blip>
                              <a:stretch>
                                <a:fillRect/>
                              </a:stretch>
                            </pic:blipFill>
                            <pic:spPr>
                              <a:xfrm>
                                <a:off x="0" y="0"/>
                                <a:ext cx="921385" cy="902388"/>
                              </a:xfrm>
                              <a:prstGeom prst="rect">
                                <a:avLst/>
                              </a:prstGeom>
                            </pic:spPr>
                          </pic:pic>
                        </a:graphicData>
                      </a:graphic>
                    </wp:inline>
                  </w:drawing>
                </w:r>
              </w:p>
            </w:tc>
            <w:tc>
              <w:tcPr>
                <w:tcW w:w="850" w:type="dxa"/>
              </w:tcPr>
              <w:p>
                <w:pPr>
                  <w:rPr>
                    <w:b/>
                    <w:color w:val="000000"/>
                    <w:szCs w:val="24"/>
                    <w:lang w:eastAsia="lt-LT"/>
                  </w:rPr>
                </w:pPr>
              </w:p>
            </w:tc>
            <w:tc>
              <w:tcPr>
                <w:tcW w:w="851" w:type="dxa"/>
              </w:tcPr>
              <w:p>
                <w:pPr>
                  <w:rPr>
                    <w:b/>
                    <w:color w:val="000000"/>
                    <w:szCs w:val="24"/>
                    <w:lang w:eastAsia="lt-LT"/>
                  </w:rPr>
                </w:pPr>
              </w:p>
            </w:tc>
            <w:tc>
              <w:tcPr>
                <w:tcW w:w="1134" w:type="dxa"/>
                <w:vMerge w:val="restart"/>
              </w:tcPr>
              <w:p>
                <w:pPr>
                  <w:rPr>
                    <w:color w:val="000000"/>
                    <w:szCs w:val="24"/>
                    <w:lang w:eastAsia="lt-LT"/>
                  </w:rPr>
                </w:pPr>
                <w:r>
                  <w:rPr>
                    <w:color w:val="000000"/>
                    <w:szCs w:val="24"/>
                    <w:lang w:eastAsia="lt-LT"/>
                  </w:rPr>
                  <w:t xml:space="preserve">□ Normali </w:t>
                </w:r>
              </w:p>
              <w:p>
                <w:pPr>
                  <w:rPr>
                    <w:color w:val="000000"/>
                    <w:szCs w:val="24"/>
                    <w:lang w:eastAsia="lt-LT"/>
                  </w:rPr>
                </w:pPr>
                <w:r>
                  <w:rPr>
                    <w:color w:val="000000"/>
                    <w:szCs w:val="24"/>
                    <w:lang w:eastAsia="lt-LT"/>
                  </w:rPr>
                  <w:t>raida</w:t>
                </w:r>
              </w:p>
              <w:p>
                <w:pPr>
                  <w:rPr>
                    <w:color w:val="000000"/>
                    <w:szCs w:val="24"/>
                    <w:lang w:eastAsia="lt-LT"/>
                  </w:rPr>
                </w:pPr>
              </w:p>
              <w:p>
                <w:pPr>
                  <w:rPr>
                    <w:color w:val="000000"/>
                    <w:szCs w:val="24"/>
                    <w:lang w:eastAsia="lt-LT"/>
                  </w:rPr>
                </w:pPr>
                <w:r>
                  <w:rPr>
                    <w:color w:val="000000"/>
                    <w:szCs w:val="24"/>
                    <w:lang w:eastAsia="lt-LT"/>
                  </w:rPr>
                  <w:t>□ Raidos sutrikimo rizika</w:t>
                </w:r>
              </w:p>
            </w:tc>
            <w:tc>
              <w:tcPr>
                <w:tcW w:w="769" w:type="dxa"/>
                <w:vMerge w:val="restart"/>
              </w:tcPr>
              <w:p>
                <w:pPr>
                  <w:rPr>
                    <w:b/>
                    <w:color w:val="000000"/>
                    <w:szCs w:val="24"/>
                    <w:lang w:eastAsia="lt-LT"/>
                  </w:rPr>
                </w:pPr>
              </w:p>
            </w:tc>
            <w:tc>
              <w:tcPr>
                <w:tcW w:w="1844" w:type="dxa"/>
                <w:vMerge w:val="restart"/>
              </w:tcPr>
              <w:p>
                <w:pPr>
                  <w:rPr>
                    <w:b/>
                    <w:color w:val="000000"/>
                    <w:szCs w:val="24"/>
                    <w:lang w:eastAsia="lt-LT"/>
                  </w:rPr>
                </w:pPr>
              </w:p>
            </w:tc>
          </w:tr>
          <w:tr>
            <w:trPr>
              <w:trHeight w:hRule="exact" w:val="1418"/>
            </w:trPr>
            <w:tc>
              <w:tcPr>
                <w:tcW w:w="568" w:type="dxa"/>
                <w:vMerge/>
              </w:tcPr>
              <w:p>
                <w:pPr>
                  <w:rPr>
                    <w:b/>
                    <w:color w:val="000000"/>
                    <w:szCs w:val="24"/>
                  </w:rPr>
                </w:pPr>
              </w:p>
            </w:tc>
            <w:tc>
              <w:tcPr>
                <w:tcW w:w="1247" w:type="dxa"/>
                <w:vMerge/>
              </w:tcPr>
              <w:p>
                <w:pPr>
                  <w:rPr>
                    <w:b/>
                    <w:color w:val="000000"/>
                    <w:szCs w:val="24"/>
                  </w:rPr>
                </w:pPr>
              </w:p>
            </w:tc>
            <w:tc>
              <w:tcPr>
                <w:tcW w:w="1871" w:type="dxa"/>
              </w:tcPr>
              <w:p>
                <w:pPr>
                  <w:rPr>
                    <w:color w:val="000000"/>
                    <w:szCs w:val="24"/>
                  </w:rPr>
                </w:pPr>
                <w:r>
                  <w:rPr>
                    <w:color w:val="000000"/>
                    <w:szCs w:val="24"/>
                  </w:rPr>
                  <w:t xml:space="preserve">2.2. Tikslingai paima paduotą žaislą. </w:t>
                </w:r>
              </w:p>
            </w:tc>
            <w:tc>
              <w:tcPr>
                <w:tcW w:w="4253" w:type="dxa"/>
              </w:tcPr>
              <w:p>
                <w:pPr>
                  <w:rPr>
                    <w:color w:val="000000"/>
                    <w:szCs w:val="24"/>
                  </w:rPr>
                </w:pPr>
                <w:r>
                  <w:rPr>
                    <w:color w:val="000000"/>
                    <w:szCs w:val="24"/>
                  </w:rPr>
                  <w:t>Vaikas, gulėdamas ant nugaros arba sėdėdamas mamai ant kelių, paima duodamą kaladėlę.</w:t>
                </w:r>
              </w:p>
            </w:tc>
            <w:tc>
              <w:tcPr>
                <w:tcW w:w="1672" w:type="dxa"/>
              </w:tcPr>
              <w:p>
                <w:pPr>
                  <w:rPr>
                    <w:b/>
                    <w:color w:val="000000"/>
                    <w:szCs w:val="24"/>
                  </w:rPr>
                </w:pPr>
                <w:r>
                  <w:rPr>
                    <w:b/>
                    <w:color w:val="000000"/>
                    <w:szCs w:val="24"/>
                    <w:lang w:eastAsia="lt-LT"/>
                  </w:rPr>
                  <w:drawing>
                    <wp:inline distT="0" distB="0" distL="0" distR="0">
                      <wp:extent cx="945470" cy="818707"/>
                      <wp:effectExtent l="0" t="0" r="7620" b="635"/>
                      <wp:docPr id="36"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anka.png"/>
                              <pic:cNvPicPr/>
                            </pic:nvPicPr>
                            <pic:blipFill>
                              <a:blip r:embed="rId91" cstate="print">
                                <a:extLst>
                                  <a:ext uri="{28A0092B-C50C-407E-A947-70E740481C1C}">
                                    <a14:useLocalDpi xmlns:a14="http://schemas.microsoft.com/office/drawing/2010/main" val="0"/>
                                  </a:ext>
                                </a:extLst>
                              </a:blip>
                              <a:stretch>
                                <a:fillRect/>
                              </a:stretch>
                            </pic:blipFill>
                            <pic:spPr>
                              <a:xfrm>
                                <a:off x="0" y="0"/>
                                <a:ext cx="942975" cy="816547"/>
                              </a:xfrm>
                              <a:prstGeom prst="rect">
                                <a:avLst/>
                              </a:prstGeom>
                            </pic:spPr>
                          </pic:pic>
                        </a:graphicData>
                      </a:graphic>
                    </wp:inline>
                  </w:drawing>
                </w:r>
              </w:p>
            </w:tc>
            <w:tc>
              <w:tcPr>
                <w:tcW w:w="850" w:type="dxa"/>
              </w:tcPr>
              <w:p>
                <w:pPr>
                  <w:rPr>
                    <w:b/>
                    <w:color w:val="000000"/>
                    <w:szCs w:val="24"/>
                  </w:rPr>
                </w:pPr>
              </w:p>
            </w:tc>
            <w:tc>
              <w:tcPr>
                <w:tcW w:w="851" w:type="dxa"/>
              </w:tcPr>
              <w:p>
                <w:pPr>
                  <w:rPr>
                    <w:b/>
                    <w:color w:val="000000"/>
                    <w:szCs w:val="24"/>
                  </w:rPr>
                </w:pPr>
              </w:p>
            </w:tc>
            <w:tc>
              <w:tcPr>
                <w:tcW w:w="1134" w:type="dxa"/>
                <w:vMerge/>
              </w:tcPr>
              <w:p>
                <w:pPr>
                  <w:rPr>
                    <w:b/>
                    <w:color w:val="000000"/>
                    <w:szCs w:val="24"/>
                  </w:rPr>
                </w:pPr>
              </w:p>
            </w:tc>
            <w:tc>
              <w:tcPr>
                <w:tcW w:w="769" w:type="dxa"/>
                <w:vMerge/>
              </w:tcPr>
              <w:p>
                <w:pPr>
                  <w:rPr>
                    <w:b/>
                    <w:color w:val="000000"/>
                    <w:szCs w:val="24"/>
                  </w:rPr>
                </w:pPr>
              </w:p>
            </w:tc>
            <w:tc>
              <w:tcPr>
                <w:tcW w:w="1844" w:type="dxa"/>
                <w:vMerge/>
              </w:tcPr>
              <w:p>
                <w:pPr>
                  <w:rPr>
                    <w:b/>
                    <w:color w:val="000000"/>
                    <w:szCs w:val="24"/>
                  </w:rPr>
                </w:pPr>
              </w:p>
            </w:tc>
          </w:tr>
          <w:tr>
            <w:trPr>
              <w:trHeight w:val="70"/>
            </w:trPr>
            <w:tc>
              <w:tcPr>
                <w:tcW w:w="568" w:type="dxa"/>
                <w:vMerge/>
              </w:tcPr>
              <w:p>
                <w:pPr>
                  <w:rPr>
                    <w:b/>
                    <w:color w:val="000000"/>
                    <w:szCs w:val="24"/>
                  </w:rPr>
                </w:pPr>
              </w:p>
            </w:tc>
            <w:tc>
              <w:tcPr>
                <w:tcW w:w="1247" w:type="dxa"/>
                <w:vMerge/>
              </w:tcPr>
              <w:p>
                <w:pPr>
                  <w:rPr>
                    <w:b/>
                    <w:color w:val="000000"/>
                    <w:szCs w:val="24"/>
                  </w:rPr>
                </w:pPr>
              </w:p>
            </w:tc>
            <w:tc>
              <w:tcPr>
                <w:tcW w:w="1871" w:type="dxa"/>
              </w:tcPr>
              <w:p>
                <w:pPr>
                  <w:rPr>
                    <w:color w:val="000000"/>
                    <w:szCs w:val="24"/>
                  </w:rPr>
                </w:pPr>
                <w:r>
                  <w:rPr>
                    <w:color w:val="000000"/>
                    <w:szCs w:val="24"/>
                  </w:rPr>
                  <w:t>2.3. Vaikas lokalizuoja garso šaltinį.</w:t>
                </w:r>
              </w:p>
            </w:tc>
            <w:tc>
              <w:tcPr>
                <w:tcW w:w="4253" w:type="dxa"/>
              </w:tcPr>
              <w:p>
                <w:pPr>
                  <w:rPr>
                    <w:color w:val="000000"/>
                    <w:szCs w:val="24"/>
                  </w:rPr>
                </w:pPr>
                <w:r>
                  <w:rPr>
                    <w:color w:val="000000"/>
                    <w:szCs w:val="24"/>
                  </w:rPr>
                  <w:t xml:space="preserve">Vaikui sėdint mamai ant kelių iš nugaros pusės 10–15 cm atstumu nuo ausies pabarškinama barškučiu ar paskambinama varpeliu. Vaikas pasuka galvą ir akis garso  link. </w:t>
                </w:r>
              </w:p>
            </w:tc>
            <w:tc>
              <w:tcPr>
                <w:tcW w:w="1672" w:type="dxa"/>
              </w:tcPr>
              <w:p>
                <w:pPr>
                  <w:rPr>
                    <w:b/>
                    <w:color w:val="000000"/>
                    <w:szCs w:val="24"/>
                  </w:rPr>
                </w:pPr>
                <w:r>
                  <w:rPr>
                    <w:b/>
                    <w:color w:val="000000"/>
                    <w:szCs w:val="24"/>
                    <w:lang w:eastAsia="lt-LT"/>
                  </w:rPr>
                  <w:drawing>
                    <wp:inline distT="0" distB="0" distL="0" distR="0">
                      <wp:extent cx="942975" cy="809625"/>
                      <wp:effectExtent l="0" t="0" r="9525" b="9525"/>
                      <wp:docPr id="37"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ėdi ir klauso.png"/>
                              <pic:cNvPicPr/>
                            </pic:nvPicPr>
                            <pic:blipFill>
                              <a:blip r:embed="rId92" cstate="print">
                                <a:extLst>
                                  <a:ext uri="{28A0092B-C50C-407E-A947-70E740481C1C}">
                                    <a14:useLocalDpi xmlns:a14="http://schemas.microsoft.com/office/drawing/2010/main" val="0"/>
                                  </a:ext>
                                </a:extLst>
                              </a:blip>
                              <a:stretch>
                                <a:fillRect/>
                              </a:stretch>
                            </pic:blipFill>
                            <pic:spPr>
                              <a:xfrm>
                                <a:off x="0" y="0"/>
                                <a:ext cx="942975" cy="809625"/>
                              </a:xfrm>
                              <a:prstGeom prst="rect">
                                <a:avLst/>
                              </a:prstGeom>
                            </pic:spPr>
                          </pic:pic>
                        </a:graphicData>
                      </a:graphic>
                    </wp:inline>
                  </w:drawing>
                </w:r>
              </w:p>
            </w:tc>
            <w:tc>
              <w:tcPr>
                <w:tcW w:w="850" w:type="dxa"/>
              </w:tcPr>
              <w:p>
                <w:pPr>
                  <w:rPr>
                    <w:b/>
                    <w:color w:val="000000"/>
                    <w:szCs w:val="24"/>
                  </w:rPr>
                </w:pPr>
              </w:p>
            </w:tc>
            <w:tc>
              <w:tcPr>
                <w:tcW w:w="851" w:type="dxa"/>
              </w:tcPr>
              <w:p>
                <w:pPr>
                  <w:rPr>
                    <w:b/>
                    <w:color w:val="000000"/>
                    <w:szCs w:val="24"/>
                  </w:rPr>
                </w:pPr>
              </w:p>
            </w:tc>
            <w:tc>
              <w:tcPr>
                <w:tcW w:w="1134" w:type="dxa"/>
                <w:vMerge/>
              </w:tcPr>
              <w:p>
                <w:pPr>
                  <w:rPr>
                    <w:b/>
                    <w:color w:val="000000"/>
                    <w:szCs w:val="24"/>
                  </w:rPr>
                </w:pPr>
              </w:p>
            </w:tc>
            <w:tc>
              <w:tcPr>
                <w:tcW w:w="769" w:type="dxa"/>
                <w:vMerge/>
              </w:tcPr>
              <w:p>
                <w:pPr>
                  <w:rPr>
                    <w:b/>
                    <w:color w:val="000000"/>
                    <w:szCs w:val="24"/>
                  </w:rPr>
                </w:pPr>
              </w:p>
            </w:tc>
            <w:tc>
              <w:tcPr>
                <w:tcW w:w="1844" w:type="dxa"/>
                <w:vMerge/>
              </w:tcPr>
              <w:p>
                <w:pPr>
                  <w:rPr>
                    <w:b/>
                    <w:color w:val="000000"/>
                    <w:szCs w:val="24"/>
                  </w:rPr>
                </w:pPr>
              </w:p>
            </w:tc>
          </w:tr>
          <w:tr>
            <w:trPr>
              <w:trHeight w:val="1124"/>
            </w:trPr>
            <w:tc>
              <w:tcPr>
                <w:tcW w:w="568" w:type="dxa"/>
                <w:vMerge w:val="restart"/>
              </w:tcPr>
              <w:p>
                <w:pPr>
                  <w:rPr>
                    <w:color w:val="000000"/>
                    <w:szCs w:val="24"/>
                  </w:rPr>
                </w:pPr>
                <w:r>
                  <w:rPr>
                    <w:color w:val="000000"/>
                    <w:szCs w:val="24"/>
                  </w:rPr>
                  <w:t>3.</w:t>
                </w:r>
              </w:p>
            </w:tc>
            <w:tc>
              <w:tcPr>
                <w:tcW w:w="1247" w:type="dxa"/>
              </w:tcPr>
              <w:p>
                <w:pPr>
                  <w:rPr>
                    <w:color w:val="000000"/>
                    <w:szCs w:val="24"/>
                  </w:rPr>
                </w:pPr>
                <w:r>
                  <w:rPr>
                    <w:color w:val="000000"/>
                    <w:szCs w:val="24"/>
                  </w:rPr>
                  <w:t>9 mėn.</w:t>
                </w:r>
              </w:p>
            </w:tc>
            <w:tc>
              <w:tcPr>
                <w:tcW w:w="1871" w:type="dxa"/>
              </w:tcPr>
              <w:p>
                <w:pPr>
                  <w:ind w:left="34"/>
                  <w:rPr>
                    <w:color w:val="000000"/>
                    <w:szCs w:val="24"/>
                  </w:rPr>
                </w:pPr>
                <w:r>
                  <w:rPr>
                    <w:color w:val="000000"/>
                    <w:szCs w:val="24"/>
                  </w:rPr>
                  <w:t>3.1. Sėdi savarankiškai.</w:t>
                </w:r>
              </w:p>
            </w:tc>
            <w:tc>
              <w:tcPr>
                <w:tcW w:w="4253" w:type="dxa"/>
              </w:tcPr>
              <w:p>
                <w:pPr>
                  <w:rPr>
                    <w:color w:val="000000"/>
                    <w:szCs w:val="24"/>
                  </w:rPr>
                </w:pPr>
                <w:r>
                  <w:rPr>
                    <w:color w:val="000000"/>
                    <w:szCs w:val="24"/>
                  </w:rPr>
                  <w:t>Vaikas ilgai ir laisvai sėdi tiesia nugara ant kieto pagrindo.</w:t>
                </w:r>
              </w:p>
              <w:p>
                <w:pPr>
                  <w:rPr>
                    <w:b/>
                    <w:color w:val="000000"/>
                    <w:szCs w:val="24"/>
                  </w:rPr>
                </w:pPr>
              </w:p>
            </w:tc>
            <w:tc>
              <w:tcPr>
                <w:tcW w:w="1672" w:type="dxa"/>
              </w:tcPr>
              <w:p>
                <w:pPr>
                  <w:jc w:val="center"/>
                  <w:rPr>
                    <w:color w:val="000000"/>
                    <w:szCs w:val="24"/>
                  </w:rPr>
                </w:pPr>
                <w:r>
                  <w:rPr>
                    <w:color w:val="000000"/>
                    <w:szCs w:val="24"/>
                    <w:lang w:eastAsia="lt-LT"/>
                  </w:rPr>
                  <w:drawing>
                    <wp:inline distT="0" distB="0" distL="0" distR="0">
                      <wp:extent cx="939842" cy="657225"/>
                      <wp:effectExtent l="0" t="0" r="0" b="0"/>
                      <wp:docPr id="38" name="Picture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ėdi atsisukęs.png"/>
                              <pic:cNvPicPr/>
                            </pic:nvPicPr>
                            <pic:blipFill>
                              <a:blip r:embed="rId93" cstate="print">
                                <a:extLst>
                                  <a:ext uri="{28A0092B-C50C-407E-A947-70E740481C1C}">
                                    <a14:useLocalDpi xmlns:a14="http://schemas.microsoft.com/office/drawing/2010/main" val="0"/>
                                  </a:ext>
                                </a:extLst>
                              </a:blip>
                              <a:stretch>
                                <a:fillRect/>
                              </a:stretch>
                            </pic:blipFill>
                            <pic:spPr>
                              <a:xfrm>
                                <a:off x="0" y="0"/>
                                <a:ext cx="942975" cy="659416"/>
                              </a:xfrm>
                              <a:prstGeom prst="rect">
                                <a:avLst/>
                              </a:prstGeom>
                            </pic:spPr>
                          </pic:pic>
                        </a:graphicData>
                      </a:graphic>
                    </wp:inline>
                  </w:drawing>
                </w:r>
              </w:p>
            </w:tc>
            <w:tc>
              <w:tcPr>
                <w:tcW w:w="850" w:type="dxa"/>
              </w:tcPr>
              <w:p>
                <w:pPr>
                  <w:rPr>
                    <w:b/>
                    <w:color w:val="000000"/>
                    <w:szCs w:val="24"/>
                    <w:lang w:eastAsia="lt-LT"/>
                  </w:rPr>
                </w:pPr>
              </w:p>
            </w:tc>
            <w:tc>
              <w:tcPr>
                <w:tcW w:w="851" w:type="dxa"/>
              </w:tcPr>
              <w:p>
                <w:pPr>
                  <w:rPr>
                    <w:b/>
                    <w:color w:val="000000"/>
                    <w:szCs w:val="24"/>
                    <w:lang w:eastAsia="lt-LT"/>
                  </w:rPr>
                </w:pPr>
              </w:p>
            </w:tc>
            <w:tc>
              <w:tcPr>
                <w:tcW w:w="1134" w:type="dxa"/>
                <w:vMerge w:val="restart"/>
              </w:tcPr>
              <w:p>
                <w:pPr>
                  <w:rPr>
                    <w:color w:val="000000"/>
                    <w:szCs w:val="24"/>
                    <w:lang w:eastAsia="lt-LT"/>
                  </w:rPr>
                </w:pPr>
                <w:r>
                  <w:rPr>
                    <w:color w:val="000000"/>
                    <w:szCs w:val="24"/>
                    <w:lang w:eastAsia="lt-LT"/>
                  </w:rPr>
                  <w:t xml:space="preserve">□ Normali </w:t>
                </w:r>
              </w:p>
              <w:p>
                <w:pPr>
                  <w:rPr>
                    <w:color w:val="000000"/>
                    <w:szCs w:val="24"/>
                    <w:lang w:eastAsia="lt-LT"/>
                  </w:rPr>
                </w:pPr>
                <w:r>
                  <w:rPr>
                    <w:color w:val="000000"/>
                    <w:szCs w:val="24"/>
                    <w:lang w:eastAsia="lt-LT"/>
                  </w:rPr>
                  <w:t>raida</w:t>
                </w:r>
              </w:p>
              <w:p>
                <w:pPr>
                  <w:rPr>
                    <w:color w:val="000000"/>
                    <w:szCs w:val="24"/>
                    <w:lang w:eastAsia="lt-LT"/>
                  </w:rPr>
                </w:pPr>
              </w:p>
              <w:p>
                <w:pPr>
                  <w:rPr>
                    <w:color w:val="000000"/>
                    <w:szCs w:val="24"/>
                    <w:lang w:eastAsia="lt-LT"/>
                  </w:rPr>
                </w:pPr>
                <w:r>
                  <w:rPr>
                    <w:color w:val="000000"/>
                    <w:szCs w:val="24"/>
                    <w:lang w:eastAsia="lt-LT"/>
                  </w:rPr>
                  <w:t>□ Raidos sutrikimo rizika</w:t>
                </w:r>
              </w:p>
            </w:tc>
            <w:tc>
              <w:tcPr>
                <w:tcW w:w="769" w:type="dxa"/>
                <w:vMerge w:val="restart"/>
              </w:tcPr>
              <w:p>
                <w:pPr>
                  <w:rPr>
                    <w:b/>
                    <w:color w:val="000000"/>
                    <w:szCs w:val="24"/>
                    <w:lang w:eastAsia="lt-LT"/>
                  </w:rPr>
                </w:pPr>
              </w:p>
            </w:tc>
            <w:tc>
              <w:tcPr>
                <w:tcW w:w="1844" w:type="dxa"/>
                <w:vMerge w:val="restart"/>
              </w:tcPr>
              <w:p>
                <w:pPr>
                  <w:rPr>
                    <w:b/>
                    <w:color w:val="000000"/>
                    <w:szCs w:val="24"/>
                    <w:lang w:eastAsia="lt-LT"/>
                  </w:rPr>
                </w:pPr>
              </w:p>
            </w:tc>
          </w:tr>
          <w:tr>
            <w:trPr>
              <w:trHeight w:val="1134"/>
            </w:trPr>
            <w:tc>
              <w:tcPr>
                <w:tcW w:w="568" w:type="dxa"/>
                <w:vMerge/>
              </w:tcPr>
              <w:p>
                <w:pPr>
                  <w:rPr>
                    <w:color w:val="000000"/>
                    <w:szCs w:val="24"/>
                  </w:rPr>
                </w:pPr>
              </w:p>
            </w:tc>
            <w:tc>
              <w:tcPr>
                <w:tcW w:w="1247" w:type="dxa"/>
              </w:tcPr>
              <w:p>
                <w:pPr>
                  <w:rPr>
                    <w:color w:val="000000"/>
                    <w:szCs w:val="24"/>
                  </w:rPr>
                </w:pPr>
              </w:p>
            </w:tc>
            <w:tc>
              <w:tcPr>
                <w:tcW w:w="1871" w:type="dxa"/>
              </w:tcPr>
              <w:p>
                <w:pPr>
                  <w:rPr>
                    <w:color w:val="000000"/>
                    <w:szCs w:val="24"/>
                  </w:rPr>
                </w:pPr>
                <w:r>
                  <w:rPr>
                    <w:color w:val="000000"/>
                    <w:szCs w:val="24"/>
                  </w:rPr>
                  <w:t>3.2. Stovėdamas tvirtai remiasi kojomis.</w:t>
                </w:r>
              </w:p>
            </w:tc>
            <w:tc>
              <w:tcPr>
                <w:tcW w:w="4253" w:type="dxa"/>
              </w:tcPr>
              <w:p>
                <w:pPr>
                  <w:rPr>
                    <w:b/>
                    <w:color w:val="000000"/>
                    <w:szCs w:val="24"/>
                  </w:rPr>
                </w:pPr>
                <w:r>
                  <w:rPr>
                    <w:color w:val="000000"/>
                    <w:szCs w:val="24"/>
                  </w:rPr>
                  <w:t xml:space="preserve">Vaikas tvirtai remiasi abiem kojomis, stovėdamas ant kieto pagrindo. Gali svorį perkelti nuo vienos kojos ant kitos. </w:t>
                </w:r>
              </w:p>
            </w:tc>
            <w:tc>
              <w:tcPr>
                <w:tcW w:w="1672" w:type="dxa"/>
              </w:tcPr>
              <w:p>
                <w:pPr>
                  <w:rPr>
                    <w:color w:val="000000"/>
                    <w:szCs w:val="24"/>
                  </w:rPr>
                </w:pPr>
                <w:r>
                  <w:rPr>
                    <w:color w:val="000000"/>
                    <w:szCs w:val="24"/>
                    <w:lang w:eastAsia="lt-LT"/>
                  </w:rPr>
                  <w:drawing>
                    <wp:inline distT="0" distB="0" distL="0" distR="0">
                      <wp:extent cx="942975" cy="714375"/>
                      <wp:effectExtent l="0" t="0" r="9525" b="9525"/>
                      <wp:docPr id="39"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tovi prilaikomas.png"/>
                              <pic:cNvPicPr/>
                            </pic:nvPicPr>
                            <pic:blipFill>
                              <a:blip r:embed="rId94" cstate="print">
                                <a:extLst>
                                  <a:ext uri="{28A0092B-C50C-407E-A947-70E740481C1C}">
                                    <a14:useLocalDpi xmlns:a14="http://schemas.microsoft.com/office/drawing/2010/main" val="0"/>
                                  </a:ext>
                                </a:extLst>
                              </a:blip>
                              <a:stretch>
                                <a:fillRect/>
                              </a:stretch>
                            </pic:blipFill>
                            <pic:spPr>
                              <a:xfrm>
                                <a:off x="0" y="0"/>
                                <a:ext cx="942975" cy="714375"/>
                              </a:xfrm>
                              <a:prstGeom prst="rect">
                                <a:avLst/>
                              </a:prstGeom>
                            </pic:spPr>
                          </pic:pic>
                        </a:graphicData>
                      </a:graphic>
                    </wp:inline>
                  </w:drawing>
                </w:r>
              </w:p>
            </w:tc>
            <w:tc>
              <w:tcPr>
                <w:tcW w:w="850" w:type="dxa"/>
              </w:tcPr>
              <w:p>
                <w:pPr>
                  <w:rPr>
                    <w:b/>
                    <w:color w:val="000000"/>
                    <w:szCs w:val="24"/>
                    <w:lang w:eastAsia="lt-LT"/>
                  </w:rPr>
                </w:pPr>
              </w:p>
            </w:tc>
            <w:tc>
              <w:tcPr>
                <w:tcW w:w="851" w:type="dxa"/>
              </w:tcPr>
              <w:p>
                <w:pPr>
                  <w:rPr>
                    <w:b/>
                    <w:color w:val="000000"/>
                    <w:szCs w:val="24"/>
                    <w:lang w:eastAsia="lt-LT"/>
                  </w:rPr>
                </w:pPr>
              </w:p>
            </w:tc>
            <w:tc>
              <w:tcPr>
                <w:tcW w:w="1134" w:type="dxa"/>
                <w:vMerge/>
              </w:tcPr>
              <w:p>
                <w:pPr>
                  <w:rPr>
                    <w:b/>
                    <w:color w:val="000000"/>
                    <w:szCs w:val="24"/>
                    <w:lang w:eastAsia="lt-LT"/>
                  </w:rPr>
                </w:pPr>
              </w:p>
            </w:tc>
            <w:tc>
              <w:tcPr>
                <w:tcW w:w="769" w:type="dxa"/>
                <w:vMerge/>
              </w:tcPr>
              <w:p>
                <w:pPr>
                  <w:rPr>
                    <w:b/>
                    <w:color w:val="000000"/>
                    <w:szCs w:val="24"/>
                    <w:lang w:eastAsia="lt-LT"/>
                  </w:rPr>
                </w:pPr>
              </w:p>
            </w:tc>
            <w:tc>
              <w:tcPr>
                <w:tcW w:w="1844" w:type="dxa"/>
                <w:vMerge/>
              </w:tcPr>
              <w:p>
                <w:pPr>
                  <w:rPr>
                    <w:b/>
                    <w:color w:val="000000"/>
                    <w:szCs w:val="24"/>
                    <w:lang w:eastAsia="lt-LT"/>
                  </w:rPr>
                </w:pPr>
              </w:p>
            </w:tc>
          </w:tr>
          <w:tr>
            <w:trPr>
              <w:trHeight w:val="689"/>
            </w:trPr>
            <w:tc>
              <w:tcPr>
                <w:tcW w:w="568" w:type="dxa"/>
                <w:vMerge/>
              </w:tcPr>
              <w:p>
                <w:pPr>
                  <w:rPr>
                    <w:color w:val="000000"/>
                    <w:szCs w:val="24"/>
                  </w:rPr>
                </w:pPr>
              </w:p>
            </w:tc>
            <w:tc>
              <w:tcPr>
                <w:tcW w:w="1247" w:type="dxa"/>
              </w:tcPr>
              <w:p>
                <w:pPr>
                  <w:rPr>
                    <w:color w:val="000000"/>
                    <w:szCs w:val="24"/>
                  </w:rPr>
                </w:pPr>
              </w:p>
            </w:tc>
            <w:tc>
              <w:tcPr>
                <w:tcW w:w="1871" w:type="dxa"/>
              </w:tcPr>
              <w:p>
                <w:pPr>
                  <w:rPr>
                    <w:color w:val="000000"/>
                    <w:szCs w:val="24"/>
                  </w:rPr>
                </w:pPr>
                <w:r>
                  <w:rPr>
                    <w:color w:val="000000"/>
                    <w:szCs w:val="24"/>
                  </w:rPr>
                  <w:t>3.3. Ima žaislus abiem rankomis.</w:t>
                </w:r>
              </w:p>
            </w:tc>
            <w:tc>
              <w:tcPr>
                <w:tcW w:w="4253" w:type="dxa"/>
              </w:tcPr>
              <w:p>
                <w:pPr>
                  <w:rPr>
                    <w:color w:val="000000"/>
                    <w:szCs w:val="24"/>
                  </w:rPr>
                </w:pPr>
                <w:r>
                  <w:rPr>
                    <w:color w:val="000000"/>
                    <w:szCs w:val="24"/>
                  </w:rPr>
                  <w:t xml:space="preserve">Vaikas abiem rankomis paima po daiktą (pvz., kaladėlę, barškutį) ir laiko. </w:t>
                </w:r>
              </w:p>
            </w:tc>
            <w:tc>
              <w:tcPr>
                <w:tcW w:w="1672" w:type="dxa"/>
              </w:tcPr>
              <w:p>
                <w:pPr>
                  <w:jc w:val="center"/>
                  <w:rPr>
                    <w:color w:val="000000"/>
                    <w:szCs w:val="24"/>
                  </w:rPr>
                </w:pPr>
                <w:r>
                  <w:rPr>
                    <w:color w:val="000000"/>
                    <w:szCs w:val="24"/>
                    <w:lang w:eastAsia="lt-LT"/>
                  </w:rPr>
                  <w:drawing>
                    <wp:inline distT="0" distB="0" distL="0" distR="0">
                      <wp:extent cx="600075" cy="715241"/>
                      <wp:effectExtent l="0" t="0" r="0" b="8890"/>
                      <wp:docPr id="4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žaidžia.png"/>
                              <pic:cNvPicPr/>
                            </pic:nvPicPr>
                            <pic:blipFill>
                              <a:blip r:embed="rId95" cstate="print">
                                <a:extLst>
                                  <a:ext uri="{28A0092B-C50C-407E-A947-70E740481C1C}">
                                    <a14:useLocalDpi xmlns:a14="http://schemas.microsoft.com/office/drawing/2010/main" val="0"/>
                                  </a:ext>
                                </a:extLst>
                              </a:blip>
                              <a:stretch>
                                <a:fillRect/>
                              </a:stretch>
                            </pic:blipFill>
                            <pic:spPr>
                              <a:xfrm>
                                <a:off x="0" y="0"/>
                                <a:ext cx="600145" cy="715324"/>
                              </a:xfrm>
                              <a:prstGeom prst="rect">
                                <a:avLst/>
                              </a:prstGeom>
                            </pic:spPr>
                          </pic:pic>
                        </a:graphicData>
                      </a:graphic>
                    </wp:inline>
                  </w:drawing>
                </w:r>
              </w:p>
            </w:tc>
            <w:tc>
              <w:tcPr>
                <w:tcW w:w="850" w:type="dxa"/>
              </w:tcPr>
              <w:p>
                <w:pPr>
                  <w:rPr>
                    <w:color w:val="000000"/>
                    <w:szCs w:val="24"/>
                  </w:rPr>
                </w:pPr>
              </w:p>
            </w:tc>
            <w:tc>
              <w:tcPr>
                <w:tcW w:w="851" w:type="dxa"/>
              </w:tcPr>
              <w:p>
                <w:pPr>
                  <w:rPr>
                    <w:color w:val="000000"/>
                    <w:szCs w:val="24"/>
                  </w:rPr>
                </w:pPr>
              </w:p>
            </w:tc>
            <w:tc>
              <w:tcPr>
                <w:tcW w:w="1134" w:type="dxa"/>
                <w:vMerge/>
              </w:tcPr>
              <w:p>
                <w:pPr>
                  <w:rPr>
                    <w:color w:val="000000"/>
                    <w:szCs w:val="24"/>
                  </w:rPr>
                </w:pPr>
              </w:p>
            </w:tc>
            <w:tc>
              <w:tcPr>
                <w:tcW w:w="769" w:type="dxa"/>
                <w:vMerge/>
              </w:tcPr>
              <w:p>
                <w:pPr>
                  <w:rPr>
                    <w:color w:val="000000"/>
                    <w:szCs w:val="24"/>
                  </w:rPr>
                </w:pPr>
              </w:p>
            </w:tc>
            <w:tc>
              <w:tcPr>
                <w:tcW w:w="1844" w:type="dxa"/>
                <w:vMerge/>
              </w:tcPr>
              <w:p>
                <w:pPr>
                  <w:rPr>
                    <w:color w:val="000000"/>
                    <w:szCs w:val="24"/>
                  </w:rPr>
                </w:pPr>
              </w:p>
            </w:tc>
          </w:tr>
          <w:tr>
            <w:trPr>
              <w:trHeight w:val="805"/>
            </w:trPr>
            <w:tc>
              <w:tcPr>
                <w:tcW w:w="568" w:type="dxa"/>
                <w:vMerge/>
              </w:tcPr>
              <w:p>
                <w:pPr>
                  <w:rPr>
                    <w:color w:val="000000"/>
                    <w:szCs w:val="24"/>
                  </w:rPr>
                </w:pPr>
              </w:p>
            </w:tc>
            <w:tc>
              <w:tcPr>
                <w:tcW w:w="1247" w:type="dxa"/>
              </w:tcPr>
              <w:p>
                <w:pPr>
                  <w:rPr>
                    <w:color w:val="000000"/>
                    <w:szCs w:val="24"/>
                  </w:rPr>
                </w:pPr>
              </w:p>
            </w:tc>
            <w:tc>
              <w:tcPr>
                <w:tcW w:w="1871" w:type="dxa"/>
              </w:tcPr>
              <w:p>
                <w:pPr>
                  <w:rPr>
                    <w:color w:val="000000"/>
                    <w:szCs w:val="24"/>
                  </w:rPr>
                </w:pPr>
                <w:r>
                  <w:rPr>
                    <w:color w:val="000000"/>
                    <w:szCs w:val="24"/>
                  </w:rPr>
                  <w:t>3.4. Siekia daikto už akiračio ribų.</w:t>
                </w:r>
              </w:p>
            </w:tc>
            <w:tc>
              <w:tcPr>
                <w:tcW w:w="4253" w:type="dxa"/>
              </w:tcPr>
              <w:p>
                <w:pPr>
                  <w:rPr>
                    <w:color w:val="000000"/>
                    <w:szCs w:val="24"/>
                  </w:rPr>
                </w:pPr>
                <w:r>
                  <w:rPr>
                    <w:color w:val="000000"/>
                    <w:szCs w:val="24"/>
                  </w:rPr>
                  <w:t>Vaikas stengiasi paimti daiktą, kurį gali pasiekti tik pakeitęs kūno padėtį.</w:t>
                </w:r>
              </w:p>
            </w:tc>
            <w:tc>
              <w:tcPr>
                <w:tcW w:w="1672" w:type="dxa"/>
              </w:tcPr>
              <w:p>
                <w:pPr>
                  <w:jc w:val="center"/>
                  <w:rPr>
                    <w:color w:val="000000"/>
                    <w:szCs w:val="24"/>
                  </w:rPr>
                </w:pPr>
                <w:r>
                  <w:rPr>
                    <w:color w:val="000000"/>
                    <w:szCs w:val="24"/>
                    <w:lang w:eastAsia="lt-LT"/>
                  </w:rPr>
                  <w:drawing>
                    <wp:inline distT="0" distB="0" distL="0" distR="0">
                      <wp:extent cx="695325" cy="600075"/>
                      <wp:effectExtent l="0" t="0" r="9525" b="9525"/>
                      <wp:docPr id="41"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6.png"/>
                              <pic:cNvPicPr/>
                            </pic:nvPicPr>
                            <pic:blipFill>
                              <a:blip r:embed="rId96" cstate="print">
                                <a:extLst>
                                  <a:ext uri="{28A0092B-C50C-407E-A947-70E740481C1C}">
                                    <a14:useLocalDpi xmlns:a14="http://schemas.microsoft.com/office/drawing/2010/main" val="0"/>
                                  </a:ext>
                                </a:extLst>
                              </a:blip>
                              <a:stretch>
                                <a:fillRect/>
                              </a:stretch>
                            </pic:blipFill>
                            <pic:spPr>
                              <a:xfrm>
                                <a:off x="0" y="0"/>
                                <a:ext cx="696729" cy="601287"/>
                              </a:xfrm>
                              <a:prstGeom prst="rect">
                                <a:avLst/>
                              </a:prstGeom>
                            </pic:spPr>
                          </pic:pic>
                        </a:graphicData>
                      </a:graphic>
                    </wp:inline>
                  </w:drawing>
                </w:r>
              </w:p>
            </w:tc>
            <w:tc>
              <w:tcPr>
                <w:tcW w:w="850" w:type="dxa"/>
              </w:tcPr>
              <w:p>
                <w:pPr>
                  <w:rPr>
                    <w:color w:val="000000"/>
                    <w:szCs w:val="24"/>
                  </w:rPr>
                </w:pPr>
              </w:p>
            </w:tc>
            <w:tc>
              <w:tcPr>
                <w:tcW w:w="851" w:type="dxa"/>
              </w:tcPr>
              <w:p>
                <w:pPr>
                  <w:rPr>
                    <w:color w:val="000000"/>
                    <w:szCs w:val="24"/>
                  </w:rPr>
                </w:pPr>
              </w:p>
            </w:tc>
            <w:tc>
              <w:tcPr>
                <w:tcW w:w="1134" w:type="dxa"/>
                <w:vMerge/>
              </w:tcPr>
              <w:p>
                <w:pPr>
                  <w:rPr>
                    <w:color w:val="000000"/>
                    <w:szCs w:val="24"/>
                  </w:rPr>
                </w:pPr>
              </w:p>
            </w:tc>
            <w:tc>
              <w:tcPr>
                <w:tcW w:w="769" w:type="dxa"/>
                <w:vMerge/>
              </w:tcPr>
              <w:p>
                <w:pPr>
                  <w:rPr>
                    <w:color w:val="000000"/>
                    <w:szCs w:val="24"/>
                  </w:rPr>
                </w:pPr>
              </w:p>
            </w:tc>
            <w:tc>
              <w:tcPr>
                <w:tcW w:w="1844" w:type="dxa"/>
                <w:vMerge/>
              </w:tcPr>
              <w:p>
                <w:pPr>
                  <w:rPr>
                    <w:color w:val="000000"/>
                    <w:szCs w:val="24"/>
                  </w:rPr>
                </w:pPr>
              </w:p>
            </w:tc>
          </w:tr>
          <w:tr>
            <w:trPr>
              <w:trHeight w:val="575"/>
            </w:trPr>
            <w:tc>
              <w:tcPr>
                <w:tcW w:w="568" w:type="dxa"/>
                <w:vMerge/>
              </w:tcPr>
              <w:p>
                <w:pPr>
                  <w:rPr>
                    <w:color w:val="000000"/>
                    <w:szCs w:val="24"/>
                  </w:rPr>
                </w:pPr>
              </w:p>
            </w:tc>
            <w:tc>
              <w:tcPr>
                <w:tcW w:w="1247" w:type="dxa"/>
              </w:tcPr>
              <w:p>
                <w:pPr>
                  <w:rPr>
                    <w:color w:val="000000"/>
                    <w:szCs w:val="24"/>
                  </w:rPr>
                </w:pPr>
              </w:p>
            </w:tc>
            <w:tc>
              <w:tcPr>
                <w:tcW w:w="1871" w:type="dxa"/>
              </w:tcPr>
              <w:p>
                <w:pPr>
                  <w:rPr>
                    <w:color w:val="000000"/>
                    <w:szCs w:val="24"/>
                  </w:rPr>
                </w:pPr>
                <w:r>
                  <w:rPr>
                    <w:color w:val="000000"/>
                    <w:szCs w:val="24"/>
                  </w:rPr>
                  <w:t>3.5. Čiauška skiemenimis.</w:t>
                </w:r>
              </w:p>
            </w:tc>
            <w:tc>
              <w:tcPr>
                <w:tcW w:w="4253" w:type="dxa"/>
              </w:tcPr>
              <w:p>
                <w:pPr>
                  <w:rPr>
                    <w:color w:val="000000"/>
                    <w:szCs w:val="24"/>
                  </w:rPr>
                </w:pPr>
                <w:r>
                  <w:rPr>
                    <w:color w:val="000000"/>
                    <w:szCs w:val="24"/>
                  </w:rPr>
                  <w:t>Vaikas sako sudvigubintus skiemenis (pvz., da-da, ba-ba ir pan.).</w:t>
                </w:r>
              </w:p>
              <w:p>
                <w:pPr>
                  <w:rPr>
                    <w:color w:val="000000"/>
                    <w:szCs w:val="24"/>
                  </w:rPr>
                </w:pPr>
                <w:r>
                  <w:rPr>
                    <w:color w:val="000000"/>
                    <w:szCs w:val="24"/>
                  </w:rPr>
                  <w:t>Galima vertinti teigiamai pagal tėvų arba kitų vaiko atstovų pagal įstatymą duomenis.</w:t>
                </w:r>
              </w:p>
            </w:tc>
            <w:tc>
              <w:tcPr>
                <w:tcW w:w="1672" w:type="dxa"/>
              </w:tcPr>
              <w:p>
                <w:pPr>
                  <w:jc w:val="center"/>
                  <w:rPr>
                    <w:color w:val="000000"/>
                    <w:szCs w:val="24"/>
                  </w:rPr>
                </w:pPr>
                <w:r>
                  <w:rPr>
                    <w:color w:val="000000"/>
                    <w:szCs w:val="24"/>
                    <w:lang w:eastAsia="lt-LT"/>
                  </w:rPr>
                  <w:drawing>
                    <wp:inline distT="0" distB="0" distL="0" distR="0">
                      <wp:extent cx="819150" cy="400050"/>
                      <wp:effectExtent l="0" t="0" r="0" b="0"/>
                      <wp:docPr id="42"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3.png"/>
                              <pic:cNvPicPr/>
                            </pic:nvPicPr>
                            <pic:blipFill>
                              <a:blip r:embed="rId97" cstate="print">
                                <a:extLst>
                                  <a:ext uri="{28A0092B-C50C-407E-A947-70E740481C1C}">
                                    <a14:useLocalDpi xmlns:a14="http://schemas.microsoft.com/office/drawing/2010/main" val="0"/>
                                  </a:ext>
                                </a:extLst>
                              </a:blip>
                              <a:stretch>
                                <a:fillRect/>
                              </a:stretch>
                            </pic:blipFill>
                            <pic:spPr>
                              <a:xfrm>
                                <a:off x="0" y="0"/>
                                <a:ext cx="827509" cy="404132"/>
                              </a:xfrm>
                              <a:prstGeom prst="rect">
                                <a:avLst/>
                              </a:prstGeom>
                            </pic:spPr>
                          </pic:pic>
                        </a:graphicData>
                      </a:graphic>
                    </wp:inline>
                  </w:drawing>
                </w:r>
              </w:p>
            </w:tc>
            <w:tc>
              <w:tcPr>
                <w:tcW w:w="850" w:type="dxa"/>
              </w:tcPr>
              <w:p>
                <w:pPr>
                  <w:rPr>
                    <w:color w:val="000000"/>
                    <w:szCs w:val="24"/>
                  </w:rPr>
                </w:pPr>
              </w:p>
            </w:tc>
            <w:tc>
              <w:tcPr>
                <w:tcW w:w="851" w:type="dxa"/>
              </w:tcPr>
              <w:p>
                <w:pPr>
                  <w:rPr>
                    <w:color w:val="000000"/>
                    <w:szCs w:val="24"/>
                  </w:rPr>
                </w:pPr>
              </w:p>
            </w:tc>
            <w:tc>
              <w:tcPr>
                <w:tcW w:w="1134" w:type="dxa"/>
                <w:vMerge/>
              </w:tcPr>
              <w:p>
                <w:pPr>
                  <w:rPr>
                    <w:color w:val="000000"/>
                    <w:szCs w:val="24"/>
                  </w:rPr>
                </w:pPr>
              </w:p>
            </w:tc>
            <w:tc>
              <w:tcPr>
                <w:tcW w:w="769" w:type="dxa"/>
                <w:vMerge/>
              </w:tcPr>
              <w:p>
                <w:pPr>
                  <w:rPr>
                    <w:color w:val="000000"/>
                    <w:szCs w:val="24"/>
                  </w:rPr>
                </w:pPr>
              </w:p>
            </w:tc>
            <w:tc>
              <w:tcPr>
                <w:tcW w:w="1844" w:type="dxa"/>
                <w:vMerge/>
              </w:tcPr>
              <w:p>
                <w:pPr>
                  <w:rPr>
                    <w:color w:val="000000"/>
                    <w:szCs w:val="24"/>
                  </w:rPr>
                </w:pPr>
              </w:p>
            </w:tc>
          </w:tr>
        </w:tbl>
        <w:p>
          <w:pPr>
            <w:jc w:val="right"/>
            <w:rPr>
              <w:color w:val="000000"/>
              <w:sz w:val="28"/>
              <w:szCs w:val="28"/>
            </w:rPr>
          </w:pPr>
        </w:p>
        <w:p>
          <w:pPr>
            <w:snapToGrid w:val="0"/>
            <w:ind w:left="851"/>
            <w:jc w:val="center"/>
            <w:rPr>
              <w:color w:val="000000"/>
              <w:szCs w:val="24"/>
            </w:rPr>
          </w:pPr>
          <w:r>
            <w:rPr>
              <w:color w:val="000000"/>
              <w:szCs w:val="24"/>
            </w:rPr>
            <w:t>______________</w:t>
          </w:r>
        </w:p>
        <w:p>
          <w:pPr>
            <w:jc w:val="center"/>
            <w:rPr>
              <w:color w:val="000000"/>
              <w:sz w:val="28"/>
              <w:szCs w:val="28"/>
            </w:rPr>
          </w:pPr>
        </w:p>
        <w:p>
          <w:pPr>
            <w:jc w:val="center"/>
            <w:rPr>
              <w:color w:val="000000"/>
              <w:sz w:val="28"/>
              <w:szCs w:val="28"/>
            </w:rPr>
          </w:pPr>
          <w:r>
            <w:rPr>
              <w:color w:val="000000"/>
              <w:sz w:val="28"/>
              <w:szCs w:val="28"/>
            </w:rPr>
            <w:br w:type="page"/>
          </w:r>
        </w:p>
        <w:p>
          <w:pPr>
            <w:ind w:left="5184" w:right="395" w:firstLine="1440"/>
            <w:jc w:val="right"/>
            <w:rPr>
              <w:color w:val="000000"/>
              <w:szCs w:val="24"/>
            </w:rPr>
          </w:pPr>
        </w:p>
        <w:p>
          <w:pPr>
            <w:ind w:right="395"/>
            <w:jc w:val="right"/>
            <w:rPr>
              <w:color w:val="000000"/>
              <w:szCs w:val="24"/>
            </w:rPr>
          </w:pPr>
          <w:r>
            <w:rPr>
              <w:color w:val="000000"/>
              <w:szCs w:val="24"/>
            </w:rPr>
            <w:t>____________________</w:t>
          </w:r>
        </w:p>
        <w:p>
          <w:pPr>
            <w:ind w:right="395" w:firstLine="2880"/>
            <w:jc w:val="right"/>
            <w:rPr>
              <w:color w:val="000000"/>
              <w:szCs w:val="24"/>
            </w:rPr>
          </w:pPr>
          <w:r>
            <w:rPr>
              <w:color w:val="000000"/>
              <w:szCs w:val="24"/>
            </w:rPr>
            <w:t>Vaiko vardas, pavardė, formos Nr. 025-112/a, į kurią įklijuojama, Nr.</w:t>
          </w:r>
        </w:p>
        <w:p>
          <w:pPr>
            <w:ind w:right="395"/>
            <w:jc w:val="right"/>
            <w:rPr>
              <w:b/>
              <w:color w:val="000000"/>
              <w:szCs w:val="24"/>
            </w:rPr>
          </w:pPr>
        </w:p>
        <w:p>
          <w:pPr>
            <w:jc w:val="center"/>
            <w:rPr>
              <w:color w:val="000000"/>
              <w:szCs w:val="24"/>
            </w:rPr>
          </w:pPr>
          <w:r>
            <w:rPr>
              <w:b/>
              <w:color w:val="000000"/>
              <w:szCs w:val="24"/>
            </w:rPr>
            <w:t xml:space="preserve">VAIKO PSICHOMOTORINĖS RAIDOS TIKRINIMO LAPAS (ANKSTYVOJO AMŽIAUS VAIKAS) </w:t>
          </w:r>
        </w:p>
        <w:p>
          <w:pPr>
            <w:ind w:firstLine="8220"/>
            <w:jc w:val="center"/>
            <w:rPr>
              <w:color w:val="000000"/>
              <w:szCs w:val="24"/>
            </w:rPr>
          </w:pPr>
          <w:r>
            <w:rPr>
              <w:color w:val="000000"/>
              <w:szCs w:val="24"/>
            </w:rPr>
            <w:t>2 lentelė</w:t>
          </w:r>
        </w:p>
        <w:p>
          <w:pPr>
            <w:jc w:val="center"/>
            <w:rPr>
              <w:color w:val="000000"/>
              <w:szCs w:val="24"/>
            </w:rPr>
          </w:pPr>
        </w:p>
        <w:tbl>
          <w:tblPr>
            <w:tblW w:w="1505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568"/>
            <w:gridCol w:w="1134"/>
            <w:gridCol w:w="1814"/>
            <w:gridCol w:w="4423"/>
            <w:gridCol w:w="1559"/>
            <w:gridCol w:w="822"/>
            <w:gridCol w:w="850"/>
            <w:gridCol w:w="1276"/>
            <w:gridCol w:w="992"/>
            <w:gridCol w:w="1621"/>
          </w:tblGrid>
          <w:tr>
            <w:trPr>
              <w:trHeight w:hRule="exact" w:val="567"/>
            </w:trPr>
            <w:tc>
              <w:tcPr>
                <w:tcW w:w="568" w:type="dxa"/>
                <w:vMerge w:val="restart"/>
              </w:tcPr>
              <w:p>
                <w:pPr>
                  <w:jc w:val="center"/>
                  <w:rPr>
                    <w:b/>
                    <w:color w:val="000000"/>
                    <w:szCs w:val="24"/>
                  </w:rPr>
                </w:pPr>
                <w:r>
                  <w:rPr>
                    <w:b/>
                    <w:color w:val="000000"/>
                    <w:szCs w:val="24"/>
                  </w:rPr>
                  <w:t>Nr.</w:t>
                </w:r>
              </w:p>
            </w:tc>
            <w:tc>
              <w:tcPr>
                <w:tcW w:w="1134" w:type="dxa"/>
                <w:vMerge w:val="restart"/>
              </w:tcPr>
              <w:p>
                <w:pPr>
                  <w:jc w:val="center"/>
                  <w:rPr>
                    <w:b/>
                    <w:color w:val="000000"/>
                    <w:szCs w:val="24"/>
                  </w:rPr>
                </w:pPr>
                <w:r>
                  <w:rPr>
                    <w:b/>
                    <w:color w:val="000000"/>
                    <w:szCs w:val="24"/>
                  </w:rPr>
                  <w:t>Vaiko amžius</w:t>
                </w:r>
              </w:p>
            </w:tc>
            <w:tc>
              <w:tcPr>
                <w:tcW w:w="7796" w:type="dxa"/>
                <w:gridSpan w:val="3"/>
                <w:vMerge w:val="restart"/>
              </w:tcPr>
              <w:p>
                <w:pPr>
                  <w:jc w:val="center"/>
                  <w:rPr>
                    <w:b/>
                    <w:color w:val="000000"/>
                    <w:szCs w:val="24"/>
                  </w:rPr>
                </w:pPr>
                <w:r>
                  <w:rPr>
                    <w:b/>
                    <w:color w:val="000000"/>
                    <w:szCs w:val="24"/>
                  </w:rPr>
                  <w:t>Įgūdžio aprašymas</w:t>
                </w:r>
              </w:p>
            </w:tc>
            <w:tc>
              <w:tcPr>
                <w:tcW w:w="1672" w:type="dxa"/>
                <w:gridSpan w:val="2"/>
              </w:tcPr>
              <w:p>
                <w:pPr>
                  <w:jc w:val="center"/>
                  <w:rPr>
                    <w:b/>
                    <w:color w:val="000000"/>
                    <w:szCs w:val="24"/>
                  </w:rPr>
                </w:pPr>
                <w:r>
                  <w:rPr>
                    <w:b/>
                    <w:color w:val="000000"/>
                    <w:szCs w:val="24"/>
                  </w:rPr>
                  <w:t xml:space="preserve">Įgūdžio vertinimas </w:t>
                </w:r>
              </w:p>
              <w:p>
                <w:pPr>
                  <w:jc w:val="center"/>
                  <w:rPr>
                    <w:b/>
                    <w:color w:val="000000"/>
                    <w:szCs w:val="24"/>
                  </w:rPr>
                </w:pPr>
              </w:p>
            </w:tc>
            <w:tc>
              <w:tcPr>
                <w:tcW w:w="1276" w:type="dxa"/>
              </w:tcPr>
              <w:p>
                <w:pPr>
                  <w:jc w:val="center"/>
                  <w:rPr>
                    <w:b/>
                    <w:color w:val="000000"/>
                    <w:szCs w:val="24"/>
                  </w:rPr>
                </w:pPr>
                <w:r>
                  <w:rPr>
                    <w:b/>
                    <w:color w:val="000000"/>
                    <w:szCs w:val="24"/>
                  </w:rPr>
                  <w:t>Išvada</w:t>
                </w:r>
              </w:p>
            </w:tc>
            <w:tc>
              <w:tcPr>
                <w:tcW w:w="992" w:type="dxa"/>
              </w:tcPr>
              <w:p>
                <w:pPr>
                  <w:jc w:val="center"/>
                  <w:rPr>
                    <w:b/>
                    <w:color w:val="000000"/>
                    <w:szCs w:val="24"/>
                  </w:rPr>
                </w:pPr>
                <w:r>
                  <w:rPr>
                    <w:b/>
                    <w:color w:val="000000"/>
                    <w:szCs w:val="24"/>
                  </w:rPr>
                  <w:t>Data</w:t>
                </w:r>
              </w:p>
            </w:tc>
            <w:tc>
              <w:tcPr>
                <w:tcW w:w="1621" w:type="dxa"/>
                <w:vMerge w:val="restart"/>
              </w:tcPr>
              <w:p>
                <w:pPr>
                  <w:jc w:val="center"/>
                  <w:rPr>
                    <w:b/>
                    <w:color w:val="000000"/>
                    <w:szCs w:val="24"/>
                  </w:rPr>
                </w:pPr>
                <w:r>
                  <w:rPr>
                    <w:b/>
                    <w:color w:val="000000"/>
                    <w:szCs w:val="24"/>
                  </w:rPr>
                  <w:t>Gydytojo parašas, spaudas</w:t>
                </w:r>
              </w:p>
            </w:tc>
          </w:tr>
          <w:tr>
            <w:trPr>
              <w:trHeight w:hRule="exact" w:val="567"/>
            </w:trPr>
            <w:tc>
              <w:tcPr>
                <w:tcW w:w="568" w:type="dxa"/>
                <w:vMerge/>
              </w:tcPr>
              <w:p>
                <w:pPr>
                  <w:jc w:val="center"/>
                  <w:rPr>
                    <w:b/>
                    <w:color w:val="000000"/>
                    <w:szCs w:val="24"/>
                  </w:rPr>
                </w:pPr>
              </w:p>
            </w:tc>
            <w:tc>
              <w:tcPr>
                <w:tcW w:w="1134" w:type="dxa"/>
                <w:vMerge/>
              </w:tcPr>
              <w:p>
                <w:pPr>
                  <w:jc w:val="center"/>
                  <w:rPr>
                    <w:b/>
                    <w:color w:val="000000"/>
                    <w:szCs w:val="24"/>
                  </w:rPr>
                </w:pPr>
              </w:p>
            </w:tc>
            <w:tc>
              <w:tcPr>
                <w:tcW w:w="7796" w:type="dxa"/>
                <w:gridSpan w:val="3"/>
                <w:vMerge/>
              </w:tcPr>
              <w:p>
                <w:pPr>
                  <w:jc w:val="center"/>
                  <w:rPr>
                    <w:b/>
                    <w:color w:val="000000"/>
                    <w:szCs w:val="24"/>
                  </w:rPr>
                </w:pPr>
              </w:p>
            </w:tc>
            <w:tc>
              <w:tcPr>
                <w:tcW w:w="822" w:type="dxa"/>
              </w:tcPr>
              <w:p>
                <w:pPr>
                  <w:jc w:val="center"/>
                  <w:rPr>
                    <w:b/>
                    <w:color w:val="000000"/>
                    <w:szCs w:val="24"/>
                  </w:rPr>
                </w:pPr>
                <w:r>
                  <w:rPr>
                    <w:b/>
                    <w:color w:val="000000"/>
                    <w:szCs w:val="24"/>
                  </w:rPr>
                  <w:t>Taip</w:t>
                </w:r>
              </w:p>
              <w:p>
                <w:pPr>
                  <w:jc w:val="center"/>
                  <w:rPr>
                    <w:b/>
                    <w:color w:val="000000"/>
                    <w:szCs w:val="24"/>
                  </w:rPr>
                </w:pPr>
                <w:r>
                  <w:rPr>
                    <w:b/>
                    <w:color w:val="000000"/>
                    <w:szCs w:val="24"/>
                  </w:rPr>
                  <w:t>√</w:t>
                </w:r>
              </w:p>
            </w:tc>
            <w:tc>
              <w:tcPr>
                <w:tcW w:w="850" w:type="dxa"/>
              </w:tcPr>
              <w:p>
                <w:pPr>
                  <w:jc w:val="center"/>
                  <w:rPr>
                    <w:b/>
                    <w:color w:val="000000"/>
                    <w:szCs w:val="24"/>
                  </w:rPr>
                </w:pPr>
                <w:r>
                  <w:rPr>
                    <w:b/>
                    <w:color w:val="000000"/>
                    <w:szCs w:val="24"/>
                  </w:rPr>
                  <w:t>Ne</w:t>
                </w:r>
              </w:p>
              <w:p>
                <w:pPr>
                  <w:jc w:val="center"/>
                  <w:rPr>
                    <w:b/>
                    <w:color w:val="000000"/>
                    <w:szCs w:val="24"/>
                  </w:rPr>
                </w:pPr>
                <w:r>
                  <w:rPr>
                    <w:b/>
                    <w:color w:val="000000"/>
                    <w:szCs w:val="24"/>
                  </w:rPr>
                  <w:t>√</w:t>
                </w:r>
              </w:p>
            </w:tc>
            <w:tc>
              <w:tcPr>
                <w:tcW w:w="1276" w:type="dxa"/>
              </w:tcPr>
              <w:p>
                <w:pPr>
                  <w:jc w:val="center"/>
                  <w:rPr>
                    <w:b/>
                    <w:color w:val="000000"/>
                    <w:szCs w:val="24"/>
                  </w:rPr>
                </w:pPr>
              </w:p>
            </w:tc>
            <w:tc>
              <w:tcPr>
                <w:tcW w:w="992" w:type="dxa"/>
              </w:tcPr>
              <w:p>
                <w:pPr>
                  <w:jc w:val="center"/>
                  <w:rPr>
                    <w:b/>
                    <w:color w:val="000000"/>
                    <w:szCs w:val="24"/>
                  </w:rPr>
                </w:pPr>
              </w:p>
            </w:tc>
            <w:tc>
              <w:tcPr>
                <w:tcW w:w="1621" w:type="dxa"/>
                <w:vMerge/>
              </w:tcPr>
              <w:p>
                <w:pPr>
                  <w:jc w:val="center"/>
                  <w:rPr>
                    <w:b/>
                    <w:color w:val="000000"/>
                    <w:szCs w:val="24"/>
                  </w:rPr>
                </w:pPr>
              </w:p>
            </w:tc>
          </w:tr>
          <w:tr>
            <w:trPr>
              <w:trHeight w:val="677"/>
            </w:trPr>
            <w:tc>
              <w:tcPr>
                <w:tcW w:w="568" w:type="dxa"/>
                <w:vMerge w:val="restart"/>
              </w:tcPr>
              <w:p>
                <w:pPr>
                  <w:rPr>
                    <w:color w:val="000000"/>
                    <w:szCs w:val="24"/>
                  </w:rPr>
                </w:pPr>
                <w:r>
                  <w:rPr>
                    <w:color w:val="000000"/>
                    <w:szCs w:val="24"/>
                  </w:rPr>
                  <w:t>1.</w:t>
                </w:r>
              </w:p>
            </w:tc>
            <w:tc>
              <w:tcPr>
                <w:tcW w:w="1134" w:type="dxa"/>
                <w:vMerge w:val="restart"/>
              </w:tcPr>
              <w:p>
                <w:pPr>
                  <w:rPr>
                    <w:color w:val="000000"/>
                    <w:szCs w:val="24"/>
                  </w:rPr>
                </w:pPr>
                <w:r>
                  <w:rPr>
                    <w:color w:val="000000"/>
                    <w:szCs w:val="24"/>
                  </w:rPr>
                  <w:t>12 mėn.</w:t>
                </w:r>
              </w:p>
              <w:p>
                <w:pPr>
                  <w:rPr>
                    <w:color w:val="000000"/>
                    <w:szCs w:val="24"/>
                  </w:rPr>
                </w:pPr>
                <w:r>
                  <w:rPr>
                    <w:color w:val="000000"/>
                    <w:szCs w:val="24"/>
                  </w:rPr>
                  <w:t>(1 m.)</w:t>
                </w:r>
              </w:p>
              <w:p>
                <w:pPr>
                  <w:rPr>
                    <w:color w:val="000000"/>
                    <w:szCs w:val="24"/>
                  </w:rPr>
                </w:pPr>
              </w:p>
            </w:tc>
            <w:tc>
              <w:tcPr>
                <w:tcW w:w="1814" w:type="dxa"/>
              </w:tcPr>
              <w:p>
                <w:pPr>
                  <w:rPr>
                    <w:color w:val="000000"/>
                    <w:szCs w:val="24"/>
                  </w:rPr>
                </w:pPr>
                <w:r>
                  <w:rPr>
                    <w:color w:val="000000"/>
                    <w:szCs w:val="24"/>
                  </w:rPr>
                  <w:t>1.1. Ropoja.</w:t>
                </w:r>
              </w:p>
            </w:tc>
            <w:tc>
              <w:tcPr>
                <w:tcW w:w="4423" w:type="dxa"/>
              </w:tcPr>
              <w:p>
                <w:pPr>
                  <w:rPr>
                    <w:color w:val="000000"/>
                    <w:szCs w:val="24"/>
                  </w:rPr>
                </w:pPr>
                <w:r>
                  <w:rPr>
                    <w:color w:val="000000"/>
                    <w:szCs w:val="24"/>
                  </w:rPr>
                  <w:t>Vaikas juda kryžminės koordinacijos būdu.</w:t>
                </w:r>
              </w:p>
            </w:tc>
            <w:tc>
              <w:tcPr>
                <w:tcW w:w="1559" w:type="dxa"/>
              </w:tcPr>
              <w:p>
                <w:pPr>
                  <w:jc w:val="center"/>
                  <w:rPr>
                    <w:color w:val="000000"/>
                    <w:szCs w:val="24"/>
                  </w:rPr>
                </w:pPr>
                <w:r>
                  <w:rPr>
                    <w:color w:val="000000"/>
                    <w:szCs w:val="24"/>
                    <w:lang w:eastAsia="lt-LT"/>
                  </w:rPr>
                  <w:drawing>
                    <wp:inline distT="0" distB="0" distL="0" distR="0">
                      <wp:extent cx="638175" cy="485775"/>
                      <wp:effectExtent l="19050" t="0" r="9525" b="0"/>
                      <wp:docPr id="43"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98"/>
                              <a:srcRect/>
                              <a:stretch>
                                <a:fillRect/>
                              </a:stretch>
                            </pic:blipFill>
                            <pic:spPr bwMode="auto">
                              <a:xfrm>
                                <a:off x="0" y="0"/>
                                <a:ext cx="638175" cy="485775"/>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lang w:eastAsia="lt-LT"/>
                  </w:rPr>
                </w:pPr>
              </w:p>
            </w:tc>
            <w:tc>
              <w:tcPr>
                <w:tcW w:w="1276" w:type="dxa"/>
                <w:vMerge w:val="restart"/>
              </w:tcPr>
              <w:p>
                <w:pPr>
                  <w:rPr>
                    <w:color w:val="000000"/>
                    <w:szCs w:val="24"/>
                    <w:lang w:eastAsia="lt-LT"/>
                  </w:rPr>
                </w:pPr>
                <w:r>
                  <w:rPr>
                    <w:color w:val="000000"/>
                    <w:szCs w:val="24"/>
                    <w:lang w:eastAsia="lt-LT"/>
                  </w:rPr>
                  <w:t xml:space="preserve">□ Normali </w:t>
                </w:r>
              </w:p>
              <w:p>
                <w:pPr>
                  <w:rPr>
                    <w:color w:val="000000"/>
                    <w:szCs w:val="24"/>
                    <w:lang w:eastAsia="lt-LT"/>
                  </w:rPr>
                </w:pPr>
                <w:r>
                  <w:rPr>
                    <w:color w:val="000000"/>
                    <w:szCs w:val="24"/>
                    <w:lang w:eastAsia="lt-LT"/>
                  </w:rPr>
                  <w:t>raida</w:t>
                </w:r>
              </w:p>
              <w:p>
                <w:pPr>
                  <w:rPr>
                    <w:color w:val="000000"/>
                    <w:szCs w:val="24"/>
                    <w:lang w:eastAsia="lt-LT"/>
                  </w:rPr>
                </w:pPr>
              </w:p>
              <w:p>
                <w:pPr>
                  <w:rPr>
                    <w:color w:val="000000"/>
                    <w:szCs w:val="24"/>
                    <w:lang w:eastAsia="lt-LT"/>
                  </w:rPr>
                </w:pPr>
                <w:r>
                  <w:rPr>
                    <w:color w:val="000000"/>
                    <w:szCs w:val="24"/>
                    <w:lang w:eastAsia="lt-LT"/>
                  </w:rPr>
                  <w:t>□ Raidos sutrikimo rizika</w:t>
                </w:r>
              </w:p>
            </w:tc>
            <w:tc>
              <w:tcPr>
                <w:tcW w:w="992" w:type="dxa"/>
                <w:vMerge w:val="restart"/>
              </w:tcPr>
              <w:p>
                <w:pPr>
                  <w:rPr>
                    <w:color w:val="000000"/>
                    <w:szCs w:val="24"/>
                    <w:lang w:eastAsia="lt-LT"/>
                  </w:rPr>
                </w:pPr>
              </w:p>
            </w:tc>
            <w:tc>
              <w:tcPr>
                <w:tcW w:w="1621" w:type="dxa"/>
                <w:vMerge w:val="restart"/>
              </w:tcPr>
              <w:p>
                <w:pPr>
                  <w:rPr>
                    <w:color w:val="000000"/>
                    <w:szCs w:val="24"/>
                    <w:lang w:eastAsia="lt-LT"/>
                  </w:rPr>
                </w:pPr>
              </w:p>
            </w:tc>
          </w:tr>
          <w:tr>
            <w:trPr>
              <w:trHeight w:val="902"/>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1.2. Eina pristatomu žingsniu.</w:t>
                </w:r>
              </w:p>
            </w:tc>
            <w:tc>
              <w:tcPr>
                <w:tcW w:w="4423" w:type="dxa"/>
              </w:tcPr>
              <w:p>
                <w:pPr>
                  <w:rPr>
                    <w:color w:val="000000"/>
                    <w:szCs w:val="24"/>
                  </w:rPr>
                </w:pPr>
                <w:r>
                  <w:rPr>
                    <w:color w:val="000000"/>
                    <w:szCs w:val="24"/>
                  </w:rPr>
                  <w:t>Vaikas eina laikydamasis už baldų.</w:t>
                </w:r>
              </w:p>
            </w:tc>
            <w:tc>
              <w:tcPr>
                <w:tcW w:w="1559" w:type="dxa"/>
              </w:tcPr>
              <w:p>
                <w:pPr>
                  <w:rPr>
                    <w:b/>
                    <w:color w:val="000000"/>
                    <w:szCs w:val="24"/>
                  </w:rPr>
                </w:pPr>
                <w:r>
                  <w:rPr>
                    <w:color w:val="000000"/>
                    <w:szCs w:val="24"/>
                    <w:lang w:eastAsia="lt-LT"/>
                  </w:rPr>
                  <w:drawing>
                    <wp:inline distT="0" distB="0" distL="0" distR="0">
                      <wp:extent cx="809625" cy="533400"/>
                      <wp:effectExtent l="19050" t="0" r="9525" b="0"/>
                      <wp:docPr id="44"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99"/>
                              <a:srcRect/>
                              <a:stretch>
                                <a:fillRect/>
                              </a:stretch>
                            </pic:blipFill>
                            <pic:spPr bwMode="auto">
                              <a:xfrm>
                                <a:off x="0" y="0"/>
                                <a:ext cx="809625" cy="533400"/>
                              </a:xfrm>
                              <a:prstGeom prst="rect">
                                <a:avLst/>
                              </a:prstGeom>
                              <a:noFill/>
                              <a:ln w="9525">
                                <a:noFill/>
                                <a:miter lim="800000"/>
                                <a:headEnd/>
                                <a:tailEnd/>
                              </a:ln>
                            </pic:spPr>
                          </pic:pic>
                        </a:graphicData>
                      </a:graphic>
                    </wp:inline>
                  </w:drawing>
                </w:r>
              </w:p>
            </w:tc>
            <w:tc>
              <w:tcPr>
                <w:tcW w:w="822" w:type="dxa"/>
              </w:tcPr>
              <w:p>
                <w:pPr>
                  <w:rPr>
                    <w:color w:val="000000"/>
                    <w:szCs w:val="24"/>
                    <w:lang w:eastAsia="lt-LT"/>
                  </w:rPr>
                </w:pPr>
              </w:p>
            </w:tc>
            <w:tc>
              <w:tcPr>
                <w:tcW w:w="850" w:type="dxa"/>
              </w:tcPr>
              <w:p>
                <w:pPr>
                  <w:rPr>
                    <w:color w:val="000000"/>
                    <w:szCs w:val="24"/>
                    <w:lang w:eastAsia="lt-LT"/>
                  </w:rPr>
                </w:pPr>
              </w:p>
            </w:tc>
            <w:tc>
              <w:tcPr>
                <w:tcW w:w="1276" w:type="dxa"/>
                <w:vMerge/>
              </w:tcPr>
              <w:p>
                <w:pPr>
                  <w:rPr>
                    <w:color w:val="000000"/>
                    <w:szCs w:val="24"/>
                    <w:lang w:eastAsia="lt-LT"/>
                  </w:rPr>
                </w:pPr>
              </w:p>
            </w:tc>
            <w:tc>
              <w:tcPr>
                <w:tcW w:w="992" w:type="dxa"/>
                <w:vMerge/>
              </w:tcPr>
              <w:p>
                <w:pPr>
                  <w:rPr>
                    <w:color w:val="000000"/>
                    <w:szCs w:val="24"/>
                    <w:lang w:eastAsia="lt-LT"/>
                  </w:rPr>
                </w:pPr>
              </w:p>
            </w:tc>
            <w:tc>
              <w:tcPr>
                <w:tcW w:w="1621" w:type="dxa"/>
                <w:vMerge/>
              </w:tcPr>
              <w:p>
                <w:pPr>
                  <w:rPr>
                    <w:color w:val="000000"/>
                    <w:szCs w:val="24"/>
                    <w:lang w:eastAsia="lt-LT"/>
                  </w:rPr>
                </w:pPr>
              </w:p>
            </w:tc>
          </w:tr>
          <w:tr>
            <w:trPr>
              <w:trHeight w:val="884"/>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 xml:space="preserve">1.3. Atlieka veiksmus su dviem daiktais. </w:t>
                </w:r>
              </w:p>
            </w:tc>
            <w:tc>
              <w:tcPr>
                <w:tcW w:w="4423" w:type="dxa"/>
              </w:tcPr>
              <w:p>
                <w:pPr>
                  <w:rPr>
                    <w:color w:val="000000"/>
                    <w:szCs w:val="24"/>
                  </w:rPr>
                </w:pPr>
                <w:r>
                  <w:rPr>
                    <w:color w:val="000000"/>
                    <w:szCs w:val="24"/>
                  </w:rPr>
                  <w:t>Vaikas įdeda žaislą į dėžutę arba padaužo du žaislus vienas į kitą.</w:t>
                </w:r>
              </w:p>
            </w:tc>
            <w:tc>
              <w:tcPr>
                <w:tcW w:w="1559" w:type="dxa"/>
              </w:tcPr>
              <w:p>
                <w:pPr>
                  <w:rPr>
                    <w:b/>
                    <w:color w:val="000000"/>
                    <w:szCs w:val="24"/>
                    <w:lang w:val="en-US" w:eastAsia="zh-CN"/>
                  </w:rPr>
                </w:pPr>
                <w:r>
                  <w:rPr>
                    <w:color w:val="000000"/>
                    <w:szCs w:val="24"/>
                    <w:lang w:eastAsia="lt-LT"/>
                  </w:rPr>
                  <w:drawing>
                    <wp:inline distT="0" distB="0" distL="0" distR="0">
                      <wp:extent cx="552450" cy="523875"/>
                      <wp:effectExtent l="19050" t="0" r="0" b="0"/>
                      <wp:docPr id="47"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pic:cNvPicPr>
                                <a:picLocks noChangeAspect="1" noChangeArrowheads="1"/>
                              </pic:cNvPicPr>
                            </pic:nvPicPr>
                            <pic:blipFill>
                              <a:blip r:embed="rId100"/>
                              <a:srcRect/>
                              <a:stretch>
                                <a:fillRect/>
                              </a:stretch>
                            </pic:blipFill>
                            <pic:spPr bwMode="auto">
                              <a:xfrm>
                                <a:off x="0" y="0"/>
                                <a:ext cx="552450" cy="523875"/>
                              </a:xfrm>
                              <a:prstGeom prst="rect">
                                <a:avLst/>
                              </a:prstGeom>
                              <a:noFill/>
                              <a:ln w="9525">
                                <a:noFill/>
                                <a:miter lim="800000"/>
                                <a:headEnd/>
                                <a:tailEnd/>
                              </a:ln>
                            </pic:spPr>
                          </pic:pic>
                        </a:graphicData>
                      </a:graphic>
                    </wp:inline>
                  </w:drawing>
                </w:r>
              </w:p>
            </w:tc>
            <w:tc>
              <w:tcPr>
                <w:tcW w:w="822" w:type="dxa"/>
              </w:tcPr>
              <w:p>
                <w:pPr>
                  <w:rPr>
                    <w:color w:val="000000"/>
                    <w:szCs w:val="24"/>
                    <w:lang w:eastAsia="lt-LT"/>
                  </w:rPr>
                </w:pPr>
              </w:p>
            </w:tc>
            <w:tc>
              <w:tcPr>
                <w:tcW w:w="850" w:type="dxa"/>
              </w:tcPr>
              <w:p>
                <w:pPr>
                  <w:rPr>
                    <w:color w:val="000000"/>
                    <w:szCs w:val="24"/>
                    <w:lang w:eastAsia="lt-LT"/>
                  </w:rPr>
                </w:pPr>
              </w:p>
            </w:tc>
            <w:tc>
              <w:tcPr>
                <w:tcW w:w="1276" w:type="dxa"/>
                <w:vMerge/>
              </w:tcPr>
              <w:p>
                <w:pPr>
                  <w:rPr>
                    <w:color w:val="000000"/>
                    <w:szCs w:val="24"/>
                    <w:lang w:eastAsia="lt-LT"/>
                  </w:rPr>
                </w:pPr>
              </w:p>
            </w:tc>
            <w:tc>
              <w:tcPr>
                <w:tcW w:w="992" w:type="dxa"/>
                <w:vMerge/>
              </w:tcPr>
              <w:p>
                <w:pPr>
                  <w:rPr>
                    <w:color w:val="000000"/>
                    <w:szCs w:val="24"/>
                    <w:lang w:eastAsia="lt-LT"/>
                  </w:rPr>
                </w:pPr>
              </w:p>
            </w:tc>
            <w:tc>
              <w:tcPr>
                <w:tcW w:w="1621" w:type="dxa"/>
                <w:vMerge/>
              </w:tcPr>
              <w:p>
                <w:pPr>
                  <w:rPr>
                    <w:color w:val="000000"/>
                    <w:szCs w:val="24"/>
                    <w:lang w:eastAsia="lt-LT"/>
                  </w:rPr>
                </w:pPr>
              </w:p>
            </w:tc>
          </w:tr>
          <w:tr>
            <w:trPr>
              <w:trHeight w:val="578"/>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1.4. Mėgdžioja veiksmus, garsus.</w:t>
                </w:r>
              </w:p>
            </w:tc>
            <w:tc>
              <w:tcPr>
                <w:tcW w:w="4423" w:type="dxa"/>
              </w:tcPr>
              <w:p>
                <w:pPr>
                  <w:rPr>
                    <w:color w:val="000000"/>
                    <w:szCs w:val="24"/>
                  </w:rPr>
                </w:pPr>
                <w:r>
                  <w:rPr>
                    <w:color w:val="000000"/>
                    <w:szCs w:val="24"/>
                  </w:rPr>
                  <w:t>Vaikas pakartoja suaugusiojo atliekamus veiksmus arba sakomus skiemenis.</w:t>
                </w:r>
              </w:p>
            </w:tc>
            <w:tc>
              <w:tcPr>
                <w:tcW w:w="1559" w:type="dxa"/>
              </w:tcPr>
              <w:p>
                <w:pPr>
                  <w:rPr>
                    <w:b/>
                    <w:color w:val="000000"/>
                    <w:szCs w:val="24"/>
                    <w:lang w:val="en-US" w:eastAsia="zh-CN"/>
                  </w:rPr>
                </w:pPr>
              </w:p>
            </w:tc>
            <w:tc>
              <w:tcPr>
                <w:tcW w:w="822" w:type="dxa"/>
              </w:tcPr>
              <w:p>
                <w:pPr>
                  <w:rPr>
                    <w:color w:val="000000"/>
                    <w:szCs w:val="24"/>
                    <w:lang w:eastAsia="lt-LT"/>
                  </w:rPr>
                </w:pPr>
              </w:p>
            </w:tc>
            <w:tc>
              <w:tcPr>
                <w:tcW w:w="850" w:type="dxa"/>
              </w:tcPr>
              <w:p>
                <w:pPr>
                  <w:rPr>
                    <w:color w:val="000000"/>
                    <w:szCs w:val="24"/>
                    <w:lang w:eastAsia="lt-LT"/>
                  </w:rPr>
                </w:pPr>
              </w:p>
            </w:tc>
            <w:tc>
              <w:tcPr>
                <w:tcW w:w="1276" w:type="dxa"/>
                <w:vMerge/>
              </w:tcPr>
              <w:p>
                <w:pPr>
                  <w:rPr>
                    <w:color w:val="000000"/>
                    <w:szCs w:val="24"/>
                    <w:lang w:eastAsia="lt-LT"/>
                  </w:rPr>
                </w:pPr>
              </w:p>
            </w:tc>
            <w:tc>
              <w:tcPr>
                <w:tcW w:w="992" w:type="dxa"/>
                <w:vMerge/>
              </w:tcPr>
              <w:p>
                <w:pPr>
                  <w:rPr>
                    <w:color w:val="000000"/>
                    <w:szCs w:val="24"/>
                    <w:lang w:eastAsia="lt-LT"/>
                  </w:rPr>
                </w:pPr>
              </w:p>
            </w:tc>
            <w:tc>
              <w:tcPr>
                <w:tcW w:w="1621" w:type="dxa"/>
                <w:vMerge/>
              </w:tcPr>
              <w:p>
                <w:pPr>
                  <w:rPr>
                    <w:color w:val="000000"/>
                    <w:szCs w:val="24"/>
                    <w:lang w:eastAsia="lt-LT"/>
                  </w:rPr>
                </w:pPr>
              </w:p>
            </w:tc>
          </w:tr>
          <w:tr>
            <w:trPr>
              <w:trHeight w:val="542"/>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 xml:space="preserve">1.5. Reaguoja į savo vardą. </w:t>
                </w:r>
              </w:p>
            </w:tc>
            <w:tc>
              <w:tcPr>
                <w:tcW w:w="4423" w:type="dxa"/>
              </w:tcPr>
              <w:p>
                <w:pPr>
                  <w:rPr>
                    <w:color w:val="000000"/>
                    <w:szCs w:val="24"/>
                  </w:rPr>
                </w:pPr>
                <w:r>
                  <w:rPr>
                    <w:color w:val="000000"/>
                    <w:szCs w:val="24"/>
                  </w:rPr>
                  <w:t>Pašauktas vardu vaikas suklūsta, atsisuka.</w:t>
                </w:r>
              </w:p>
            </w:tc>
            <w:tc>
              <w:tcPr>
                <w:tcW w:w="1559" w:type="dxa"/>
              </w:tcPr>
              <w:p>
                <w:pPr>
                  <w:rPr>
                    <w:b/>
                    <w:color w:val="000000"/>
                    <w:szCs w:val="24"/>
                    <w:lang w:val="en-US" w:eastAsia="zh-CN"/>
                  </w:rPr>
                </w:pPr>
              </w:p>
            </w:tc>
            <w:tc>
              <w:tcPr>
                <w:tcW w:w="822" w:type="dxa"/>
              </w:tcPr>
              <w:p>
                <w:pPr>
                  <w:rPr>
                    <w:color w:val="000000"/>
                    <w:szCs w:val="24"/>
                    <w:lang w:eastAsia="lt-LT"/>
                  </w:rPr>
                </w:pPr>
              </w:p>
            </w:tc>
            <w:tc>
              <w:tcPr>
                <w:tcW w:w="850" w:type="dxa"/>
              </w:tcPr>
              <w:p>
                <w:pPr>
                  <w:rPr>
                    <w:color w:val="000000"/>
                    <w:szCs w:val="24"/>
                    <w:lang w:eastAsia="lt-LT"/>
                  </w:rPr>
                </w:pPr>
              </w:p>
            </w:tc>
            <w:tc>
              <w:tcPr>
                <w:tcW w:w="1276" w:type="dxa"/>
                <w:vMerge/>
              </w:tcPr>
              <w:p>
                <w:pPr>
                  <w:rPr>
                    <w:color w:val="000000"/>
                    <w:szCs w:val="24"/>
                    <w:lang w:eastAsia="lt-LT"/>
                  </w:rPr>
                </w:pPr>
              </w:p>
            </w:tc>
            <w:tc>
              <w:tcPr>
                <w:tcW w:w="992" w:type="dxa"/>
                <w:vMerge/>
              </w:tcPr>
              <w:p>
                <w:pPr>
                  <w:rPr>
                    <w:color w:val="000000"/>
                    <w:szCs w:val="24"/>
                    <w:lang w:eastAsia="lt-LT"/>
                  </w:rPr>
                </w:pPr>
              </w:p>
            </w:tc>
            <w:tc>
              <w:tcPr>
                <w:tcW w:w="1621" w:type="dxa"/>
                <w:vMerge/>
              </w:tcPr>
              <w:p>
                <w:pPr>
                  <w:rPr>
                    <w:color w:val="000000"/>
                    <w:szCs w:val="24"/>
                    <w:lang w:eastAsia="lt-LT"/>
                  </w:rPr>
                </w:pPr>
              </w:p>
            </w:tc>
          </w:tr>
          <w:tr>
            <w:trPr>
              <w:trHeight w:val="1078"/>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 xml:space="preserve">1.6. Sako </w:t>
                </w:r>
              </w:p>
              <w:p>
                <w:pPr>
                  <w:ind w:firstLine="60"/>
                  <w:rPr>
                    <w:color w:val="000000"/>
                    <w:szCs w:val="24"/>
                  </w:rPr>
                </w:pPr>
                <w:r>
                  <w:rPr>
                    <w:color w:val="000000"/>
                    <w:szCs w:val="24"/>
                  </w:rPr>
                  <w:t>„mama“, „tete“.</w:t>
                </w:r>
              </w:p>
            </w:tc>
            <w:tc>
              <w:tcPr>
                <w:tcW w:w="4423" w:type="dxa"/>
              </w:tcPr>
              <w:p>
                <w:pPr>
                  <w:rPr>
                    <w:color w:val="000000"/>
                    <w:szCs w:val="24"/>
                  </w:rPr>
                </w:pPr>
                <w:r>
                  <w:rPr>
                    <w:color w:val="000000"/>
                    <w:szCs w:val="24"/>
                  </w:rPr>
                  <w:t>Vaikas sako „mama“, „tete“, kreipdamasis į mamą, tėtį.</w:t>
                </w:r>
              </w:p>
              <w:p>
                <w:pPr>
                  <w:rPr>
                    <w:color w:val="000000"/>
                    <w:szCs w:val="24"/>
                  </w:rPr>
                </w:pPr>
                <w:r>
                  <w:rPr>
                    <w:color w:val="000000"/>
                    <w:szCs w:val="24"/>
                  </w:rPr>
                  <w:t>Galima vertinti teigiamai pagal tėvų arba kitų vaiko atstovų pagal įstatymą duomenis.</w:t>
                </w:r>
              </w:p>
            </w:tc>
            <w:tc>
              <w:tcPr>
                <w:tcW w:w="1559" w:type="dxa"/>
              </w:tcPr>
              <w:p>
                <w:pPr>
                  <w:rPr>
                    <w:b/>
                    <w:color w:val="000000"/>
                    <w:szCs w:val="24"/>
                    <w:lang w:val="en-US" w:eastAsia="zh-CN"/>
                  </w:rPr>
                </w:pPr>
                <w:r>
                  <w:rPr>
                    <w:color w:val="000000"/>
                    <w:szCs w:val="24"/>
                    <w:lang w:eastAsia="lt-LT"/>
                  </w:rPr>
                  <w:drawing>
                    <wp:inline distT="0" distB="0" distL="0" distR="0">
                      <wp:extent cx="942975" cy="495300"/>
                      <wp:effectExtent l="19050" t="0" r="9525" b="0"/>
                      <wp:docPr id="48"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01"/>
                              <a:srcRect/>
                              <a:stretch>
                                <a:fillRect/>
                              </a:stretch>
                            </pic:blipFill>
                            <pic:spPr bwMode="auto">
                              <a:xfrm>
                                <a:off x="0" y="0"/>
                                <a:ext cx="942975" cy="495300"/>
                              </a:xfrm>
                              <a:prstGeom prst="rect">
                                <a:avLst/>
                              </a:prstGeom>
                              <a:noFill/>
                              <a:ln w="9525">
                                <a:noFill/>
                                <a:miter lim="800000"/>
                                <a:headEnd/>
                                <a:tailEnd/>
                              </a:ln>
                            </pic:spPr>
                          </pic:pic>
                        </a:graphicData>
                      </a:graphic>
                    </wp:inline>
                  </w:drawing>
                </w:r>
              </w:p>
            </w:tc>
            <w:tc>
              <w:tcPr>
                <w:tcW w:w="822" w:type="dxa"/>
              </w:tcPr>
              <w:p>
                <w:pPr>
                  <w:rPr>
                    <w:color w:val="000000"/>
                    <w:szCs w:val="24"/>
                    <w:lang w:eastAsia="lt-LT"/>
                  </w:rPr>
                </w:pPr>
              </w:p>
            </w:tc>
            <w:tc>
              <w:tcPr>
                <w:tcW w:w="850" w:type="dxa"/>
              </w:tcPr>
              <w:p>
                <w:pPr>
                  <w:rPr>
                    <w:color w:val="000000"/>
                    <w:szCs w:val="24"/>
                    <w:lang w:eastAsia="lt-LT"/>
                  </w:rPr>
                </w:pPr>
              </w:p>
            </w:tc>
            <w:tc>
              <w:tcPr>
                <w:tcW w:w="1276" w:type="dxa"/>
                <w:vMerge/>
              </w:tcPr>
              <w:p>
                <w:pPr>
                  <w:rPr>
                    <w:color w:val="000000"/>
                    <w:szCs w:val="24"/>
                    <w:lang w:eastAsia="lt-LT"/>
                  </w:rPr>
                </w:pPr>
              </w:p>
            </w:tc>
            <w:tc>
              <w:tcPr>
                <w:tcW w:w="992" w:type="dxa"/>
                <w:vMerge/>
              </w:tcPr>
              <w:p>
                <w:pPr>
                  <w:rPr>
                    <w:color w:val="000000"/>
                    <w:szCs w:val="24"/>
                    <w:lang w:eastAsia="lt-LT"/>
                  </w:rPr>
                </w:pPr>
              </w:p>
            </w:tc>
            <w:tc>
              <w:tcPr>
                <w:tcW w:w="1621" w:type="dxa"/>
                <w:vMerge/>
              </w:tcPr>
              <w:p>
                <w:pPr>
                  <w:rPr>
                    <w:color w:val="000000"/>
                    <w:szCs w:val="24"/>
                    <w:lang w:eastAsia="lt-LT"/>
                  </w:rPr>
                </w:pPr>
              </w:p>
            </w:tc>
          </w:tr>
          <w:tr>
            <w:trPr>
              <w:trHeight w:val="677"/>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1.7. Ima maistą rankomis ir valgo.</w:t>
                </w:r>
              </w:p>
            </w:tc>
            <w:tc>
              <w:tcPr>
                <w:tcW w:w="4423" w:type="dxa"/>
              </w:tcPr>
              <w:p>
                <w:pPr>
                  <w:rPr>
                    <w:color w:val="000000"/>
                    <w:szCs w:val="24"/>
                  </w:rPr>
                </w:pPr>
                <w:r>
                  <w:rPr>
                    <w:color w:val="000000"/>
                    <w:szCs w:val="24"/>
                  </w:rPr>
                  <w:t>Vaikas gali paimti rankomis maistą (pvz., sausainį), įsidėti į burną ir valgyti.</w:t>
                </w:r>
              </w:p>
            </w:tc>
            <w:tc>
              <w:tcPr>
                <w:tcW w:w="1559" w:type="dxa"/>
              </w:tcPr>
              <w:p>
                <w:pPr>
                  <w:rPr>
                    <w:b/>
                    <w:color w:val="000000"/>
                    <w:szCs w:val="24"/>
                  </w:rPr>
                </w:pPr>
              </w:p>
            </w:tc>
            <w:tc>
              <w:tcPr>
                <w:tcW w:w="822" w:type="dxa"/>
              </w:tcPr>
              <w:p>
                <w:pPr>
                  <w:rPr>
                    <w:b/>
                    <w:color w:val="000000"/>
                    <w:szCs w:val="24"/>
                  </w:rPr>
                </w:pPr>
              </w:p>
            </w:tc>
            <w:tc>
              <w:tcPr>
                <w:tcW w:w="850" w:type="dxa"/>
              </w:tcPr>
              <w:p>
                <w:pPr>
                  <w:rPr>
                    <w:b/>
                    <w:color w:val="000000"/>
                    <w:szCs w:val="24"/>
                  </w:rPr>
                </w:pPr>
              </w:p>
            </w:tc>
            <w:tc>
              <w:tcPr>
                <w:tcW w:w="1276" w:type="dxa"/>
                <w:vMerge/>
              </w:tcPr>
              <w:p>
                <w:pPr>
                  <w:rPr>
                    <w:b/>
                    <w:color w:val="000000"/>
                    <w:szCs w:val="24"/>
                  </w:rPr>
                </w:pPr>
              </w:p>
            </w:tc>
            <w:tc>
              <w:tcPr>
                <w:tcW w:w="992" w:type="dxa"/>
                <w:vMerge/>
              </w:tcPr>
              <w:p>
                <w:pPr>
                  <w:rPr>
                    <w:b/>
                    <w:color w:val="000000"/>
                    <w:szCs w:val="24"/>
                  </w:rPr>
                </w:pPr>
              </w:p>
            </w:tc>
            <w:tc>
              <w:tcPr>
                <w:tcW w:w="1621" w:type="dxa"/>
                <w:vMerge/>
              </w:tcPr>
              <w:p>
                <w:pPr>
                  <w:rPr>
                    <w:b/>
                    <w:color w:val="000000"/>
                    <w:szCs w:val="24"/>
                  </w:rPr>
                </w:pPr>
              </w:p>
            </w:tc>
          </w:tr>
          <w:tr>
            <w:trPr>
              <w:trHeight w:val="677"/>
            </w:trPr>
            <w:tc>
              <w:tcPr>
                <w:tcW w:w="568" w:type="dxa"/>
                <w:vMerge w:val="restart"/>
              </w:tcPr>
              <w:p>
                <w:pPr>
                  <w:rPr>
                    <w:color w:val="000000"/>
                    <w:szCs w:val="24"/>
                  </w:rPr>
                </w:pPr>
                <w:r>
                  <w:rPr>
                    <w:color w:val="000000"/>
                    <w:szCs w:val="24"/>
                  </w:rPr>
                  <w:t>2.</w:t>
                </w: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tc>
            <w:tc>
              <w:tcPr>
                <w:tcW w:w="1134" w:type="dxa"/>
                <w:vMerge w:val="restart"/>
              </w:tcPr>
              <w:p>
                <w:pPr>
                  <w:rPr>
                    <w:color w:val="000000"/>
                    <w:szCs w:val="24"/>
                  </w:rPr>
                </w:pPr>
                <w:r>
                  <w:rPr>
                    <w:color w:val="000000"/>
                    <w:szCs w:val="24"/>
                  </w:rPr>
                  <w:t>18 mėn.</w:t>
                </w:r>
              </w:p>
              <w:p>
                <w:pPr>
                  <w:rPr>
                    <w:color w:val="000000"/>
                    <w:szCs w:val="24"/>
                  </w:rPr>
                </w:pPr>
                <w:r>
                  <w:rPr>
                    <w:color w:val="000000"/>
                    <w:szCs w:val="24"/>
                  </w:rPr>
                  <w:t>(1,5 m.)</w:t>
                </w: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tc>
            <w:tc>
              <w:tcPr>
                <w:tcW w:w="1814" w:type="dxa"/>
              </w:tcPr>
              <w:p>
                <w:pPr>
                  <w:rPr>
                    <w:color w:val="000000"/>
                    <w:szCs w:val="24"/>
                  </w:rPr>
                </w:pPr>
                <w:r>
                  <w:rPr>
                    <w:color w:val="000000"/>
                    <w:szCs w:val="24"/>
                  </w:rPr>
                  <w:t>2.1. Vaikšto savarankiškai.</w:t>
                </w:r>
              </w:p>
            </w:tc>
            <w:tc>
              <w:tcPr>
                <w:tcW w:w="4423" w:type="dxa"/>
              </w:tcPr>
              <w:p>
                <w:pPr>
                  <w:rPr>
                    <w:color w:val="000000"/>
                    <w:szCs w:val="24"/>
                  </w:rPr>
                </w:pPr>
                <w:r>
                  <w:rPr>
                    <w:color w:val="000000"/>
                    <w:szCs w:val="24"/>
                  </w:rPr>
                  <w:t>Vaikas pereina per kambarį.</w:t>
                </w:r>
              </w:p>
              <w:p>
                <w:pPr>
                  <w:rPr>
                    <w:color w:val="000000"/>
                    <w:szCs w:val="24"/>
                  </w:rPr>
                </w:pPr>
              </w:p>
            </w:tc>
            <w:tc>
              <w:tcPr>
                <w:tcW w:w="1559" w:type="dxa"/>
              </w:tcPr>
              <w:p>
                <w:pPr>
                  <w:jc w:val="center"/>
                  <w:rPr>
                    <w:color w:val="000000"/>
                    <w:szCs w:val="24"/>
                  </w:rPr>
                </w:pPr>
                <w:r>
                  <w:rPr>
                    <w:color w:val="000000"/>
                    <w:szCs w:val="24"/>
                    <w:lang w:eastAsia="lt-LT"/>
                  </w:rPr>
                  <w:drawing>
                    <wp:inline distT="0" distB="0" distL="0" distR="0">
                      <wp:extent cx="581025" cy="466725"/>
                      <wp:effectExtent l="19050" t="0" r="9525" b="0"/>
                      <wp:docPr id="49" name="Picture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
                              <pic:cNvPicPr>
                                <a:picLocks noChangeAspect="1" noChangeArrowheads="1"/>
                              </pic:cNvPicPr>
                            </pic:nvPicPr>
                            <pic:blipFill>
                              <a:blip r:embed="rId102"/>
                              <a:srcRect/>
                              <a:stretch>
                                <a:fillRect/>
                              </a:stretch>
                            </pic:blipFill>
                            <pic:spPr bwMode="auto">
                              <a:xfrm>
                                <a:off x="0" y="0"/>
                                <a:ext cx="581025" cy="466725"/>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val="restart"/>
              </w:tcPr>
              <w:p>
                <w:pPr>
                  <w:rPr>
                    <w:color w:val="000000"/>
                    <w:szCs w:val="24"/>
                    <w:lang w:eastAsia="lt-LT"/>
                  </w:rPr>
                </w:pPr>
                <w:r>
                  <w:rPr>
                    <w:color w:val="000000"/>
                    <w:szCs w:val="24"/>
                    <w:lang w:eastAsia="lt-LT"/>
                  </w:rPr>
                  <w:t xml:space="preserve">□ Normali </w:t>
                </w:r>
              </w:p>
              <w:p>
                <w:pPr>
                  <w:ind w:firstLine="60"/>
                  <w:rPr>
                    <w:color w:val="000000"/>
                    <w:szCs w:val="24"/>
                    <w:lang w:eastAsia="lt-LT"/>
                  </w:rPr>
                </w:pPr>
                <w:r>
                  <w:rPr>
                    <w:color w:val="000000"/>
                    <w:szCs w:val="24"/>
                    <w:lang w:eastAsia="lt-LT"/>
                  </w:rPr>
                  <w:t>raida</w:t>
                </w:r>
              </w:p>
              <w:p>
                <w:pPr>
                  <w:rPr>
                    <w:color w:val="000000"/>
                    <w:szCs w:val="24"/>
                    <w:lang w:eastAsia="lt-LT"/>
                  </w:rPr>
                </w:pPr>
              </w:p>
              <w:p>
                <w:pPr>
                  <w:rPr>
                    <w:color w:val="000000"/>
                    <w:szCs w:val="24"/>
                    <w:lang w:eastAsia="lt-LT"/>
                  </w:rPr>
                </w:pPr>
                <w:r>
                  <w:rPr>
                    <w:color w:val="000000"/>
                    <w:szCs w:val="24"/>
                    <w:lang w:eastAsia="lt-LT"/>
                  </w:rPr>
                  <w:t>□ Raidos sutrikimo rizika</w:t>
                </w:r>
              </w:p>
              <w:p>
                <w:pPr>
                  <w:rPr>
                    <w:color w:val="000000"/>
                    <w:szCs w:val="24"/>
                    <w:lang w:eastAsia="lt-LT"/>
                  </w:rPr>
                </w:pPr>
              </w:p>
              <w:p>
                <w:pPr>
                  <w:rPr>
                    <w:color w:val="000000"/>
                    <w:szCs w:val="24"/>
                    <w:lang w:eastAsia="lt-LT"/>
                  </w:rPr>
                </w:pPr>
              </w:p>
              <w:p>
                <w:pPr>
                  <w:rPr>
                    <w:color w:val="000000"/>
                    <w:szCs w:val="24"/>
                    <w:lang w:eastAsia="lt-LT"/>
                  </w:rPr>
                </w:pPr>
              </w:p>
              <w:p>
                <w:pPr>
                  <w:rPr>
                    <w:b/>
                    <w:color w:val="000000"/>
                    <w:szCs w:val="24"/>
                  </w:rPr>
                </w:pPr>
              </w:p>
            </w:tc>
            <w:tc>
              <w:tcPr>
                <w:tcW w:w="992" w:type="dxa"/>
                <w:vMerge w:val="restart"/>
              </w:tcPr>
              <w:p>
                <w:pPr>
                  <w:rPr>
                    <w:b/>
                    <w:color w:val="000000"/>
                    <w:szCs w:val="24"/>
                  </w:rPr>
                </w:pPr>
              </w:p>
              <w:p>
                <w:pPr>
                  <w:rPr>
                    <w:b/>
                    <w:color w:val="000000"/>
                    <w:szCs w:val="24"/>
                  </w:rPr>
                </w:pPr>
              </w:p>
              <w:p>
                <w:pPr>
                  <w:rPr>
                    <w:b/>
                    <w:color w:val="000000"/>
                    <w:szCs w:val="24"/>
                  </w:rPr>
                </w:pPr>
              </w:p>
              <w:p>
                <w:pPr>
                  <w:rPr>
                    <w:b/>
                    <w:color w:val="000000"/>
                    <w:szCs w:val="24"/>
                  </w:rPr>
                </w:pPr>
              </w:p>
              <w:p>
                <w:pPr>
                  <w:rPr>
                    <w:b/>
                    <w:color w:val="000000"/>
                    <w:szCs w:val="24"/>
                  </w:rPr>
                </w:pPr>
              </w:p>
              <w:p>
                <w:pPr>
                  <w:rPr>
                    <w:b/>
                    <w:color w:val="000000"/>
                    <w:szCs w:val="24"/>
                  </w:rPr>
                </w:pPr>
              </w:p>
              <w:p>
                <w:pPr>
                  <w:rPr>
                    <w:b/>
                    <w:color w:val="000000"/>
                    <w:szCs w:val="24"/>
                  </w:rPr>
                </w:pPr>
              </w:p>
              <w:p>
                <w:pPr>
                  <w:rPr>
                    <w:b/>
                    <w:color w:val="000000"/>
                    <w:szCs w:val="24"/>
                  </w:rPr>
                </w:pPr>
              </w:p>
              <w:p>
                <w:pPr>
                  <w:rPr>
                    <w:b/>
                    <w:color w:val="000000"/>
                    <w:szCs w:val="24"/>
                  </w:rPr>
                </w:pPr>
              </w:p>
            </w:tc>
            <w:tc>
              <w:tcPr>
                <w:tcW w:w="1621" w:type="dxa"/>
                <w:vMerge w:val="restart"/>
              </w:tcPr>
              <w:p>
                <w:pPr>
                  <w:rPr>
                    <w:b/>
                    <w:color w:val="000000"/>
                    <w:szCs w:val="24"/>
                  </w:rPr>
                </w:pPr>
              </w:p>
              <w:p>
                <w:pPr>
                  <w:rPr>
                    <w:b/>
                    <w:color w:val="000000"/>
                    <w:szCs w:val="24"/>
                  </w:rPr>
                </w:pPr>
              </w:p>
              <w:p>
                <w:pPr>
                  <w:rPr>
                    <w:b/>
                    <w:color w:val="000000"/>
                    <w:szCs w:val="24"/>
                  </w:rPr>
                </w:pPr>
              </w:p>
              <w:p>
                <w:pPr>
                  <w:rPr>
                    <w:b/>
                    <w:color w:val="000000"/>
                    <w:szCs w:val="24"/>
                  </w:rPr>
                </w:pPr>
              </w:p>
              <w:p>
                <w:pPr>
                  <w:rPr>
                    <w:b/>
                    <w:color w:val="000000"/>
                    <w:szCs w:val="24"/>
                  </w:rPr>
                </w:pPr>
              </w:p>
              <w:p>
                <w:pPr>
                  <w:rPr>
                    <w:b/>
                    <w:color w:val="000000"/>
                    <w:szCs w:val="24"/>
                  </w:rPr>
                </w:pPr>
              </w:p>
              <w:p>
                <w:pPr>
                  <w:rPr>
                    <w:b/>
                    <w:color w:val="000000"/>
                    <w:szCs w:val="24"/>
                  </w:rPr>
                </w:pPr>
              </w:p>
              <w:p>
                <w:pPr>
                  <w:rPr>
                    <w:b/>
                    <w:color w:val="000000"/>
                    <w:szCs w:val="24"/>
                  </w:rPr>
                </w:pPr>
              </w:p>
              <w:p>
                <w:pPr>
                  <w:rPr>
                    <w:b/>
                    <w:color w:val="000000"/>
                    <w:szCs w:val="24"/>
                  </w:rPr>
                </w:pPr>
              </w:p>
              <w:p>
                <w:pPr>
                  <w:rPr>
                    <w:b/>
                    <w:color w:val="000000"/>
                    <w:szCs w:val="24"/>
                  </w:rPr>
                </w:pPr>
              </w:p>
              <w:p>
                <w:pPr>
                  <w:rPr>
                    <w:b/>
                    <w:color w:val="000000"/>
                    <w:szCs w:val="24"/>
                  </w:rPr>
                </w:pPr>
              </w:p>
            </w:tc>
          </w:tr>
          <w:tr>
            <w:trPr>
              <w:trHeight w:val="677"/>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2.2. Žaidžia funkcinius žaidimus.</w:t>
                </w:r>
              </w:p>
            </w:tc>
            <w:tc>
              <w:tcPr>
                <w:tcW w:w="4423" w:type="dxa"/>
              </w:tcPr>
              <w:p>
                <w:pPr>
                  <w:rPr>
                    <w:color w:val="000000"/>
                    <w:szCs w:val="24"/>
                  </w:rPr>
                </w:pPr>
                <w:r>
                  <w:rPr>
                    <w:color w:val="000000"/>
                    <w:szCs w:val="24"/>
                  </w:rPr>
                  <w:t>Vaikas žaisdamas naudoja žaislus pagal paskirtį: važiuoja su mašinėle, piešia pieštuku, šukuoja šukomis, varto knygutę.</w:t>
                </w:r>
              </w:p>
            </w:tc>
            <w:tc>
              <w:tcPr>
                <w:tcW w:w="1559" w:type="dxa"/>
              </w:tcPr>
              <w:p>
                <w:pPr>
                  <w:jc w:val="center"/>
                  <w:rPr>
                    <w:color w:val="000000"/>
                    <w:szCs w:val="24"/>
                  </w:rPr>
                </w:pPr>
                <w:r>
                  <w:rPr>
                    <w:color w:val="000000"/>
                    <w:szCs w:val="24"/>
                    <w:lang w:eastAsia="lt-LT"/>
                  </w:rPr>
                  <w:drawing>
                    <wp:inline distT="0" distB="0" distL="0" distR="0">
                      <wp:extent cx="361950" cy="466725"/>
                      <wp:effectExtent l="19050" t="0" r="0" b="0"/>
                      <wp:docPr id="50" name="Picture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7"/>
                              <pic:cNvPicPr>
                                <a:picLocks noChangeAspect="1" noChangeArrowheads="1"/>
                              </pic:cNvPicPr>
                            </pic:nvPicPr>
                            <pic:blipFill>
                              <a:blip r:embed="rId103"/>
                              <a:srcRect/>
                              <a:stretch>
                                <a:fillRect/>
                              </a:stretch>
                            </pic:blipFill>
                            <pic:spPr bwMode="auto">
                              <a:xfrm>
                                <a:off x="0" y="0"/>
                                <a:ext cx="361950" cy="466725"/>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tcPr>
              <w:p>
                <w:pPr>
                  <w:rPr>
                    <w:b/>
                    <w:color w:val="000000"/>
                    <w:szCs w:val="24"/>
                  </w:rPr>
                </w:pPr>
              </w:p>
            </w:tc>
            <w:tc>
              <w:tcPr>
                <w:tcW w:w="992" w:type="dxa"/>
                <w:vMerge/>
              </w:tcPr>
              <w:p>
                <w:pPr>
                  <w:rPr>
                    <w:b/>
                    <w:color w:val="000000"/>
                    <w:szCs w:val="24"/>
                  </w:rPr>
                </w:pPr>
              </w:p>
            </w:tc>
            <w:tc>
              <w:tcPr>
                <w:tcW w:w="1621" w:type="dxa"/>
                <w:vMerge/>
              </w:tcPr>
              <w:p>
                <w:pPr>
                  <w:rPr>
                    <w:b/>
                    <w:color w:val="000000"/>
                    <w:szCs w:val="24"/>
                  </w:rPr>
                </w:pPr>
              </w:p>
            </w:tc>
          </w:tr>
          <w:tr>
            <w:trPr>
              <w:trHeight w:val="704"/>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2.3. Vykdo žodinį nurodymą „duok“.</w:t>
                </w:r>
              </w:p>
            </w:tc>
            <w:tc>
              <w:tcPr>
                <w:tcW w:w="4423" w:type="dxa"/>
              </w:tcPr>
              <w:p>
                <w:pPr>
                  <w:rPr>
                    <w:color w:val="000000"/>
                    <w:szCs w:val="24"/>
                  </w:rPr>
                </w:pPr>
                <w:r>
                  <w:rPr>
                    <w:color w:val="000000"/>
                    <w:szCs w:val="24"/>
                  </w:rPr>
                  <w:t xml:space="preserve">Paprašytas  paduoda artimam asmeniui daiktą. </w:t>
                </w:r>
              </w:p>
            </w:tc>
            <w:tc>
              <w:tcPr>
                <w:tcW w:w="1559" w:type="dxa"/>
              </w:tcPr>
              <w:p>
                <w:pPr>
                  <w:jc w:val="center"/>
                  <w:rPr>
                    <w:color w:val="000000"/>
                    <w:szCs w:val="24"/>
                  </w:rPr>
                </w:pPr>
                <w:r>
                  <w:rPr>
                    <w:color w:val="000000"/>
                    <w:szCs w:val="24"/>
                    <w:lang w:eastAsia="lt-LT"/>
                  </w:rPr>
                  <w:drawing>
                    <wp:inline distT="0" distB="0" distL="0" distR="0">
                      <wp:extent cx="390525" cy="466725"/>
                      <wp:effectExtent l="19050" t="0" r="9525" b="0"/>
                      <wp:docPr id="51" name="Picture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6"/>
                              <pic:cNvPicPr>
                                <a:picLocks noChangeAspect="1" noChangeArrowheads="1"/>
                              </pic:cNvPicPr>
                            </pic:nvPicPr>
                            <pic:blipFill>
                              <a:blip r:embed="rId104"/>
                              <a:srcRect/>
                              <a:stretch>
                                <a:fillRect/>
                              </a:stretch>
                            </pic:blipFill>
                            <pic:spPr bwMode="auto">
                              <a:xfrm>
                                <a:off x="0" y="0"/>
                                <a:ext cx="390525" cy="466725"/>
                              </a:xfrm>
                              <a:prstGeom prst="rect">
                                <a:avLst/>
                              </a:prstGeom>
                              <a:noFill/>
                              <a:ln w="9525">
                                <a:noFill/>
                                <a:miter lim="800000"/>
                                <a:headEnd/>
                                <a:tailEnd/>
                              </a:ln>
                            </pic:spPr>
                          </pic:pic>
                        </a:graphicData>
                      </a:graphic>
                    </wp:inline>
                  </w:drawing>
                </w:r>
              </w:p>
            </w:tc>
            <w:tc>
              <w:tcPr>
                <w:tcW w:w="822" w:type="dxa"/>
              </w:tcPr>
              <w:p>
                <w:pPr>
                  <w:rPr>
                    <w:b/>
                    <w:color w:val="000000"/>
                    <w:szCs w:val="24"/>
                    <w:lang w:eastAsia="lt-LT"/>
                  </w:rPr>
                </w:pPr>
              </w:p>
            </w:tc>
            <w:tc>
              <w:tcPr>
                <w:tcW w:w="850" w:type="dxa"/>
              </w:tcPr>
              <w:p>
                <w:pPr>
                  <w:rPr>
                    <w:b/>
                    <w:color w:val="000000"/>
                    <w:szCs w:val="24"/>
                    <w:lang w:eastAsia="lt-LT"/>
                  </w:rPr>
                </w:pPr>
              </w:p>
            </w:tc>
            <w:tc>
              <w:tcPr>
                <w:tcW w:w="1276" w:type="dxa"/>
                <w:vMerge/>
              </w:tcPr>
              <w:p>
                <w:pPr>
                  <w:rPr>
                    <w:b/>
                    <w:color w:val="000000"/>
                    <w:szCs w:val="24"/>
                    <w:lang w:eastAsia="lt-LT"/>
                  </w:rPr>
                </w:pPr>
              </w:p>
            </w:tc>
            <w:tc>
              <w:tcPr>
                <w:tcW w:w="992" w:type="dxa"/>
                <w:vMerge/>
              </w:tcPr>
              <w:p>
                <w:pPr>
                  <w:rPr>
                    <w:b/>
                    <w:color w:val="000000"/>
                    <w:szCs w:val="24"/>
                    <w:lang w:eastAsia="lt-LT"/>
                  </w:rPr>
                </w:pPr>
              </w:p>
            </w:tc>
            <w:tc>
              <w:tcPr>
                <w:tcW w:w="1621" w:type="dxa"/>
                <w:vMerge/>
              </w:tcPr>
              <w:p>
                <w:pPr>
                  <w:rPr>
                    <w:b/>
                    <w:color w:val="000000"/>
                    <w:szCs w:val="24"/>
                    <w:lang w:eastAsia="lt-LT"/>
                  </w:rPr>
                </w:pPr>
              </w:p>
            </w:tc>
          </w:tr>
          <w:tr>
            <w:trPr>
              <w:trHeight w:val="689"/>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2.4. Rodo rodomuoju pirštu, kas jį sudomino.</w:t>
                </w:r>
              </w:p>
            </w:tc>
            <w:tc>
              <w:tcPr>
                <w:tcW w:w="4423" w:type="dxa"/>
              </w:tcPr>
              <w:p>
                <w:pPr>
                  <w:rPr>
                    <w:color w:val="000000"/>
                    <w:szCs w:val="24"/>
                  </w:rPr>
                </w:pPr>
                <w:r>
                  <w:rPr>
                    <w:color w:val="000000"/>
                    <w:szCs w:val="24"/>
                  </w:rPr>
                  <w:t>Pats vaikas prašo daikto, rodydamas pirštu.</w:t>
                </w:r>
              </w:p>
            </w:tc>
            <w:tc>
              <w:tcPr>
                <w:tcW w:w="1559" w:type="dxa"/>
              </w:tcPr>
              <w:p>
                <w:pPr>
                  <w:jc w:val="center"/>
                  <w:rPr>
                    <w:color w:val="000000"/>
                    <w:szCs w:val="24"/>
                  </w:rPr>
                </w:pPr>
                <w:r>
                  <w:rPr>
                    <w:color w:val="000000"/>
                    <w:szCs w:val="24"/>
                    <w:lang w:eastAsia="lt-LT"/>
                  </w:rPr>
                  <w:drawing>
                    <wp:inline distT="0" distB="0" distL="0" distR="0">
                      <wp:extent cx="619125" cy="466725"/>
                      <wp:effectExtent l="19050" t="0" r="9525" b="0"/>
                      <wp:docPr id="52" name="Picture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8"/>
                              <pic:cNvPicPr>
                                <a:picLocks noChangeAspect="1" noChangeArrowheads="1"/>
                              </pic:cNvPicPr>
                            </pic:nvPicPr>
                            <pic:blipFill>
                              <a:blip r:embed="rId105"/>
                              <a:srcRect/>
                              <a:stretch>
                                <a:fillRect/>
                              </a:stretch>
                            </pic:blipFill>
                            <pic:spPr bwMode="auto">
                              <a:xfrm>
                                <a:off x="0" y="0"/>
                                <a:ext cx="619125" cy="466725"/>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805"/>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2.5. Sako 3 prasmingus žodžius.</w:t>
                </w:r>
              </w:p>
            </w:tc>
            <w:tc>
              <w:tcPr>
                <w:tcW w:w="4423" w:type="dxa"/>
              </w:tcPr>
              <w:p>
                <w:pPr>
                  <w:rPr>
                    <w:color w:val="000000"/>
                    <w:szCs w:val="24"/>
                  </w:rPr>
                </w:pPr>
                <w:r>
                  <w:rPr>
                    <w:color w:val="000000"/>
                    <w:szCs w:val="24"/>
                  </w:rPr>
                  <w:t xml:space="preserve">Vaikas sako 3 prasmingus žodžius daiktams ar veiksmams  įvardyti. </w:t>
                </w:r>
              </w:p>
              <w:p>
                <w:pPr>
                  <w:rPr>
                    <w:color w:val="000000"/>
                    <w:szCs w:val="24"/>
                  </w:rPr>
                </w:pPr>
                <w:r>
                  <w:rPr>
                    <w:color w:val="000000"/>
                    <w:szCs w:val="24"/>
                  </w:rPr>
                  <w:t>Galima vertinti teigiamai pagal tėvų arba kitų vaiko atstovų pagal įstatymą duomenis.</w:t>
                </w:r>
              </w:p>
            </w:tc>
            <w:tc>
              <w:tcPr>
                <w:tcW w:w="1559" w:type="dxa"/>
              </w:tcPr>
              <w:p>
                <w:pPr>
                  <w:jc w:val="center"/>
                  <w:rPr>
                    <w:color w:val="000000"/>
                    <w:szCs w:val="24"/>
                  </w:rPr>
                </w:pP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704"/>
            </w:trPr>
            <w:tc>
              <w:tcPr>
                <w:tcW w:w="568" w:type="dxa"/>
                <w:vMerge w:val="restart"/>
              </w:tcPr>
              <w:p>
                <w:pPr>
                  <w:rPr>
                    <w:color w:val="000000"/>
                    <w:szCs w:val="24"/>
                  </w:rPr>
                </w:pPr>
                <w:r>
                  <w:rPr>
                    <w:color w:val="000000"/>
                    <w:szCs w:val="24"/>
                  </w:rPr>
                  <w:t>3.</w:t>
                </w:r>
              </w:p>
              <w:p>
                <w:pPr>
                  <w:rPr>
                    <w:color w:val="000000"/>
                    <w:szCs w:val="24"/>
                  </w:rPr>
                </w:pPr>
              </w:p>
              <w:p>
                <w:pPr>
                  <w:rPr>
                    <w:color w:val="000000"/>
                    <w:szCs w:val="24"/>
                  </w:rPr>
                </w:pPr>
              </w:p>
            </w:tc>
            <w:tc>
              <w:tcPr>
                <w:tcW w:w="1134" w:type="dxa"/>
                <w:vMerge w:val="restart"/>
              </w:tcPr>
              <w:p>
                <w:pPr>
                  <w:rPr>
                    <w:color w:val="000000"/>
                    <w:szCs w:val="24"/>
                  </w:rPr>
                </w:pPr>
                <w:r>
                  <w:rPr>
                    <w:color w:val="000000"/>
                    <w:szCs w:val="24"/>
                  </w:rPr>
                  <w:t>24 mėn.</w:t>
                </w:r>
              </w:p>
              <w:p>
                <w:pPr>
                  <w:rPr>
                    <w:color w:val="000000"/>
                    <w:szCs w:val="24"/>
                  </w:rPr>
                </w:pPr>
                <w:r>
                  <w:rPr>
                    <w:color w:val="000000"/>
                    <w:szCs w:val="24"/>
                  </w:rPr>
                  <w:t>(2 m.)</w:t>
                </w:r>
              </w:p>
            </w:tc>
            <w:tc>
              <w:tcPr>
                <w:tcW w:w="1814" w:type="dxa"/>
              </w:tcPr>
              <w:p>
                <w:pPr>
                  <w:rPr>
                    <w:color w:val="000000"/>
                    <w:szCs w:val="24"/>
                  </w:rPr>
                </w:pPr>
                <w:r>
                  <w:rPr>
                    <w:color w:val="000000"/>
                    <w:szCs w:val="24"/>
                  </w:rPr>
                  <w:t>3.1. Žaidimas kaladėlėmis: pastato bokštą.</w:t>
                </w:r>
              </w:p>
            </w:tc>
            <w:tc>
              <w:tcPr>
                <w:tcW w:w="4423" w:type="dxa"/>
              </w:tcPr>
              <w:p>
                <w:pPr>
                  <w:rPr>
                    <w:color w:val="000000"/>
                    <w:szCs w:val="24"/>
                  </w:rPr>
                </w:pPr>
                <w:r>
                  <w:rPr>
                    <w:color w:val="000000"/>
                    <w:szCs w:val="24"/>
                  </w:rPr>
                  <w:t xml:space="preserve">Vaikas sudeda  2 kaladėles vieną ant kitos.</w:t>
                </w:r>
              </w:p>
              <w:p>
                <w:pPr>
                  <w:rPr>
                    <w:color w:val="000000"/>
                    <w:szCs w:val="24"/>
                  </w:rPr>
                </w:pPr>
              </w:p>
            </w:tc>
            <w:tc>
              <w:tcPr>
                <w:tcW w:w="1559" w:type="dxa"/>
              </w:tcPr>
              <w:p>
                <w:pPr>
                  <w:jc w:val="center"/>
                  <w:rPr>
                    <w:b/>
                    <w:color w:val="000000"/>
                    <w:szCs w:val="24"/>
                  </w:rPr>
                </w:pPr>
                <w:r>
                  <w:rPr>
                    <w:b/>
                    <w:color w:val="000000"/>
                    <w:szCs w:val="24"/>
                    <w:lang w:eastAsia="lt-LT"/>
                  </w:rPr>
                  <w:drawing>
                    <wp:inline distT="0" distB="0" distL="0" distR="0">
                      <wp:extent cx="371475" cy="466725"/>
                      <wp:effectExtent l="19050" t="0" r="9525" b="0"/>
                      <wp:docPr id="53"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106"/>
                              <a:srcRect/>
                              <a:stretch>
                                <a:fillRect/>
                              </a:stretch>
                            </pic:blipFill>
                            <pic:spPr bwMode="auto">
                              <a:xfrm>
                                <a:off x="0" y="0"/>
                                <a:ext cx="371475" cy="466725"/>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val="restart"/>
              </w:tcPr>
              <w:p>
                <w:pPr>
                  <w:rPr>
                    <w:color w:val="000000"/>
                    <w:szCs w:val="24"/>
                    <w:lang w:eastAsia="lt-LT"/>
                  </w:rPr>
                </w:pPr>
                <w:r>
                  <w:rPr>
                    <w:color w:val="000000"/>
                    <w:szCs w:val="24"/>
                    <w:lang w:eastAsia="lt-LT"/>
                  </w:rPr>
                  <w:t xml:space="preserve">□ Normali </w:t>
                </w:r>
              </w:p>
              <w:p>
                <w:pPr>
                  <w:rPr>
                    <w:color w:val="000000"/>
                    <w:szCs w:val="24"/>
                    <w:lang w:eastAsia="lt-LT"/>
                  </w:rPr>
                </w:pPr>
                <w:r>
                  <w:rPr>
                    <w:color w:val="000000"/>
                    <w:szCs w:val="24"/>
                    <w:lang w:eastAsia="lt-LT"/>
                  </w:rPr>
                  <w:t>raida</w:t>
                </w:r>
              </w:p>
              <w:p>
                <w:pPr>
                  <w:rPr>
                    <w:color w:val="000000"/>
                    <w:szCs w:val="24"/>
                    <w:lang w:eastAsia="lt-LT"/>
                  </w:rPr>
                </w:pPr>
              </w:p>
              <w:p>
                <w:pPr>
                  <w:rPr>
                    <w:color w:val="000000"/>
                    <w:szCs w:val="24"/>
                  </w:rPr>
                </w:pPr>
                <w:r>
                  <w:rPr>
                    <w:color w:val="000000"/>
                    <w:szCs w:val="24"/>
                    <w:lang w:eastAsia="lt-LT"/>
                  </w:rPr>
                  <w:t>□ Raidos sutrikimo rizika</w:t>
                </w:r>
              </w:p>
            </w:tc>
            <w:tc>
              <w:tcPr>
                <w:tcW w:w="992" w:type="dxa"/>
                <w:vMerge w:val="restart"/>
              </w:tcPr>
              <w:p>
                <w:pPr>
                  <w:rPr>
                    <w:color w:val="000000"/>
                    <w:szCs w:val="24"/>
                  </w:rPr>
                </w:pPr>
              </w:p>
            </w:tc>
            <w:tc>
              <w:tcPr>
                <w:tcW w:w="1621" w:type="dxa"/>
                <w:vMerge w:val="restart"/>
              </w:tcPr>
              <w:p>
                <w:pPr>
                  <w:rPr>
                    <w:color w:val="000000"/>
                    <w:szCs w:val="24"/>
                  </w:rPr>
                </w:pPr>
              </w:p>
            </w:tc>
          </w:tr>
          <w:tr>
            <w:trPr>
              <w:trHeight w:val="704"/>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 xml:space="preserve">3.2. Piešimas: piešia keverzonę. </w:t>
                </w:r>
              </w:p>
            </w:tc>
            <w:tc>
              <w:tcPr>
                <w:tcW w:w="4423" w:type="dxa"/>
              </w:tcPr>
              <w:p>
                <w:pPr>
                  <w:rPr>
                    <w:color w:val="000000"/>
                    <w:szCs w:val="24"/>
                  </w:rPr>
                </w:pPr>
                <w:r>
                  <w:rPr>
                    <w:color w:val="000000"/>
                    <w:szCs w:val="24"/>
                  </w:rPr>
                  <w:t xml:space="preserve">Vaikas braižo popieriuje netaisyklingas linijas. </w:t>
                </w:r>
              </w:p>
              <w:p>
                <w:pPr>
                  <w:rPr>
                    <w:color w:val="000000"/>
                    <w:szCs w:val="24"/>
                  </w:rPr>
                </w:pPr>
              </w:p>
            </w:tc>
            <w:tc>
              <w:tcPr>
                <w:tcW w:w="1559" w:type="dxa"/>
              </w:tcPr>
              <w:p>
                <w:pPr>
                  <w:jc w:val="center"/>
                  <w:rPr>
                    <w:b/>
                    <w:color w:val="000000"/>
                    <w:szCs w:val="24"/>
                  </w:rPr>
                </w:pPr>
                <w:r>
                  <w:rPr>
                    <w:b/>
                    <w:color w:val="000000"/>
                    <w:szCs w:val="24"/>
                    <w:lang w:eastAsia="lt-LT"/>
                  </w:rPr>
                  <w:drawing>
                    <wp:inline distT="0" distB="0" distL="0" distR="0">
                      <wp:extent cx="457200" cy="466725"/>
                      <wp:effectExtent l="19050" t="0" r="0" b="0"/>
                      <wp:docPr id="54"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107"/>
                              <a:srcRect/>
                              <a:stretch>
                                <a:fillRect/>
                              </a:stretch>
                            </pic:blipFill>
                            <pic:spPr bwMode="auto">
                              <a:xfrm>
                                <a:off x="0" y="0"/>
                                <a:ext cx="457200" cy="466725"/>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650"/>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 xml:space="preserve">3.3. Rodo kūno dalis.  </w:t>
                </w:r>
              </w:p>
            </w:tc>
            <w:tc>
              <w:tcPr>
                <w:tcW w:w="4423" w:type="dxa"/>
              </w:tcPr>
              <w:p>
                <w:pPr>
                  <w:rPr>
                    <w:color w:val="000000"/>
                    <w:szCs w:val="24"/>
                  </w:rPr>
                </w:pPr>
                <w:r>
                  <w:rPr>
                    <w:color w:val="000000"/>
                    <w:szCs w:val="24"/>
                  </w:rPr>
                  <w:t>Vaikas parodo bent vieną kūno dalį ją įvardijus.</w:t>
                </w:r>
              </w:p>
            </w:tc>
            <w:tc>
              <w:tcPr>
                <w:tcW w:w="1559" w:type="dxa"/>
              </w:tcPr>
              <w:p>
                <w:pPr>
                  <w:jc w:val="center"/>
                  <w:rPr>
                    <w:color w:val="000000"/>
                    <w:szCs w:val="24"/>
                  </w:rPr>
                </w:pPr>
                <w:r>
                  <w:rPr>
                    <w:color w:val="000000"/>
                    <w:szCs w:val="24"/>
                    <w:lang w:eastAsia="lt-LT"/>
                  </w:rPr>
                  <w:drawing>
                    <wp:inline distT="0" distB="0" distL="0" distR="0">
                      <wp:extent cx="409575" cy="466725"/>
                      <wp:effectExtent l="19050" t="0" r="9525" b="0"/>
                      <wp:docPr id="5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108"/>
                              <a:srcRect/>
                              <a:stretch>
                                <a:fillRect/>
                              </a:stretch>
                            </pic:blipFill>
                            <pic:spPr bwMode="auto">
                              <a:xfrm>
                                <a:off x="0" y="0"/>
                                <a:ext cx="409575" cy="466725"/>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704"/>
            </w:trPr>
            <w:tc>
              <w:tcPr>
                <w:tcW w:w="568" w:type="dxa"/>
                <w:vMerge/>
              </w:tcPr>
              <w:p>
                <w:pPr>
                  <w:rPr>
                    <w:color w:val="000000"/>
                    <w:szCs w:val="24"/>
                  </w:rPr>
                </w:pPr>
              </w:p>
            </w:tc>
            <w:tc>
              <w:tcPr>
                <w:tcW w:w="1134" w:type="dxa"/>
                <w:vMerge/>
              </w:tcPr>
              <w:p>
                <w:pPr>
                  <w:rPr>
                    <w:b/>
                    <w:color w:val="000000"/>
                    <w:szCs w:val="24"/>
                  </w:rPr>
                </w:pPr>
              </w:p>
            </w:tc>
            <w:tc>
              <w:tcPr>
                <w:tcW w:w="1814" w:type="dxa"/>
              </w:tcPr>
              <w:p>
                <w:pPr>
                  <w:rPr>
                    <w:color w:val="000000"/>
                    <w:szCs w:val="24"/>
                  </w:rPr>
                </w:pPr>
                <w:r>
                  <w:rPr>
                    <w:color w:val="000000"/>
                    <w:szCs w:val="24"/>
                  </w:rPr>
                  <w:t>3.4. Rodo paveikslėlius.</w:t>
                </w:r>
              </w:p>
            </w:tc>
            <w:tc>
              <w:tcPr>
                <w:tcW w:w="4423" w:type="dxa"/>
              </w:tcPr>
              <w:p>
                <w:pPr>
                  <w:rPr>
                    <w:color w:val="000000"/>
                    <w:szCs w:val="24"/>
                  </w:rPr>
                </w:pPr>
                <w:r>
                  <w:rPr>
                    <w:color w:val="000000"/>
                    <w:szCs w:val="24"/>
                  </w:rPr>
                  <w:t>Vaikas parodo bent vieną paveikslėlį knygoje jį įvardijus.</w:t>
                </w:r>
              </w:p>
            </w:tc>
            <w:tc>
              <w:tcPr>
                <w:tcW w:w="1559" w:type="dxa"/>
              </w:tcPr>
              <w:p>
                <w:pPr>
                  <w:jc w:val="center"/>
                  <w:rPr>
                    <w:color w:val="000000"/>
                    <w:szCs w:val="24"/>
                  </w:rPr>
                </w:pPr>
                <w:r>
                  <w:rPr>
                    <w:color w:val="000000"/>
                    <w:szCs w:val="24"/>
                    <w:lang w:eastAsia="lt-LT"/>
                  </w:rPr>
                  <w:drawing>
                    <wp:inline distT="0" distB="0" distL="0" distR="0">
                      <wp:extent cx="361950" cy="466725"/>
                      <wp:effectExtent l="19050" t="0" r="0" b="0"/>
                      <wp:docPr id="5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109"/>
                              <a:srcRect/>
                              <a:stretch>
                                <a:fillRect/>
                              </a:stretch>
                            </pic:blipFill>
                            <pic:spPr bwMode="auto">
                              <a:xfrm>
                                <a:off x="0" y="0"/>
                                <a:ext cx="361950" cy="466725"/>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805"/>
            </w:trPr>
            <w:tc>
              <w:tcPr>
                <w:tcW w:w="568" w:type="dxa"/>
                <w:vMerge/>
              </w:tcPr>
              <w:p>
                <w:pPr>
                  <w:rPr>
                    <w:color w:val="000000"/>
                    <w:szCs w:val="24"/>
                  </w:rPr>
                </w:pPr>
              </w:p>
            </w:tc>
            <w:tc>
              <w:tcPr>
                <w:tcW w:w="1134" w:type="dxa"/>
                <w:vMerge/>
              </w:tcPr>
              <w:p>
                <w:pPr>
                  <w:rPr>
                    <w:b/>
                    <w:color w:val="000000"/>
                    <w:szCs w:val="24"/>
                  </w:rPr>
                </w:pPr>
              </w:p>
            </w:tc>
            <w:tc>
              <w:tcPr>
                <w:tcW w:w="1814" w:type="dxa"/>
              </w:tcPr>
              <w:p>
                <w:pPr>
                  <w:rPr>
                    <w:color w:val="000000"/>
                    <w:szCs w:val="24"/>
                  </w:rPr>
                </w:pPr>
                <w:r>
                  <w:rPr>
                    <w:color w:val="000000"/>
                    <w:szCs w:val="24"/>
                  </w:rPr>
                  <w:t>3.5. Taria dviejų žodžių frazes.</w:t>
                </w:r>
              </w:p>
            </w:tc>
            <w:tc>
              <w:tcPr>
                <w:tcW w:w="4423" w:type="dxa"/>
              </w:tcPr>
              <w:p>
                <w:pPr>
                  <w:rPr>
                    <w:color w:val="000000"/>
                    <w:szCs w:val="24"/>
                  </w:rPr>
                </w:pPr>
                <w:r>
                  <w:rPr>
                    <w:color w:val="000000"/>
                    <w:szCs w:val="24"/>
                  </w:rPr>
                  <w:t xml:space="preserve">Vaikas sako frazes, pvz., „mama duok“, „mama, niam“  ir pan.</w:t>
                </w:r>
              </w:p>
              <w:p>
                <w:pPr>
                  <w:rPr>
                    <w:color w:val="000000"/>
                    <w:szCs w:val="24"/>
                  </w:rPr>
                </w:pPr>
                <w:r>
                  <w:rPr>
                    <w:color w:val="000000"/>
                    <w:szCs w:val="24"/>
                  </w:rPr>
                  <w:t>Galima vertinti teigiamai pagal tėvų arba kitų vaiko atstovų pagal įstatymą duomenis.</w:t>
                </w:r>
              </w:p>
            </w:tc>
            <w:tc>
              <w:tcPr>
                <w:tcW w:w="1559" w:type="dxa"/>
              </w:tcPr>
              <w:p>
                <w:pPr>
                  <w:jc w:val="center"/>
                  <w:rPr>
                    <w:b/>
                    <w:color w:val="000000"/>
                    <w:szCs w:val="24"/>
                  </w:rPr>
                </w:pP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805"/>
            </w:trPr>
            <w:tc>
              <w:tcPr>
                <w:tcW w:w="568" w:type="dxa"/>
                <w:vMerge/>
              </w:tcPr>
              <w:p>
                <w:pPr>
                  <w:rPr>
                    <w:color w:val="000000"/>
                    <w:szCs w:val="24"/>
                  </w:rPr>
                </w:pPr>
              </w:p>
            </w:tc>
            <w:tc>
              <w:tcPr>
                <w:tcW w:w="1134" w:type="dxa"/>
                <w:vMerge/>
              </w:tcPr>
              <w:p>
                <w:pPr>
                  <w:rPr>
                    <w:b/>
                    <w:color w:val="000000"/>
                    <w:szCs w:val="24"/>
                  </w:rPr>
                </w:pPr>
              </w:p>
            </w:tc>
            <w:tc>
              <w:tcPr>
                <w:tcW w:w="1814" w:type="dxa"/>
              </w:tcPr>
              <w:p>
                <w:pPr>
                  <w:rPr>
                    <w:color w:val="000000"/>
                    <w:szCs w:val="24"/>
                  </w:rPr>
                </w:pPr>
                <w:r>
                  <w:rPr>
                    <w:color w:val="000000"/>
                    <w:szCs w:val="24"/>
                  </w:rPr>
                  <w:t>3.6. Savarankiškai valgo.</w:t>
                </w:r>
              </w:p>
            </w:tc>
            <w:tc>
              <w:tcPr>
                <w:tcW w:w="4423" w:type="dxa"/>
              </w:tcPr>
              <w:p>
                <w:pPr>
                  <w:rPr>
                    <w:color w:val="000000"/>
                    <w:szCs w:val="24"/>
                  </w:rPr>
                </w:pPr>
                <w:r>
                  <w:rPr>
                    <w:color w:val="000000"/>
                    <w:szCs w:val="24"/>
                  </w:rPr>
                  <w:t>Vaikas gali suvalgyti kelis šaukštus maisto savarankiškai.</w:t>
                </w:r>
              </w:p>
              <w:p>
                <w:pPr>
                  <w:rPr>
                    <w:color w:val="000000"/>
                    <w:szCs w:val="24"/>
                  </w:rPr>
                </w:pPr>
                <w:r>
                  <w:rPr>
                    <w:color w:val="000000"/>
                    <w:szCs w:val="24"/>
                  </w:rPr>
                  <w:t xml:space="preserve">Galima vertinti teigiamai pagal tėvų arba kitų vaiko atstovų pagal įstatymą duomenis. </w:t>
                </w:r>
              </w:p>
            </w:tc>
            <w:tc>
              <w:tcPr>
                <w:tcW w:w="1559" w:type="dxa"/>
              </w:tcPr>
              <w:p>
                <w:pPr>
                  <w:jc w:val="center"/>
                  <w:rPr>
                    <w:b/>
                    <w:color w:val="000000"/>
                    <w:szCs w:val="24"/>
                  </w:rPr>
                </w:pPr>
                <w:r>
                  <w:rPr>
                    <w:b/>
                    <w:color w:val="000000"/>
                    <w:szCs w:val="24"/>
                    <w:lang w:eastAsia="lt-LT"/>
                  </w:rPr>
                  <w:drawing>
                    <wp:inline distT="0" distB="0" distL="0" distR="0">
                      <wp:extent cx="466725" cy="466725"/>
                      <wp:effectExtent l="19050" t="0" r="9525" b="0"/>
                      <wp:docPr id="57"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110"/>
                              <a:srcRect/>
                              <a:stretch>
                                <a:fillRect/>
                              </a:stretch>
                            </pic:blipFill>
                            <pic:spPr bwMode="auto">
                              <a:xfrm>
                                <a:off x="0" y="0"/>
                                <a:ext cx="466725" cy="466725"/>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805"/>
            </w:trPr>
            <w:tc>
              <w:tcPr>
                <w:tcW w:w="568" w:type="dxa"/>
                <w:vMerge/>
              </w:tcPr>
              <w:p>
                <w:pPr>
                  <w:rPr>
                    <w:color w:val="000000"/>
                    <w:szCs w:val="24"/>
                  </w:rPr>
                </w:pPr>
              </w:p>
            </w:tc>
            <w:tc>
              <w:tcPr>
                <w:tcW w:w="1134" w:type="dxa"/>
                <w:vMerge/>
              </w:tcPr>
              <w:p>
                <w:pPr>
                  <w:rPr>
                    <w:b/>
                    <w:color w:val="000000"/>
                    <w:szCs w:val="24"/>
                  </w:rPr>
                </w:pPr>
              </w:p>
            </w:tc>
            <w:tc>
              <w:tcPr>
                <w:tcW w:w="1814" w:type="dxa"/>
              </w:tcPr>
              <w:p>
                <w:pPr>
                  <w:rPr>
                    <w:color w:val="000000"/>
                    <w:szCs w:val="24"/>
                  </w:rPr>
                </w:pPr>
                <w:r>
                  <w:rPr>
                    <w:color w:val="000000"/>
                    <w:szCs w:val="24"/>
                  </w:rPr>
                  <w:t xml:space="preserve">3.7. Atneša daiktus norėdamas juos parodyti. </w:t>
                </w:r>
              </w:p>
            </w:tc>
            <w:tc>
              <w:tcPr>
                <w:tcW w:w="4423" w:type="dxa"/>
              </w:tcPr>
              <w:p>
                <w:pPr>
                  <w:rPr>
                    <w:color w:val="000000"/>
                    <w:szCs w:val="24"/>
                  </w:rPr>
                </w:pPr>
                <w:r>
                  <w:rPr>
                    <w:color w:val="000000"/>
                    <w:szCs w:val="24"/>
                  </w:rPr>
                  <w:t>Vaikas savarankiškai atneša parodyti daiktus tėvams. Galima vertinti teigiamai pagal tėvų arba kitų vaiko atstovų pagal įstatymą duomenis.</w:t>
                </w:r>
              </w:p>
            </w:tc>
            <w:tc>
              <w:tcPr>
                <w:tcW w:w="1559" w:type="dxa"/>
              </w:tcPr>
              <w:p>
                <w:pPr>
                  <w:tabs>
                    <w:tab w:val="left" w:pos="585"/>
                    <w:tab w:val="center" w:pos="1006"/>
                  </w:tabs>
                  <w:jc w:val="center"/>
                  <w:rPr>
                    <w:b/>
                    <w:color w:val="000000"/>
                    <w:szCs w:val="24"/>
                  </w:rPr>
                </w:pPr>
                <w:r>
                  <w:rPr>
                    <w:b/>
                    <w:color w:val="000000"/>
                    <w:szCs w:val="24"/>
                    <w:lang w:eastAsia="lt-LT"/>
                  </w:rPr>
                  <w:drawing>
                    <wp:inline distT="0" distB="0" distL="0" distR="0">
                      <wp:extent cx="400050" cy="476250"/>
                      <wp:effectExtent l="19050" t="0" r="0" b="0"/>
                      <wp:docPr id="58"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111"/>
                              <a:srcRect/>
                              <a:stretch>
                                <a:fillRect/>
                              </a:stretch>
                            </pic:blipFill>
                            <pic:spPr bwMode="auto">
                              <a:xfrm>
                                <a:off x="0" y="0"/>
                                <a:ext cx="400050" cy="476250"/>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805"/>
            </w:trPr>
            <w:tc>
              <w:tcPr>
                <w:tcW w:w="568" w:type="dxa"/>
                <w:vMerge w:val="restart"/>
              </w:tcPr>
              <w:p>
                <w:pPr>
                  <w:rPr>
                    <w:color w:val="000000"/>
                    <w:szCs w:val="24"/>
                  </w:rPr>
                </w:pPr>
                <w:r>
                  <w:rPr>
                    <w:color w:val="000000"/>
                    <w:szCs w:val="24"/>
                  </w:rPr>
                  <w:t>4.</w:t>
                </w:r>
              </w:p>
            </w:tc>
            <w:tc>
              <w:tcPr>
                <w:tcW w:w="1134" w:type="dxa"/>
                <w:vMerge w:val="restart"/>
              </w:tcPr>
              <w:p>
                <w:pPr>
                  <w:rPr>
                    <w:color w:val="000000"/>
                    <w:szCs w:val="24"/>
                  </w:rPr>
                </w:pPr>
                <w:r>
                  <w:rPr>
                    <w:color w:val="000000"/>
                    <w:szCs w:val="24"/>
                  </w:rPr>
                  <w:t>36 mėn.</w:t>
                </w:r>
              </w:p>
              <w:p>
                <w:pPr>
                  <w:rPr>
                    <w:color w:val="000000"/>
                    <w:szCs w:val="24"/>
                  </w:rPr>
                </w:pPr>
                <w:r>
                  <w:rPr>
                    <w:color w:val="000000"/>
                    <w:szCs w:val="24"/>
                  </w:rPr>
                  <w:t>(3 m.)</w:t>
                </w:r>
              </w:p>
            </w:tc>
            <w:tc>
              <w:tcPr>
                <w:tcW w:w="1814" w:type="dxa"/>
              </w:tcPr>
              <w:p>
                <w:pPr>
                  <w:rPr>
                    <w:color w:val="000000"/>
                    <w:szCs w:val="24"/>
                  </w:rPr>
                </w:pPr>
                <w:r>
                  <w:rPr>
                    <w:color w:val="000000"/>
                    <w:szCs w:val="24"/>
                  </w:rPr>
                  <w:t>4.1. Žaidžia konstravimo žaidimus.</w:t>
                </w:r>
              </w:p>
            </w:tc>
            <w:tc>
              <w:tcPr>
                <w:tcW w:w="4423" w:type="dxa"/>
              </w:tcPr>
              <w:p>
                <w:pPr>
                  <w:rPr>
                    <w:color w:val="000000"/>
                    <w:szCs w:val="24"/>
                  </w:rPr>
                </w:pPr>
                <w:r>
                  <w:rPr>
                    <w:color w:val="000000"/>
                    <w:szCs w:val="24"/>
                  </w:rPr>
                  <w:t>Vaikas žaidžia su konstruktoriais, pvz., kaladėlėmis, lego ir kt., statydamas statinius ir pan.</w:t>
                </w:r>
              </w:p>
            </w:tc>
            <w:tc>
              <w:tcPr>
                <w:tcW w:w="1559" w:type="dxa"/>
              </w:tcPr>
              <w:p>
                <w:pPr>
                  <w:jc w:val="center"/>
                  <w:rPr>
                    <w:b/>
                    <w:color w:val="000000"/>
                    <w:szCs w:val="24"/>
                  </w:rPr>
                </w:pPr>
                <w:r>
                  <w:rPr>
                    <w:b/>
                    <w:color w:val="000000"/>
                    <w:szCs w:val="24"/>
                    <w:lang w:eastAsia="lt-LT"/>
                  </w:rPr>
                  <w:drawing>
                    <wp:inline distT="0" distB="0" distL="0" distR="0">
                      <wp:extent cx="495300" cy="666750"/>
                      <wp:effectExtent l="19050" t="0" r="0" b="0"/>
                      <wp:docPr id="59" name="Picture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9"/>
                              <pic:cNvPicPr>
                                <a:picLocks noChangeAspect="1" noChangeArrowheads="1"/>
                              </pic:cNvPicPr>
                            </pic:nvPicPr>
                            <pic:blipFill>
                              <a:blip r:embed="rId112"/>
                              <a:srcRect/>
                              <a:stretch>
                                <a:fillRect/>
                              </a:stretch>
                            </pic:blipFill>
                            <pic:spPr bwMode="auto">
                              <a:xfrm>
                                <a:off x="0" y="0"/>
                                <a:ext cx="495300" cy="666750"/>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val="restart"/>
              </w:tcPr>
              <w:p>
                <w:pPr>
                  <w:rPr>
                    <w:color w:val="000000"/>
                    <w:szCs w:val="24"/>
                    <w:lang w:eastAsia="lt-LT"/>
                  </w:rPr>
                </w:pPr>
                <w:r>
                  <w:rPr>
                    <w:color w:val="000000"/>
                    <w:szCs w:val="24"/>
                    <w:lang w:eastAsia="lt-LT"/>
                  </w:rPr>
                  <w:t xml:space="preserve">□ Normali </w:t>
                </w:r>
              </w:p>
              <w:p>
                <w:pPr>
                  <w:rPr>
                    <w:color w:val="000000"/>
                    <w:szCs w:val="24"/>
                    <w:lang w:eastAsia="lt-LT"/>
                  </w:rPr>
                </w:pPr>
                <w:r>
                  <w:rPr>
                    <w:color w:val="000000"/>
                    <w:szCs w:val="24"/>
                    <w:lang w:eastAsia="lt-LT"/>
                  </w:rPr>
                  <w:t>raida</w:t>
                </w:r>
              </w:p>
              <w:p>
                <w:pPr>
                  <w:rPr>
                    <w:color w:val="000000"/>
                    <w:szCs w:val="24"/>
                    <w:lang w:eastAsia="lt-LT"/>
                  </w:rPr>
                </w:pPr>
              </w:p>
              <w:p>
                <w:pPr>
                  <w:rPr>
                    <w:color w:val="000000"/>
                    <w:szCs w:val="24"/>
                  </w:rPr>
                </w:pPr>
                <w:r>
                  <w:rPr>
                    <w:color w:val="000000"/>
                    <w:szCs w:val="24"/>
                    <w:lang w:eastAsia="lt-LT"/>
                  </w:rPr>
                  <w:t>□ Raidos sutrikimo rizika</w:t>
                </w:r>
              </w:p>
            </w:tc>
            <w:tc>
              <w:tcPr>
                <w:tcW w:w="992" w:type="dxa"/>
                <w:vMerge w:val="restart"/>
              </w:tcPr>
              <w:p>
                <w:pPr>
                  <w:rPr>
                    <w:color w:val="000000"/>
                    <w:szCs w:val="24"/>
                  </w:rPr>
                </w:pPr>
              </w:p>
            </w:tc>
            <w:tc>
              <w:tcPr>
                <w:tcW w:w="1621" w:type="dxa"/>
                <w:vMerge w:val="restart"/>
              </w:tcPr>
              <w:p>
                <w:pPr>
                  <w:rPr>
                    <w:color w:val="000000"/>
                    <w:szCs w:val="24"/>
                  </w:rPr>
                </w:pPr>
              </w:p>
            </w:tc>
          </w:tr>
          <w:tr>
            <w:trPr>
              <w:trHeight w:val="805"/>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 xml:space="preserve">4.2. Sudeda dėlionę. </w:t>
                </w:r>
              </w:p>
            </w:tc>
            <w:tc>
              <w:tcPr>
                <w:tcW w:w="4423" w:type="dxa"/>
              </w:tcPr>
              <w:p>
                <w:pPr>
                  <w:rPr>
                    <w:color w:val="000000"/>
                    <w:szCs w:val="24"/>
                  </w:rPr>
                </w:pPr>
                <w:r>
                  <w:rPr>
                    <w:color w:val="000000"/>
                    <w:szCs w:val="24"/>
                  </w:rPr>
                  <w:t xml:space="preserve">Vaikas sudeda 3 formų dėlionę ( ∆ O </w:t>
                </w:r>
                <w:r>
                  <w:rPr>
                    <w:b/>
                    <w:color w:val="000000"/>
                    <w:szCs w:val="24"/>
                  </w:rPr>
                  <w:t>□</w:t>
                </w:r>
                <w:r>
                  <w:rPr>
                    <w:color w:val="000000"/>
                    <w:szCs w:val="24"/>
                  </w:rPr>
                  <w:t xml:space="preserve"> ) nesuklysdamas. </w:t>
                </w:r>
              </w:p>
              <w:p>
                <w:pPr>
                  <w:rPr>
                    <w:color w:val="000000"/>
                    <w:szCs w:val="24"/>
                  </w:rPr>
                </w:pPr>
              </w:p>
            </w:tc>
            <w:tc>
              <w:tcPr>
                <w:tcW w:w="1559" w:type="dxa"/>
              </w:tcPr>
              <w:p>
                <w:pPr>
                  <w:jc w:val="center"/>
                  <w:rPr>
                    <w:b/>
                    <w:color w:val="000000"/>
                    <w:szCs w:val="24"/>
                  </w:rPr>
                </w:pPr>
                <w:r>
                  <w:rPr>
                    <w:b/>
                    <w:color w:val="000000"/>
                    <w:szCs w:val="24"/>
                    <w:lang w:eastAsia="lt-LT"/>
                  </w:rPr>
                  <w:drawing>
                    <wp:inline distT="0" distB="0" distL="0" distR="0">
                      <wp:extent cx="523875" cy="619125"/>
                      <wp:effectExtent l="19050" t="0" r="9525" b="0"/>
                      <wp:docPr id="60" name="Picture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0"/>
                              <pic:cNvPicPr>
                                <a:picLocks noChangeAspect="1" noChangeArrowheads="1"/>
                              </pic:cNvPicPr>
                            </pic:nvPicPr>
                            <pic:blipFill>
                              <a:blip r:embed="rId113"/>
                              <a:srcRect/>
                              <a:stretch>
                                <a:fillRect/>
                              </a:stretch>
                            </pic:blipFill>
                            <pic:spPr bwMode="auto">
                              <a:xfrm>
                                <a:off x="0" y="0"/>
                                <a:ext cx="523875" cy="619125"/>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805"/>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4.3. Piešia apskritimą.</w:t>
                </w:r>
              </w:p>
            </w:tc>
            <w:tc>
              <w:tcPr>
                <w:tcW w:w="4423" w:type="dxa"/>
              </w:tcPr>
              <w:p>
                <w:pPr>
                  <w:rPr>
                    <w:color w:val="000000"/>
                    <w:szCs w:val="24"/>
                  </w:rPr>
                </w:pPr>
                <w:r>
                  <w:rPr>
                    <w:color w:val="000000"/>
                    <w:szCs w:val="24"/>
                  </w:rPr>
                  <w:t>Vaikas nupiešia popieriuje apskritimą savarankiškai arba pagal pavyzdį.</w:t>
                </w:r>
              </w:p>
            </w:tc>
            <w:tc>
              <w:tcPr>
                <w:tcW w:w="1559" w:type="dxa"/>
              </w:tcPr>
              <w:p>
                <w:pPr>
                  <w:jc w:val="center"/>
                  <w:rPr>
                    <w:b/>
                    <w:color w:val="000000"/>
                    <w:szCs w:val="24"/>
                  </w:rPr>
                </w:pPr>
                <w:r>
                  <w:rPr>
                    <w:b/>
                    <w:color w:val="000000"/>
                    <w:szCs w:val="24"/>
                    <w:lang w:eastAsia="lt-LT"/>
                  </w:rPr>
                  <w:drawing>
                    <wp:inline distT="0" distB="0" distL="0" distR="0">
                      <wp:extent cx="466725" cy="542925"/>
                      <wp:effectExtent l="19050" t="0" r="9525" b="0"/>
                      <wp:docPr id="61" name="Picture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3"/>
                              <pic:cNvPicPr>
                                <a:picLocks noChangeAspect="1" noChangeArrowheads="1"/>
                              </pic:cNvPicPr>
                            </pic:nvPicPr>
                            <pic:blipFill>
                              <a:blip r:embed="rId114"/>
                              <a:srcRect/>
                              <a:stretch>
                                <a:fillRect/>
                              </a:stretch>
                            </pic:blipFill>
                            <pic:spPr bwMode="auto">
                              <a:xfrm>
                                <a:off x="0" y="0"/>
                                <a:ext cx="466725" cy="542925"/>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805"/>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4.4. Skiria spalvas.</w:t>
                </w:r>
              </w:p>
            </w:tc>
            <w:tc>
              <w:tcPr>
                <w:tcW w:w="4423" w:type="dxa"/>
              </w:tcPr>
              <w:p>
                <w:pPr>
                  <w:rPr>
                    <w:color w:val="000000"/>
                    <w:szCs w:val="24"/>
                  </w:rPr>
                </w:pPr>
                <w:r>
                  <w:rPr>
                    <w:color w:val="000000"/>
                    <w:szCs w:val="24"/>
                  </w:rPr>
                  <w:t>Vaikas parodo bent 1 spalvą iš 3, prašant parodyti pieštukus, žaislus ar paveikslėlius.</w:t>
                </w:r>
              </w:p>
            </w:tc>
            <w:tc>
              <w:tcPr>
                <w:tcW w:w="1559" w:type="dxa"/>
              </w:tcPr>
              <w:p>
                <w:pPr>
                  <w:jc w:val="center"/>
                  <w:rPr>
                    <w:b/>
                    <w:color w:val="000000"/>
                    <w:szCs w:val="24"/>
                  </w:rPr>
                </w:pPr>
                <w:r>
                  <w:rPr>
                    <w:b/>
                    <w:color w:val="000000"/>
                    <w:szCs w:val="24"/>
                    <w:lang w:eastAsia="lt-LT"/>
                  </w:rPr>
                  <w:drawing>
                    <wp:inline distT="0" distB="0" distL="0" distR="0">
                      <wp:extent cx="361950" cy="466725"/>
                      <wp:effectExtent l="19050" t="0" r="0" b="0"/>
                      <wp:docPr id="62" name="Picture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1"/>
                              <pic:cNvPicPr>
                                <a:picLocks noChangeAspect="1" noChangeArrowheads="1"/>
                              </pic:cNvPicPr>
                            </pic:nvPicPr>
                            <pic:blipFill>
                              <a:blip r:embed="rId115"/>
                              <a:srcRect/>
                              <a:stretch>
                                <a:fillRect/>
                              </a:stretch>
                            </pic:blipFill>
                            <pic:spPr bwMode="auto">
                              <a:xfrm>
                                <a:off x="0" y="0"/>
                                <a:ext cx="361950" cy="466725"/>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805"/>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4.5. Supranta kalbos sąvokas.</w:t>
                </w:r>
              </w:p>
            </w:tc>
            <w:tc>
              <w:tcPr>
                <w:tcW w:w="4423" w:type="dxa"/>
              </w:tcPr>
              <w:p>
                <w:pPr>
                  <w:rPr>
                    <w:color w:val="000000"/>
                    <w:szCs w:val="24"/>
                  </w:rPr>
                </w:pPr>
                <w:r>
                  <w:rPr>
                    <w:color w:val="000000"/>
                    <w:szCs w:val="24"/>
                  </w:rPr>
                  <w:t xml:space="preserve">Vaikas supranta bent vieną sąvoką iš 5: „toks pats“,“ didelis“, „mažas“, „vienas“, „daug“,  prašant parodyti žaislus ar paveikslėlius.</w:t>
                </w:r>
              </w:p>
            </w:tc>
            <w:tc>
              <w:tcPr>
                <w:tcW w:w="1559" w:type="dxa"/>
              </w:tcPr>
              <w:p>
                <w:pPr>
                  <w:jc w:val="center"/>
                  <w:rPr>
                    <w:b/>
                    <w:color w:val="000000"/>
                    <w:szCs w:val="24"/>
                  </w:rPr>
                </w:pPr>
                <w:r>
                  <w:rPr>
                    <w:b/>
                    <w:color w:val="000000"/>
                    <w:szCs w:val="24"/>
                    <w:lang w:eastAsia="lt-LT"/>
                  </w:rPr>
                  <w:drawing>
                    <wp:inline distT="0" distB="0" distL="0" distR="0">
                      <wp:extent cx="523875" cy="666750"/>
                      <wp:effectExtent l="19050" t="0" r="9525" b="0"/>
                      <wp:docPr id="63" name="Picture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2"/>
                              <pic:cNvPicPr>
                                <a:picLocks noChangeAspect="1" noChangeArrowheads="1"/>
                              </pic:cNvPicPr>
                            </pic:nvPicPr>
                            <pic:blipFill>
                              <a:blip r:embed="rId116"/>
                              <a:srcRect/>
                              <a:stretch>
                                <a:fillRect/>
                              </a:stretch>
                            </pic:blipFill>
                            <pic:spPr bwMode="auto">
                              <a:xfrm>
                                <a:off x="0" y="0"/>
                                <a:ext cx="523875" cy="666750"/>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805"/>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4.6. Jungia žodžius į 3 žodžių frazes, sakinius.</w:t>
                </w:r>
              </w:p>
            </w:tc>
            <w:tc>
              <w:tcPr>
                <w:tcW w:w="4423" w:type="dxa"/>
              </w:tcPr>
              <w:p>
                <w:pPr>
                  <w:rPr>
                    <w:color w:val="000000"/>
                    <w:szCs w:val="24"/>
                  </w:rPr>
                </w:pPr>
                <w:r>
                  <w:rPr>
                    <w:color w:val="000000"/>
                    <w:szCs w:val="24"/>
                  </w:rPr>
                  <w:t xml:space="preserve">Vaikas sako trijų žodžių frazes, sakinius. </w:t>
                </w:r>
              </w:p>
              <w:p>
                <w:pPr>
                  <w:rPr>
                    <w:color w:val="000000"/>
                    <w:szCs w:val="24"/>
                  </w:rPr>
                </w:pPr>
                <w:r>
                  <w:rPr>
                    <w:color w:val="000000"/>
                    <w:szCs w:val="24"/>
                  </w:rPr>
                  <w:t>Galima vertinti teigiamai pagal tėvų arba kitų vaiko atstovų pagal įstatymą duomenis.</w:t>
                </w:r>
              </w:p>
            </w:tc>
            <w:tc>
              <w:tcPr>
                <w:tcW w:w="1559" w:type="dxa"/>
              </w:tcPr>
              <w:p>
                <w:pPr>
                  <w:rPr>
                    <w:b/>
                    <w:color w:val="000000"/>
                    <w:szCs w:val="24"/>
                  </w:rPr>
                </w:pP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812"/>
            </w:trPr>
            <w:tc>
              <w:tcPr>
                <w:tcW w:w="568" w:type="dxa"/>
                <w:vMerge w:val="restart"/>
              </w:tcPr>
              <w:p>
                <w:pPr>
                  <w:rPr>
                    <w:color w:val="000000"/>
                    <w:szCs w:val="24"/>
                  </w:rPr>
                </w:pPr>
                <w:r>
                  <w:rPr>
                    <w:color w:val="000000"/>
                    <w:szCs w:val="24"/>
                  </w:rPr>
                  <w:t>5.</w:t>
                </w:r>
              </w:p>
              <w:p>
                <w:pPr>
                  <w:rPr>
                    <w:color w:val="000000"/>
                    <w:szCs w:val="24"/>
                  </w:rPr>
                </w:pPr>
              </w:p>
              <w:p>
                <w:pPr>
                  <w:rPr>
                    <w:color w:val="000000"/>
                    <w:szCs w:val="24"/>
                  </w:rPr>
                </w:pPr>
              </w:p>
            </w:tc>
            <w:tc>
              <w:tcPr>
                <w:tcW w:w="1134" w:type="dxa"/>
                <w:vMerge w:val="restart"/>
              </w:tcPr>
              <w:p>
                <w:pPr>
                  <w:rPr>
                    <w:color w:val="000000"/>
                    <w:szCs w:val="24"/>
                  </w:rPr>
                </w:pPr>
                <w:r>
                  <w:rPr>
                    <w:color w:val="000000"/>
                    <w:szCs w:val="24"/>
                  </w:rPr>
                  <w:t>48 mėn.</w:t>
                </w:r>
              </w:p>
              <w:p>
                <w:pPr>
                  <w:rPr>
                    <w:color w:val="000000"/>
                    <w:szCs w:val="24"/>
                  </w:rPr>
                </w:pPr>
                <w:r>
                  <w:rPr>
                    <w:color w:val="000000"/>
                    <w:szCs w:val="24"/>
                  </w:rPr>
                  <w:t xml:space="preserve">(4 m.) </w:t>
                </w:r>
              </w:p>
            </w:tc>
            <w:tc>
              <w:tcPr>
                <w:tcW w:w="1814" w:type="dxa"/>
              </w:tcPr>
              <w:p>
                <w:pPr>
                  <w:rPr>
                    <w:color w:val="000000"/>
                    <w:szCs w:val="24"/>
                  </w:rPr>
                </w:pPr>
                <w:r>
                  <w:rPr>
                    <w:color w:val="000000"/>
                    <w:szCs w:val="24"/>
                  </w:rPr>
                  <w:t>5.1. Žaidžia vaidmeninius žaidimus.</w:t>
                </w:r>
              </w:p>
            </w:tc>
            <w:tc>
              <w:tcPr>
                <w:tcW w:w="4423" w:type="dxa"/>
              </w:tcPr>
              <w:p>
                <w:pPr>
                  <w:rPr>
                    <w:color w:val="000000"/>
                    <w:szCs w:val="24"/>
                  </w:rPr>
                </w:pPr>
                <w:r>
                  <w:rPr>
                    <w:color w:val="000000"/>
                    <w:szCs w:val="24"/>
                  </w:rPr>
                  <w:t>Vaikas, žaisdamas su kitais asmenimis, gali vaidinti įvairius vaidmenis (žmonių, gyvūnų ir pan.).</w:t>
                </w:r>
              </w:p>
            </w:tc>
            <w:tc>
              <w:tcPr>
                <w:tcW w:w="1559" w:type="dxa"/>
              </w:tcPr>
              <w:p>
                <w:pPr>
                  <w:rPr>
                    <w:b/>
                    <w:color w:val="000000"/>
                    <w:szCs w:val="24"/>
                  </w:rPr>
                </w:pPr>
                <w:r>
                  <w:rPr>
                    <w:b/>
                    <w:color w:val="000000"/>
                    <w:szCs w:val="24"/>
                  </w:rPr>
                  <w:t>-</w:t>
                </w:r>
              </w:p>
            </w:tc>
            <w:tc>
              <w:tcPr>
                <w:tcW w:w="822" w:type="dxa"/>
              </w:tcPr>
              <w:p>
                <w:pPr>
                  <w:rPr>
                    <w:b/>
                    <w:color w:val="000000"/>
                    <w:szCs w:val="24"/>
                  </w:rPr>
                </w:pPr>
              </w:p>
            </w:tc>
            <w:tc>
              <w:tcPr>
                <w:tcW w:w="850" w:type="dxa"/>
              </w:tcPr>
              <w:p>
                <w:pPr>
                  <w:rPr>
                    <w:color w:val="000000"/>
                    <w:szCs w:val="24"/>
                  </w:rPr>
                </w:pPr>
              </w:p>
            </w:tc>
            <w:tc>
              <w:tcPr>
                <w:tcW w:w="1276" w:type="dxa"/>
                <w:vMerge w:val="restart"/>
              </w:tcPr>
              <w:p>
                <w:pPr>
                  <w:rPr>
                    <w:color w:val="000000"/>
                    <w:szCs w:val="24"/>
                    <w:lang w:eastAsia="lt-LT"/>
                  </w:rPr>
                </w:pPr>
                <w:r>
                  <w:rPr>
                    <w:color w:val="000000"/>
                    <w:szCs w:val="24"/>
                    <w:lang w:eastAsia="lt-LT"/>
                  </w:rPr>
                  <w:t xml:space="preserve">□ Normali </w:t>
                </w:r>
              </w:p>
              <w:p>
                <w:pPr>
                  <w:rPr>
                    <w:color w:val="000000"/>
                    <w:szCs w:val="24"/>
                    <w:lang w:eastAsia="lt-LT"/>
                  </w:rPr>
                </w:pPr>
                <w:r>
                  <w:rPr>
                    <w:color w:val="000000"/>
                    <w:szCs w:val="24"/>
                    <w:lang w:eastAsia="lt-LT"/>
                  </w:rPr>
                  <w:t>raida</w:t>
                </w:r>
              </w:p>
              <w:p>
                <w:pPr>
                  <w:rPr>
                    <w:color w:val="000000"/>
                    <w:szCs w:val="24"/>
                    <w:lang w:eastAsia="lt-LT"/>
                  </w:rPr>
                </w:pPr>
              </w:p>
              <w:p>
                <w:pPr>
                  <w:rPr>
                    <w:color w:val="000000"/>
                    <w:szCs w:val="24"/>
                  </w:rPr>
                </w:pPr>
                <w:r>
                  <w:rPr>
                    <w:color w:val="000000"/>
                    <w:szCs w:val="24"/>
                    <w:lang w:eastAsia="lt-LT"/>
                  </w:rPr>
                  <w:t>□ Raidos sutrikimo rizika</w:t>
                </w:r>
              </w:p>
            </w:tc>
            <w:tc>
              <w:tcPr>
                <w:tcW w:w="992" w:type="dxa"/>
                <w:vMerge w:val="restart"/>
              </w:tcPr>
              <w:p>
                <w:pPr>
                  <w:rPr>
                    <w:color w:val="000000"/>
                    <w:szCs w:val="24"/>
                  </w:rPr>
                </w:pPr>
              </w:p>
            </w:tc>
            <w:tc>
              <w:tcPr>
                <w:tcW w:w="1621" w:type="dxa"/>
                <w:vMerge w:val="restart"/>
              </w:tcPr>
              <w:p>
                <w:pPr>
                  <w:rPr>
                    <w:color w:val="000000"/>
                    <w:szCs w:val="24"/>
                  </w:rPr>
                </w:pPr>
              </w:p>
            </w:tc>
          </w:tr>
          <w:tr>
            <w:trPr>
              <w:trHeight w:val="805"/>
            </w:trPr>
            <w:tc>
              <w:tcPr>
                <w:tcW w:w="568" w:type="dxa"/>
                <w:vMerge/>
              </w:tcPr>
              <w:p>
                <w:pPr>
                  <w:rPr>
                    <w:color w:val="000000"/>
                    <w:szCs w:val="24"/>
                  </w:rPr>
                </w:pPr>
              </w:p>
            </w:tc>
            <w:tc>
              <w:tcPr>
                <w:tcW w:w="1134" w:type="dxa"/>
                <w:vMerge/>
              </w:tcPr>
              <w:p>
                <w:pPr>
                  <w:rPr>
                    <w:b/>
                    <w:color w:val="000000"/>
                    <w:szCs w:val="24"/>
                  </w:rPr>
                </w:pPr>
              </w:p>
            </w:tc>
            <w:tc>
              <w:tcPr>
                <w:tcW w:w="1814" w:type="dxa"/>
              </w:tcPr>
              <w:p>
                <w:pPr>
                  <w:rPr>
                    <w:color w:val="000000"/>
                    <w:szCs w:val="24"/>
                  </w:rPr>
                </w:pPr>
                <w:r>
                  <w:rPr>
                    <w:color w:val="000000"/>
                    <w:szCs w:val="24"/>
                  </w:rPr>
                  <w:t>5.2. Nupiešia atpažįstamą objektą.</w:t>
                </w:r>
              </w:p>
            </w:tc>
            <w:tc>
              <w:tcPr>
                <w:tcW w:w="4423" w:type="dxa"/>
              </w:tcPr>
              <w:p>
                <w:pPr>
                  <w:rPr>
                    <w:color w:val="000000"/>
                    <w:szCs w:val="24"/>
                  </w:rPr>
                </w:pPr>
                <w:r>
                  <w:rPr>
                    <w:color w:val="000000"/>
                    <w:szCs w:val="24"/>
                  </w:rPr>
                  <w:t>Vaikas nupiešia atpažįstamą objektą, pvz., mašiną, žmogų iš 2–3 dalių ir pan.</w:t>
                </w:r>
              </w:p>
            </w:tc>
            <w:tc>
              <w:tcPr>
                <w:tcW w:w="1559" w:type="dxa"/>
              </w:tcPr>
              <w:p>
                <w:pPr>
                  <w:rPr>
                    <w:b/>
                    <w:color w:val="000000"/>
                    <w:szCs w:val="24"/>
                  </w:rPr>
                </w:pPr>
                <w:r>
                  <w:rPr>
                    <w:b/>
                    <w:color w:val="000000"/>
                    <w:szCs w:val="24"/>
                    <w:lang w:eastAsia="lt-LT"/>
                  </w:rPr>
                  <w:drawing>
                    <wp:inline distT="0" distB="0" distL="0" distR="0">
                      <wp:extent cx="590550" cy="590550"/>
                      <wp:effectExtent l="19050" t="0" r="0" b="0"/>
                      <wp:docPr id="64" name="Picture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4"/>
                              <pic:cNvPicPr>
                                <a:picLocks noChangeAspect="1" noChangeArrowheads="1"/>
                              </pic:cNvPicPr>
                            </pic:nvPicPr>
                            <pic:blipFill>
                              <a:blip r:embed="rId117"/>
                              <a:srcRect/>
                              <a:stretch>
                                <a:fillRect/>
                              </a:stretch>
                            </pic:blipFill>
                            <pic:spPr bwMode="auto">
                              <a:xfrm>
                                <a:off x="0" y="0"/>
                                <a:ext cx="590550" cy="590550"/>
                              </a:xfrm>
                              <a:prstGeom prst="rect">
                                <a:avLst/>
                              </a:prstGeom>
                              <a:noFill/>
                              <a:ln w="9525">
                                <a:noFill/>
                                <a:miter lim="800000"/>
                                <a:headEnd/>
                                <a:tailEnd/>
                              </a:ln>
                            </pic:spPr>
                          </pic:pic>
                        </a:graphicData>
                      </a:graphic>
                    </wp:inline>
                  </w:drawing>
                </w:r>
              </w:p>
            </w:tc>
            <w:tc>
              <w:tcPr>
                <w:tcW w:w="822" w:type="dxa"/>
              </w:tcPr>
              <w:p>
                <w:pPr>
                  <w:rPr>
                    <w:b/>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805"/>
            </w:trPr>
            <w:tc>
              <w:tcPr>
                <w:tcW w:w="568" w:type="dxa"/>
                <w:vMerge/>
              </w:tcPr>
              <w:p>
                <w:pPr>
                  <w:rPr>
                    <w:color w:val="000000"/>
                    <w:szCs w:val="24"/>
                  </w:rPr>
                </w:pPr>
              </w:p>
            </w:tc>
            <w:tc>
              <w:tcPr>
                <w:tcW w:w="1134" w:type="dxa"/>
                <w:vMerge/>
              </w:tcPr>
              <w:p>
                <w:pPr>
                  <w:rPr>
                    <w:b/>
                    <w:color w:val="000000"/>
                    <w:szCs w:val="24"/>
                  </w:rPr>
                </w:pPr>
              </w:p>
            </w:tc>
            <w:tc>
              <w:tcPr>
                <w:tcW w:w="1814" w:type="dxa"/>
              </w:tcPr>
              <w:p>
                <w:pPr>
                  <w:rPr>
                    <w:color w:val="000000"/>
                    <w:szCs w:val="24"/>
                  </w:rPr>
                </w:pPr>
                <w:r>
                  <w:rPr>
                    <w:color w:val="000000"/>
                    <w:szCs w:val="24"/>
                  </w:rPr>
                  <w:t xml:space="preserve">5.3. Piešia  pliusą </w:t>
                </w:r>
              </w:p>
              <w:p>
                <w:pPr>
                  <w:rPr>
                    <w:color w:val="000000"/>
                    <w:szCs w:val="24"/>
                  </w:rPr>
                </w:pPr>
                <w:r>
                  <w:rPr>
                    <w:color w:val="000000"/>
                    <w:szCs w:val="24"/>
                  </w:rPr>
                  <w:t>(+).</w:t>
                </w:r>
              </w:p>
            </w:tc>
            <w:tc>
              <w:tcPr>
                <w:tcW w:w="4423" w:type="dxa"/>
              </w:tcPr>
              <w:p>
                <w:pPr>
                  <w:rPr>
                    <w:color w:val="000000"/>
                    <w:szCs w:val="24"/>
                  </w:rPr>
                </w:pPr>
                <w:r>
                  <w:rPr>
                    <w:color w:val="000000"/>
                    <w:szCs w:val="24"/>
                  </w:rPr>
                  <w:t>Vaikas nupiešia pliusą (+) savarankiškai arba pamėgdžiodamas pagal pavyzdį.</w:t>
                </w:r>
              </w:p>
            </w:tc>
            <w:tc>
              <w:tcPr>
                <w:tcW w:w="1559" w:type="dxa"/>
              </w:tcPr>
              <w:p>
                <w:pPr>
                  <w:rPr>
                    <w:b/>
                    <w:color w:val="000000"/>
                    <w:szCs w:val="24"/>
                  </w:rPr>
                </w:pPr>
                <w:r>
                  <w:rPr>
                    <w:b/>
                    <w:color w:val="000000"/>
                    <w:szCs w:val="24"/>
                    <w:lang w:eastAsia="lt-LT"/>
                  </w:rPr>
                  <w:drawing>
                    <wp:inline distT="0" distB="0" distL="0" distR="0">
                      <wp:extent cx="571500" cy="638175"/>
                      <wp:effectExtent l="19050" t="0" r="0" b="0"/>
                      <wp:docPr id="65" name="Picture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5"/>
                              <pic:cNvPicPr>
                                <a:picLocks noChangeAspect="1" noChangeArrowheads="1"/>
                              </pic:cNvPicPr>
                            </pic:nvPicPr>
                            <pic:blipFill>
                              <a:blip r:embed="rId118"/>
                              <a:srcRect/>
                              <a:stretch>
                                <a:fillRect/>
                              </a:stretch>
                            </pic:blipFill>
                            <pic:spPr bwMode="auto">
                              <a:xfrm>
                                <a:off x="0" y="0"/>
                                <a:ext cx="571500" cy="638175"/>
                              </a:xfrm>
                              <a:prstGeom prst="rect">
                                <a:avLst/>
                              </a:prstGeom>
                              <a:noFill/>
                              <a:ln w="9525">
                                <a:noFill/>
                                <a:miter lim="800000"/>
                                <a:headEnd/>
                                <a:tailEnd/>
                              </a:ln>
                            </pic:spPr>
                          </pic:pic>
                        </a:graphicData>
                      </a:graphic>
                    </wp:inline>
                  </w:drawing>
                </w:r>
              </w:p>
            </w:tc>
            <w:tc>
              <w:tcPr>
                <w:tcW w:w="822" w:type="dxa"/>
              </w:tcPr>
              <w:p>
                <w:pPr>
                  <w:rPr>
                    <w:b/>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1026"/>
            </w:trPr>
            <w:tc>
              <w:tcPr>
                <w:tcW w:w="568" w:type="dxa"/>
                <w:vMerge/>
              </w:tcPr>
              <w:p>
                <w:pPr>
                  <w:rPr>
                    <w:color w:val="000000"/>
                    <w:szCs w:val="24"/>
                  </w:rPr>
                </w:pPr>
              </w:p>
            </w:tc>
            <w:tc>
              <w:tcPr>
                <w:tcW w:w="1134" w:type="dxa"/>
                <w:vMerge/>
              </w:tcPr>
              <w:p>
                <w:pPr>
                  <w:rPr>
                    <w:b/>
                    <w:color w:val="000000"/>
                    <w:szCs w:val="24"/>
                  </w:rPr>
                </w:pPr>
              </w:p>
            </w:tc>
            <w:tc>
              <w:tcPr>
                <w:tcW w:w="1814" w:type="dxa"/>
              </w:tcPr>
              <w:p>
                <w:pPr>
                  <w:rPr>
                    <w:color w:val="000000"/>
                    <w:szCs w:val="24"/>
                  </w:rPr>
                </w:pPr>
                <w:r>
                  <w:rPr>
                    <w:color w:val="000000"/>
                    <w:szCs w:val="24"/>
                  </w:rPr>
                  <w:t xml:space="preserve">5.4. Supranta prielinksnius. </w:t>
                </w:r>
              </w:p>
            </w:tc>
            <w:tc>
              <w:tcPr>
                <w:tcW w:w="4423" w:type="dxa"/>
              </w:tcPr>
              <w:p>
                <w:pPr>
                  <w:jc w:val="both"/>
                  <w:rPr>
                    <w:color w:val="000000"/>
                    <w:szCs w:val="24"/>
                  </w:rPr>
                </w:pPr>
                <w:r>
                  <w:rPr>
                    <w:color w:val="000000"/>
                    <w:szCs w:val="24"/>
                  </w:rPr>
                  <w:t xml:space="preserve">Vaikas įvykdo bent 3 iš 4 prašymų su  prielinksniais: „padėk </w:t>
                </w:r>
                <w:r>
                  <w:rPr>
                    <w:b/>
                    <w:color w:val="000000"/>
                    <w:szCs w:val="24"/>
                  </w:rPr>
                  <w:t>ant</w:t>
                </w:r>
                <w:r>
                  <w:rPr>
                    <w:color w:val="000000"/>
                    <w:szCs w:val="24"/>
                  </w:rPr>
                  <w:t xml:space="preserve"> kėdės“,  „padėk </w:t>
                </w:r>
                <w:r>
                  <w:rPr>
                    <w:b/>
                    <w:color w:val="000000"/>
                    <w:szCs w:val="24"/>
                  </w:rPr>
                  <w:t>po</w:t>
                </w:r>
                <w:r>
                  <w:rPr>
                    <w:color w:val="000000"/>
                    <w:szCs w:val="24"/>
                  </w:rPr>
                  <w:t xml:space="preserve"> stalu,“„ įdėk </w:t>
                </w:r>
                <w:r>
                  <w:rPr>
                    <w:b/>
                    <w:color w:val="000000"/>
                    <w:szCs w:val="24"/>
                  </w:rPr>
                  <w:t>į</w:t>
                </w:r>
                <w:r>
                  <w:rPr>
                    <w:color w:val="000000"/>
                    <w:szCs w:val="24"/>
                  </w:rPr>
                  <w:t xml:space="preserve"> dėžutę,“  „padėk </w:t>
                </w:r>
                <w:r>
                  <w:rPr>
                    <w:b/>
                    <w:color w:val="000000"/>
                    <w:szCs w:val="24"/>
                  </w:rPr>
                  <w:t>už</w:t>
                </w:r>
                <w:r>
                  <w:rPr>
                    <w:color w:val="000000"/>
                    <w:szCs w:val="24"/>
                  </w:rPr>
                  <w:t xml:space="preserve"> nugaros.“ </w:t>
                </w:r>
              </w:p>
            </w:tc>
            <w:tc>
              <w:tcPr>
                <w:tcW w:w="1559" w:type="dxa"/>
              </w:tcPr>
              <w:p>
                <w:pPr>
                  <w:rPr>
                    <w:b/>
                    <w:color w:val="000000"/>
                    <w:szCs w:val="24"/>
                  </w:rPr>
                </w:pPr>
              </w:p>
            </w:tc>
            <w:tc>
              <w:tcPr>
                <w:tcW w:w="822" w:type="dxa"/>
              </w:tcPr>
              <w:p>
                <w:pPr>
                  <w:rPr>
                    <w:b/>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805"/>
            </w:trPr>
            <w:tc>
              <w:tcPr>
                <w:tcW w:w="568" w:type="dxa"/>
                <w:vMerge/>
              </w:tcPr>
              <w:p>
                <w:pPr>
                  <w:rPr>
                    <w:color w:val="000000"/>
                    <w:szCs w:val="24"/>
                  </w:rPr>
                </w:pPr>
              </w:p>
            </w:tc>
            <w:tc>
              <w:tcPr>
                <w:tcW w:w="1134" w:type="dxa"/>
                <w:vMerge/>
              </w:tcPr>
              <w:p>
                <w:pPr>
                  <w:rPr>
                    <w:b/>
                    <w:color w:val="000000"/>
                    <w:szCs w:val="24"/>
                  </w:rPr>
                </w:pPr>
              </w:p>
            </w:tc>
            <w:tc>
              <w:tcPr>
                <w:tcW w:w="1814" w:type="dxa"/>
              </w:tcPr>
              <w:p>
                <w:pPr>
                  <w:rPr>
                    <w:color w:val="000000"/>
                    <w:szCs w:val="24"/>
                  </w:rPr>
                </w:pPr>
                <w:r>
                  <w:rPr>
                    <w:color w:val="000000"/>
                    <w:szCs w:val="24"/>
                  </w:rPr>
                  <w:t xml:space="preserve">5.5. Papasakoja trumpą pasakojimą. </w:t>
                </w:r>
              </w:p>
            </w:tc>
            <w:tc>
              <w:tcPr>
                <w:tcW w:w="4423" w:type="dxa"/>
              </w:tcPr>
              <w:p>
                <w:pPr>
                  <w:rPr>
                    <w:color w:val="000000"/>
                    <w:szCs w:val="24"/>
                  </w:rPr>
                </w:pPr>
                <w:r>
                  <w:rPr>
                    <w:color w:val="000000"/>
                    <w:szCs w:val="24"/>
                  </w:rPr>
                  <w:t xml:space="preserve">Vaikas paklaustas gali  keliais sakiniais papasakoti apie įvykius,  Įvykusius, pvz., namuose,  ugdymo įstaigoje.</w:t>
                </w:r>
              </w:p>
            </w:tc>
            <w:tc>
              <w:tcPr>
                <w:tcW w:w="1559" w:type="dxa"/>
              </w:tcPr>
              <w:p>
                <w:pPr>
                  <w:rPr>
                    <w:b/>
                    <w:color w:val="000000"/>
                    <w:szCs w:val="24"/>
                  </w:rPr>
                </w:pPr>
              </w:p>
            </w:tc>
            <w:tc>
              <w:tcPr>
                <w:tcW w:w="822" w:type="dxa"/>
              </w:tcPr>
              <w:p>
                <w:pPr>
                  <w:rPr>
                    <w:b/>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bl>
        <w:p>
          <w:pPr>
            <w:tabs>
              <w:tab w:val="center" w:pos="4153"/>
              <w:tab w:val="right" w:pos="8306"/>
            </w:tabs>
            <w:rPr>
              <w:szCs w:val="24"/>
            </w:rPr>
          </w:pPr>
        </w:p>
        <w:p>
          <w:pPr>
            <w:suppressAutoHyphens/>
            <w:jc w:val="both"/>
            <w:textAlignment w:val="center"/>
          </w:pP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d17f70d3c111e4bcd1a882e9a189f1">
            <w:r w:rsidRPr="00532B9F">
              <w:rPr>
                <w:rFonts w:ascii="Times New Roman" w:eastAsia="MS Mincho" w:hAnsi="Times New Roman"/>
                <w:sz w:val="20"/>
                <w:i/>
                <w:iCs/>
                <w:color w:val="0000FF" w:themeColor="hyperlink"/>
                <w:u w:val="single"/>
              </w:rPr>
              <w:t>V-383</w:t>
            </w:r>
          </w:fldSimple>
          <w:r>
            <w:rPr>
              <w:rFonts w:ascii="Times New Roman" w:eastAsia="MS Mincho" w:hAnsi="Times New Roman"/>
              <w:sz w:val="20"/>
              <w:i/>
              <w:iCs/>
            </w:rPr>
            <w:t>,
2015-03-23,
paskelbta TAR 2015-03-26, i. k. 2015-04324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595bc076f111e9b81587fcbd5a76f6">
            <w:r w:rsidRPr="00532B9F">
              <w:rPr>
                <w:rFonts w:ascii="Times New Roman" w:eastAsia="MS Mincho" w:hAnsi="Times New Roman"/>
                <w:sz w:val="20"/>
                <w:i/>
                <w:iCs/>
                <w:color w:val="0000FF" w:themeColor="hyperlink"/>
                <w:u w:val="single"/>
              </w:rPr>
              <w:t>V-566</w:t>
            </w:r>
          </w:fldSimple>
          <w:r>
            <w:rPr>
              <w:rFonts w:ascii="Times New Roman" w:eastAsia="MS Mincho" w:hAnsi="Times New Roman"/>
              <w:sz w:val="20"/>
              <w:i/>
              <w:iCs/>
            </w:rPr>
            <w:t>,
2019-05-14,
paskelbta TAR 2019-05-15, i. k. 2019-07703            </w:t>
          </w:r>
        </w:p>
        <w:p/>
      </w:sdtContent>
    </w:sdt>
    <w:sdt>
      <w:sdtPr>
        <w:alias w:val="4 pr."/>
        <w:tag w:val="part_9dd6301670f1424082903cee609faec3"/>
        <w:lock w:val="sdtLocked"/>
        <w:richText/>
      </w:sdtPr>
      <w:sdtContent>
        <w:p>
          <w:pPr>
            <w:tabs>
              <w:tab w:val="left" w:pos="1304"/>
              <w:tab w:val="left" w:pos="1457"/>
              <w:tab w:val="left" w:pos="1604"/>
              <w:tab w:val="left" w:pos="1757"/>
            </w:tabs>
            <w:ind w:left="5102"/>
            <w:sectPr>
              <w:pgSz w:w="16840" w:h="11907" w:orient="landscape" w:code="9"/>
              <w:pgMar w:top="1701" w:right="1134" w:bottom="1134" w:left="1134" w:header="567" w:footer="567" w:gutter="0"/>
              <w:pgNumType w:start="1"/>
              <w:cols w:space="1296"/>
              <w:titlePg/>
              <w:docGrid w:linePitch="360"/>
            </w:sectPr>
          </w:pPr>
        </w:p>
        <w:p>
          <w:pPr>
            <w:tabs>
              <w:tab w:val="left" w:pos="1304"/>
              <w:tab w:val="left" w:pos="1457"/>
              <w:tab w:val="left" w:pos="1604"/>
              <w:tab w:val="left" w:pos="1757"/>
            </w:tabs>
            <w:ind w:left="5102"/>
            <w:rPr>
              <w:color w:val="000000"/>
            </w:rPr>
          </w:pPr>
          <w:r>
            <w:rPr>
              <w:color w:val="000000"/>
            </w:rPr>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9dd6301670f1424082903cee609faec3"/>
              <w:lock w:val="sdtLocked"/>
              <w:richText/>
            </w:sdtPr>
            <w:sdtContent>
              <w:r>
                <w:rPr>
                  <w:color w:val="000000"/>
                </w:rPr>
                <w:t>4</w:t>
              </w:r>
            </w:sdtContent>
          </w:sdt>
          <w:r>
            <w:rPr>
              <w:color w:val="000000"/>
            </w:rPr>
            <w:t xml:space="preserve"> priedas</w:t>
          </w:r>
        </w:p>
        <w:p>
          <w:pPr>
            <w:tabs>
              <w:tab w:val="left" w:pos="1304"/>
              <w:tab w:val="left" w:pos="1457"/>
              <w:tab w:val="left" w:pos="1604"/>
              <w:tab w:val="left" w:pos="1757"/>
            </w:tabs>
            <w:ind w:left="5102"/>
            <w:rPr>
              <w:color w:val="000000"/>
            </w:rPr>
          </w:pPr>
        </w:p>
        <w:p>
          <w:pPr>
            <w:jc w:val="center"/>
            <w:rPr>
              <w:b/>
              <w:caps/>
              <w:color w:val="000000"/>
            </w:rPr>
          </w:pPr>
          <w:sdt>
            <w:sdtPr>
              <w:alias w:val="Pavadinimas"/>
              <w:tag w:val="title_9dd6301670f1424082903cee609faec3"/>
              <w:lock w:val="sdtLocked"/>
              <w:richText/>
            </w:sdtPr>
            <w:sdtContent>
              <w:r>
                <w:rPr>
                  <w:b/>
                  <w:caps/>
                  <w:color w:val="000000"/>
                </w:rPr>
                <w:t xml:space="preserve">STOJANČIŲJŲ Į PROFESINIO MOKYMO MOKYKLAS IR ĮDARBINAMŲ NEPILNAMEČIŲ SVEIKATOS TIKRINIMO TVARKOS APRAŠAS </w:t>
              </w:r>
            </w:sdtContent>
          </w:sdt>
        </w:p>
        <w:p>
          <w:pPr>
            <w:ind w:left="709"/>
            <w:jc w:val="both"/>
            <w:rPr>
              <w:color w:val="000000"/>
            </w:rPr>
          </w:pPr>
        </w:p>
        <w:p>
          <w:pPr>
            <w:pStyle w:val="PlainText"/>
            <w:rPr>
              <w:rFonts w:ascii="Times New Roman" w:eastAsia="MS Mincho" w:hAnsi="Times New Roman"/>
              <w:sz w:val="20"/>
              <w:i/>
              <w:iCs/>
            </w:rPr>
          </w:pPr>
          <w:r>
            <w:rPr>
              <w:rFonts w:ascii="Times New Roman" w:eastAsia="MS Mincho" w:hAnsi="Times New Roman"/>
              <w:sz w:val="20"/>
              <w:i/>
              <w:iCs/>
            </w:rPr>
            <w:t>Pakeistas priedo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0f81cd0e33011ed9978886e85107ab2">
            <w:r w:rsidRPr="00532B9F">
              <w:rPr>
                <w:rFonts w:ascii="Times New Roman" w:eastAsia="MS Mincho" w:hAnsi="Times New Roman"/>
                <w:sz w:val="20"/>
                <w:i/>
                <w:iCs/>
                <w:color w:val="0000FF" w:themeColor="hyperlink"/>
                <w:u w:val="single"/>
              </w:rPr>
              <w:t>V-506</w:t>
            </w:r>
          </w:fldSimple>
          <w:r>
            <w:rPr>
              <w:rFonts w:ascii="Times New Roman" w:eastAsia="MS Mincho" w:hAnsi="Times New Roman"/>
              <w:sz w:val="20"/>
              <w:i/>
              <w:iCs/>
            </w:rPr>
            <w:t>,
2023-04-25,
paskelbta TAR 2023-04-25, i. k. 2023-07901        </w:t>
          </w:r>
        </w:p>
        <w:p/>
        <w:sdt>
          <w:sdtPr>
            <w:alias w:val="skyrius"/>
            <w:tag w:val="part_7bbbbb9b928243cdaef0b6bc70da0358"/>
            <w:lock w:val="sdtLocked"/>
            <w:richText/>
          </w:sdtPr>
          <w:sdtContent>
            <w:p>
              <w:pPr>
                <w:jc w:val="center"/>
                <w:rPr>
                  <w:b/>
                  <w:bCs/>
                  <w:caps/>
                  <w:szCs w:val="24"/>
                </w:rPr>
              </w:pPr>
              <w:sdt>
                <w:sdtPr>
                  <w:alias w:val="Numeris"/>
                  <w:tag w:val="nr_7bbbbb9b928243cdaef0b6bc70da0358"/>
                  <w:lock w:val="sdtLocked"/>
                  <w:richText/>
                </w:sdtPr>
                <w:sdtContent>
                  <w:r>
                    <w:rPr>
                      <w:b/>
                      <w:bCs/>
                      <w:caps/>
                      <w:szCs w:val="24"/>
                    </w:rPr>
                    <w:t>I</w:t>
                  </w:r>
                </w:sdtContent>
              </w:sdt>
              <w:r>
                <w:rPr>
                  <w:b/>
                  <w:bCs/>
                  <w:caps/>
                  <w:szCs w:val="24"/>
                </w:rPr>
                <w:t xml:space="preserve"> SKYRIUS</w:t>
              </w:r>
            </w:p>
            <w:p>
              <w:pPr>
                <w:jc w:val="center"/>
                <w:rPr>
                  <w:b/>
                  <w:bCs/>
                  <w:szCs w:val="24"/>
                </w:rPr>
              </w:pPr>
              <w:sdt>
                <w:sdtPr>
                  <w:alias w:val="Pavadinimas"/>
                  <w:tag w:val="title_7bbbbb9b928243cdaef0b6bc70da0358"/>
                  <w:lock w:val="sdtLocked"/>
                  <w:richText/>
                </w:sdtPr>
                <w:sdtContent>
                  <w:r>
                    <w:rPr>
                      <w:b/>
                      <w:bCs/>
                      <w:caps/>
                      <w:szCs w:val="24"/>
                    </w:rPr>
                    <w:t>BENDROSIOS NUOSTATOS</w:t>
                  </w:r>
                </w:sdtContent>
              </w:sdt>
            </w:p>
            <w:p>
              <w:pPr>
                <w:ind w:firstLine="782"/>
                <w:jc w:val="both"/>
                <w:rPr>
                  <w:szCs w:val="24"/>
                </w:rPr>
              </w:pPr>
            </w:p>
            <w:sdt>
              <w:sdtPr>
                <w:alias w:val="1 p."/>
                <w:tag w:val="part_3dc3b22267674cfdabd4eb5126523b79"/>
                <w:lock w:val="sdtLocked"/>
                <w:richText/>
              </w:sdtPr>
              <w:sdtContent>
                <w:p>
                  <w:pPr>
                    <w:ind w:firstLine="720"/>
                    <w:jc w:val="both"/>
                    <w:rPr>
                      <w:szCs w:val="24"/>
                    </w:rPr>
                  </w:pPr>
                  <w:sdt>
                    <w:sdtPr>
                      <w:alias w:val="Numeris"/>
                      <w:tag w:val="nr_3dc3b22267674cfdabd4eb5126523b79"/>
                      <w:lock w:val="sdtLocked"/>
                      <w:richText/>
                    </w:sdtPr>
                    <w:sdtContent>
                      <w:r>
                        <w:rPr>
                          <w:szCs w:val="24"/>
                        </w:rPr>
                        <w:t>1</w:t>
                      </w:r>
                    </w:sdtContent>
                  </w:sdt>
                  <w:r>
                    <w:rPr>
                      <w:szCs w:val="24"/>
                    </w:rPr>
                    <w:t>. Sveikatos tikrinimo tikslas – vadovaujantis Asmenų iki aštuoniolikos metų įdarbinimo, darbo ir profesinio parengimo organizavimo tvarkos, vaikų įdarbinimo sąlygų aprašu, patvirtintu Lietuvos Respublikos Vyriausybės 2017 m. birželio 28 d. nutarimu Nr. 518 „Dėl Asmenų iki aštuoniolikos metų įdarbinimo, darbo ir profesinio parengimo organizavimo tvarkos, vaikų įdarbinimo sąlygų aprašo patvirtinimo“ (toliau – Nutarimas Nr. 518), nustatyti, ar dėl sveikatos būklės tikrinamas asmuo profesinio mokymo metu galės atlikti praktines užduotis bei dirbti.</w:t>
                  </w:r>
                </w:p>
              </w:sdtContent>
            </w:sdt>
            <w:sdt>
              <w:sdtPr>
                <w:alias w:val="2 p."/>
                <w:tag w:val="part_5d0de4f0c412460d96c8d993acd2f0bf"/>
                <w:lock w:val="sdtLocked"/>
                <w:richText/>
              </w:sdtPr>
              <w:sdtContent>
                <w:p>
                  <w:pPr>
                    <w:ind w:firstLine="720"/>
                    <w:jc w:val="both"/>
                    <w:rPr>
                      <w:szCs w:val="24"/>
                    </w:rPr>
                  </w:pPr>
                  <w:sdt>
                    <w:sdtPr>
                      <w:alias w:val="Numeris"/>
                      <w:tag w:val="nr_5d0de4f0c412460d96c8d993acd2f0bf"/>
                      <w:lock w:val="sdtLocked"/>
                      <w:richText/>
                    </w:sdtPr>
                    <w:sdtContent>
                      <w:r>
                        <w:rPr>
                          <w:szCs w:val="24"/>
                        </w:rPr>
                        <w:t>2</w:t>
                      </w:r>
                    </w:sdtContent>
                  </w:sdt>
                  <w:r>
                    <w:rPr>
                      <w:szCs w:val="24"/>
                    </w:rPr>
                    <w:t>. Asmenys, stojantys mokytis į profesinio mokymo mokyklas, ir norintys įsidarbinti nepilnamečiai privalo tikrintis sveikatą.</w:t>
                  </w:r>
                </w:p>
              </w:sdtContent>
            </w:sdt>
            <w:sdt>
              <w:sdtPr>
                <w:alias w:val="3 p."/>
                <w:tag w:val="part_2093572b6eaf45d5a45d8299e3a8fdfa"/>
                <w:lock w:val="sdtLocked"/>
                <w:richText/>
              </w:sdtPr>
              <w:sdtContent>
                <w:p>
                  <w:pPr>
                    <w:ind w:firstLine="720"/>
                    <w:jc w:val="both"/>
                    <w:rPr>
                      <w:szCs w:val="24"/>
                    </w:rPr>
                  </w:pPr>
                  <w:sdt>
                    <w:sdtPr>
                      <w:alias w:val="Numeris"/>
                      <w:tag w:val="nr_2093572b6eaf45d5a45d8299e3a8fdfa"/>
                      <w:lock w:val="sdtLocked"/>
                      <w:richText/>
                    </w:sdtPr>
                    <w:sdtContent>
                      <w:r>
                        <w:rPr>
                          <w:szCs w:val="24"/>
                        </w:rPr>
                        <w:t>3</w:t>
                      </w:r>
                    </w:sdtContent>
                  </w:sdt>
                  <w:r>
                    <w:rPr>
                      <w:szCs w:val="24"/>
                    </w:rPr>
                    <w:t>. Stojančių mokytis į profesinio mokymo mokyklas ir norinčių įsidarbinti nepilnamečių s</w:t>
                  </w:r>
                  <w:r>
                    <w:rPr>
                      <w:color w:val="000000"/>
                      <w:szCs w:val="24"/>
                      <w:lang w:eastAsia="lt-LT"/>
                    </w:rPr>
                    <w:t xml:space="preserve">veikatos tikrinimas (toliau </w:t>
                  </w:r>
                  <w:r>
                    <w:rPr>
                      <w:szCs w:val="24"/>
                    </w:rPr>
                    <w:t xml:space="preserve">– sveikatos tikrinimas) </w:t>
                  </w:r>
                  <w:r>
                    <w:rPr>
                      <w:color w:val="000000"/>
                      <w:szCs w:val="24"/>
                      <w:lang w:eastAsia="lt-LT"/>
                    </w:rPr>
                    <w:t>atliekamas asmens sveikatos priežiūros įstaigoje (toliau – ASPĮ), turinčioje licenciją teikti sveikatos priežiūros paslaugas.</w:t>
                  </w:r>
                </w:p>
              </w:sdtContent>
            </w:sdt>
            <w:sdt>
              <w:sdtPr>
                <w:alias w:val="4 p."/>
                <w:tag w:val="part_157818eb43a5401582261d71fa69f20d"/>
                <w:lock w:val="sdtLocked"/>
                <w:richText/>
              </w:sdtPr>
              <w:sdtContent>
                <w:p>
                  <w:pPr>
                    <w:ind w:firstLine="720"/>
                    <w:jc w:val="both"/>
                    <w:rPr>
                      <w:szCs w:val="24"/>
                    </w:rPr>
                  </w:pPr>
                  <w:sdt>
                    <w:sdtPr>
                      <w:alias w:val="Numeris"/>
                      <w:tag w:val="nr_157818eb43a5401582261d71fa69f20d"/>
                      <w:lock w:val="sdtLocked"/>
                      <w:richText/>
                    </w:sdtPr>
                    <w:sdtContent>
                      <w:r>
                        <w:rPr>
                          <w:strike/>
                          <w:szCs w:val="24"/>
                        </w:rPr>
                        <w:t>4</w:t>
                      </w:r>
                    </w:sdtContent>
                  </w:sdt>
                  <w:r>
                    <w:rPr>
                      <w:szCs w:val="24"/>
                    </w:rPr>
                    <w:t>. Sveikatos tikrinimą atlieka šeimos medicinos paslaugas teikiantis gydytojas.</w:t>
                  </w:r>
                </w:p>
              </w:sdtContent>
            </w:sdt>
            <w:sdt>
              <w:sdtPr>
                <w:alias w:val="5 p."/>
                <w:tag w:val="part_77a8b7da09c54d869ed2510cbf1dd449"/>
                <w:lock w:val="sdtLocked"/>
                <w:richText/>
              </w:sdtPr>
              <w:sdtContent>
                <w:p>
                  <w:pPr>
                    <w:ind w:firstLine="720"/>
                    <w:jc w:val="both"/>
                    <w:rPr>
                      <w:szCs w:val="24"/>
                    </w:rPr>
                  </w:pPr>
                  <w:sdt>
                    <w:sdtPr>
                      <w:alias w:val="Numeris"/>
                      <w:tag w:val="nr_77a8b7da09c54d869ed2510cbf1dd449"/>
                      <w:lock w:val="sdtLocked"/>
                      <w:richText/>
                    </w:sdtPr>
                    <w:sdtContent>
                      <w:r>
                        <w:rPr>
                          <w:szCs w:val="24"/>
                        </w:rPr>
                        <w:t>5</w:t>
                      </w:r>
                    </w:sdtContent>
                  </w:sdt>
                  <w:r>
                    <w:rPr>
                      <w:szCs w:val="24"/>
                    </w:rPr>
                    <w:t>. Sveikatą tikrinantis gydytojas turi būti susipažinęs su Nutarimu Nr. 518.</w:t>
                  </w:r>
                </w:p>
              </w:sdtContent>
            </w:sdt>
            <w:sdt>
              <w:sdtPr>
                <w:alias w:val="6 p."/>
                <w:tag w:val="part_6b0eea20564f4ffbb13581593671db0f"/>
                <w:lock w:val="sdtLocked"/>
                <w:richText/>
              </w:sdtPr>
              <w:sdtContent>
                <w:p>
                  <w:pPr>
                    <w:ind w:firstLine="720"/>
                    <w:jc w:val="both"/>
                    <w:rPr>
                      <w:szCs w:val="24"/>
                    </w:rPr>
                  </w:pPr>
                  <w:sdt>
                    <w:sdtPr>
                      <w:alias w:val="Numeris"/>
                      <w:tag w:val="nr_6b0eea20564f4ffbb13581593671db0f"/>
                      <w:lock w:val="sdtLocked"/>
                      <w:richText/>
                    </w:sdtPr>
                    <w:sdtContent>
                      <w:r>
                        <w:rPr>
                          <w:szCs w:val="24"/>
                        </w:rPr>
                        <w:t>6</w:t>
                      </w:r>
                    </w:sdtContent>
                  </w:sdt>
                  <w:r>
                    <w:rPr>
                      <w:szCs w:val="24"/>
                    </w:rPr>
                    <w:t>. Esant indikacijų, šeimos medicinos paslaugas teikiantis gydytojas siunčia tikrinamą asmenį kitų profesinių kvalifikacijų specialistų konsultacijos, skiria reikalingus tyrimus.</w:t>
                  </w:r>
                </w:p>
              </w:sdtContent>
            </w:sdt>
            <w:sdt>
              <w:sdtPr>
                <w:alias w:val="7 p."/>
                <w:tag w:val="part_bc7551bfe0014af991843d6c653d97e4"/>
                <w:lock w:val="sdtLocked"/>
                <w:richText/>
              </w:sdtPr>
              <w:sdtContent>
                <w:p>
                  <w:pPr>
                    <w:ind w:firstLine="720"/>
                    <w:jc w:val="both"/>
                    <w:rPr>
                      <w:color w:val="000000"/>
                    </w:rPr>
                  </w:pPr>
                  <w:sdt>
                    <w:sdtPr>
                      <w:alias w:val="Numeris"/>
                      <w:tag w:val="nr_bc7551bfe0014af991843d6c653d97e4"/>
                      <w:lock w:val="sdtLocked"/>
                      <w:richText/>
                    </w:sdtPr>
                    <w:sdtContent>
                      <w:r>
                        <w:rPr>
                          <w:szCs w:val="24"/>
                        </w:rPr>
                        <w:t>7</w:t>
                      </w:r>
                    </w:sdtContent>
                  </w:sdt>
                  <w:r>
                    <w:rPr>
                      <w:szCs w:val="24"/>
                    </w:rPr>
                    <w:t xml:space="preserve">. Sveikatos tikrinimo duomenys įrašomi </w:t>
                  </w:r>
                  <w:r>
                    <w:rPr>
                      <w:color w:val="000000"/>
                      <w:szCs w:val="24"/>
                    </w:rPr>
                    <w:t>paciento elektroniniame dokumente E025 „Ambulatorinio apsilankymo aprašymas“, nurodytame Elektroninės sveikatos paslaugų ir bendradarbiavimo infrastruktūros informacinės sistemos naudojimo tvarkos aprašo, patvirtinto Lietuvos Respublikos sveikatos apsaugos ministro 2015 m. gegužės 26 d. įsakymu Nr. V-657 „Dėl Elektroninės sveikatos paslaugų ir bendradarbiavimo infrastruktūros informacinės sistemos naudojimo tvarkos aprašo patvirtinimo“, priede</w:t>
                  </w:r>
                  <w:r>
                    <w:rPr>
                      <w:szCs w:val="24"/>
                    </w:rPr>
                    <w:t>, o išvada apie tinkamumą mokytis ar dirbti – į Stojančio į mokymo įstaigą ir įdarbinamo nepilnamečio medicininę pažymą (forma Nr. 086/a), nurodytą Lietuvos Respublikos sveikatos apsaugos ministro 1999 m. lapkričio 29 d. įsakyme Nr. 515 „Dėl sveikatos priežiūros įstaigų veiklos apskaitos ir atskaitomybės tvarkos“.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0f81cd0e33011ed9978886e85107ab2">
                <w:r w:rsidRPr="00532B9F">
                  <w:rPr>
                    <w:rFonts w:ascii="Times New Roman" w:eastAsia="MS Mincho" w:hAnsi="Times New Roman"/>
                    <w:sz w:val="20"/>
                    <w:i/>
                    <w:iCs/>
                    <w:color w:val="0000FF" w:themeColor="hyperlink"/>
                    <w:u w:val="single"/>
                  </w:rPr>
                  <w:t>V-506</w:t>
                </w:r>
              </w:fldSimple>
              <w:r>
                <w:rPr>
                  <w:rFonts w:ascii="Times New Roman" w:eastAsia="MS Mincho" w:hAnsi="Times New Roman"/>
                  <w:sz w:val="20"/>
                  <w:i/>
                  <w:iCs/>
                </w:rPr>
                <w:t>,
2023-04-25,
paskelbta TAR 2023-04-25, i. k. 2023-07901            </w:t>
              </w:r>
            </w:p>
            <w:p/>
          </w:sdtContent>
        </w:sdt>
        <w:sdt>
          <w:sdtPr>
            <w:alias w:val="skyrius"/>
            <w:tag w:val="part_7719db6c1aa6473b901bd2298e572fa9"/>
            <w:lock w:val="sdtLocked"/>
            <w:richText/>
          </w:sdtPr>
          <w:sdtContent>
            <w:p>
              <w:pPr>
                <w:jc w:val="center"/>
                <w:rPr>
                  <w:b/>
                  <w:bCs/>
                  <w:caps/>
                  <w:szCs w:val="24"/>
                </w:rPr>
              </w:pPr>
              <w:sdt>
                <w:sdtPr>
                  <w:alias w:val="Numeris"/>
                  <w:tag w:val="nr_7719db6c1aa6473b901bd2298e572fa9"/>
                  <w:lock w:val="sdtLocked"/>
                  <w:richText/>
                </w:sdtPr>
                <w:sdtContent>
                  <w:r>
                    <w:rPr>
                      <w:b/>
                      <w:bCs/>
                      <w:caps/>
                      <w:szCs w:val="24"/>
                    </w:rPr>
                    <w:t>II</w:t>
                  </w:r>
                </w:sdtContent>
              </w:sdt>
              <w:r>
                <w:rPr>
                  <w:b/>
                  <w:bCs/>
                  <w:caps/>
                  <w:szCs w:val="24"/>
                </w:rPr>
                <w:t xml:space="preserve"> Skyrius</w:t>
              </w:r>
            </w:p>
            <w:p>
              <w:pPr>
                <w:jc w:val="center"/>
                <w:rPr>
                  <w:b/>
                  <w:bCs/>
                  <w:szCs w:val="24"/>
                </w:rPr>
              </w:pPr>
              <w:sdt>
                <w:sdtPr>
                  <w:alias w:val="Pavadinimas"/>
                  <w:tag w:val="title_7719db6c1aa6473b901bd2298e572fa9"/>
                  <w:lock w:val="sdtLocked"/>
                  <w:richText/>
                </w:sdtPr>
                <w:sdtContent>
                  <w:r>
                    <w:rPr>
                      <w:b/>
                      <w:bCs/>
                      <w:caps/>
                      <w:szCs w:val="24"/>
                    </w:rPr>
                    <w:t>LIGOS, KURIOMIS SERGANTYS asmenys negali STOTI Į PROFESINIO MOKYMO MOKYKLAS</w:t>
                  </w:r>
                </w:sdtContent>
              </w:sdt>
            </w:p>
            <w:p>
              <w:pPr>
                <w:ind w:left="709" w:firstLine="62"/>
                <w:jc w:val="both"/>
                <w:rPr>
                  <w:szCs w:val="24"/>
                </w:rPr>
              </w:pPr>
            </w:p>
            <w:sdt>
              <w:sdtPr>
                <w:alias w:val="8 p."/>
                <w:tag w:val="part_abaf0069944149838419f057317fd2ef"/>
                <w:lock w:val="sdtLocked"/>
                <w:richText/>
              </w:sdtPr>
              <w:sdtContent>
                <w:p>
                  <w:pPr>
                    <w:ind w:firstLine="720"/>
                    <w:jc w:val="both"/>
                    <w:rPr>
                      <w:szCs w:val="24"/>
                    </w:rPr>
                  </w:pPr>
                  <w:sdt>
                    <w:sdtPr>
                      <w:alias w:val="Numeris"/>
                      <w:tag w:val="nr_abaf0069944149838419f057317fd2ef"/>
                      <w:lock w:val="sdtLocked"/>
                      <w:richText/>
                    </w:sdtPr>
                    <w:sdtContent>
                      <w:r>
                        <w:rPr>
                          <w:szCs w:val="24"/>
                        </w:rPr>
                        <w:t>8</w:t>
                      </w:r>
                    </w:sdtContent>
                  </w:sdt>
                  <w:r>
                    <w:rPr>
                      <w:szCs w:val="24"/>
                    </w:rPr>
                    <w:t>. Į profesinio mokymo mokyklas negali stoti asmenys, sergantys:</w:t>
                  </w:r>
                </w:p>
                <w:sdt>
                  <w:sdtPr>
                    <w:alias w:val="8.1 pp."/>
                    <w:tag w:val="part_322b30e2efde400fa306e703cf753489"/>
                    <w:lock w:val="sdtLocked"/>
                    <w:richText/>
                  </w:sdtPr>
                  <w:sdtContent>
                    <w:p>
                      <w:pPr>
                        <w:ind w:firstLine="720"/>
                        <w:jc w:val="both"/>
                        <w:rPr>
                          <w:szCs w:val="24"/>
                        </w:rPr>
                      </w:pPr>
                      <w:sdt>
                        <w:sdtPr>
                          <w:alias w:val="Numeris"/>
                          <w:tag w:val="nr_322b30e2efde400fa306e703cf753489"/>
                          <w:lock w:val="sdtLocked"/>
                          <w:richText/>
                        </w:sdtPr>
                        <w:sdtContent>
                          <w:r>
                            <w:rPr>
                              <w:szCs w:val="24"/>
                            </w:rPr>
                            <w:t>8.1</w:t>
                          </w:r>
                        </w:sdtContent>
                      </w:sdt>
                      <w:r>
                        <w:rPr>
                          <w:szCs w:val="24"/>
                        </w:rPr>
                        <w:t>. bet kokios lokalizacijos tuberkulioze, kuria sergant išskiriamos mikobakterijos;</w:t>
                      </w:r>
                    </w:p>
                  </w:sdtContent>
                </w:sdt>
                <w:sdt>
                  <w:sdtPr>
                    <w:alias w:val="8.2 pp."/>
                    <w:tag w:val="part_263d9e88b2874b55a22b2ad19db88f81"/>
                    <w:lock w:val="sdtLocked"/>
                    <w:richText/>
                  </w:sdtPr>
                  <w:sdtContent>
                    <w:p>
                      <w:pPr>
                        <w:ind w:firstLine="720"/>
                        <w:jc w:val="both"/>
                        <w:rPr>
                          <w:color w:val="000000"/>
                        </w:rPr>
                      </w:pPr>
                      <w:sdt>
                        <w:sdtPr>
                          <w:alias w:val="Numeris"/>
                          <w:tag w:val="nr_263d9e88b2874b55a22b2ad19db88f81"/>
                          <w:lock w:val="sdtLocked"/>
                          <w:richText/>
                        </w:sdtPr>
                        <w:sdtContent>
                          <w:r>
                            <w:rPr>
                              <w:szCs w:val="24"/>
                            </w:rPr>
                            <w:t>8.2</w:t>
                          </w:r>
                        </w:sdtContent>
                      </w:sdt>
                      <w:r>
                        <w:rPr>
                          <w:szCs w:val="24"/>
                        </w:rPr>
                        <w:t>. ūmiomis užkrečiamosiomis ligomis (sprendžiama pacientui pasveikus).</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0f81cd0e33011ed9978886e85107ab2">
                <w:r w:rsidRPr="00532B9F">
                  <w:rPr>
                    <w:rFonts w:ascii="Times New Roman" w:eastAsia="MS Mincho" w:hAnsi="Times New Roman"/>
                    <w:sz w:val="20"/>
                    <w:i/>
                    <w:iCs/>
                    <w:color w:val="0000FF" w:themeColor="hyperlink"/>
                    <w:u w:val="single"/>
                  </w:rPr>
                  <w:t>V-506</w:t>
                </w:r>
              </w:fldSimple>
              <w:r>
                <w:rPr>
                  <w:rFonts w:ascii="Times New Roman" w:eastAsia="MS Mincho" w:hAnsi="Times New Roman"/>
                  <w:sz w:val="20"/>
                  <w:i/>
                  <w:iCs/>
                </w:rPr>
                <w:t>,
2023-04-25,
paskelbta TAR 2023-04-25, i. k. 2023-07901            </w:t>
              </w:r>
            </w:p>
            <w:p/>
          </w:sdtContent>
        </w:sdt>
        <w:sdt>
          <w:sdtPr>
            <w:alias w:val="skyrius"/>
            <w:tag w:val="part_c623678d7b9644fd802a20aa0b22890d"/>
            <w:lock w:val="sdtLocked"/>
            <w:richText/>
          </w:sdtPr>
          <w:sdtContent>
            <w:p>
              <w:pPr>
                <w:jc w:val="center"/>
                <w:rPr>
                  <w:b/>
                  <w:caps/>
                  <w:color w:val="000000"/>
                </w:rPr>
              </w:pPr>
              <w:sdt>
                <w:sdtPr>
                  <w:alias w:val="Numeris"/>
                  <w:tag w:val="nr_c623678d7b9644fd802a20aa0b22890d"/>
                  <w:lock w:val="sdtLocked"/>
                  <w:richText/>
                </w:sdtPr>
                <w:sdtContent>
                  <w:r>
                    <w:rPr>
                      <w:b/>
                      <w:caps/>
                      <w:color w:val="000000"/>
                    </w:rPr>
                    <w:t>III SKYRIUS</w:t>
                  </w:r>
                </w:sdtContent>
              </w:sdt>
            </w:p>
            <w:p>
              <w:pPr>
                <w:jc w:val="center"/>
                <w:rPr>
                  <w:b/>
                  <w:caps/>
                  <w:color w:val="000000"/>
                </w:rPr>
              </w:pPr>
              <w:sdt>
                <w:sdtPr>
                  <w:alias w:val="Pavadinimas"/>
                  <w:tag w:val="title_c623678d7b9644fd802a20aa0b22890d"/>
                  <w:lock w:val="sdtLocked"/>
                  <w:richText/>
                </w:sdtPr>
                <w:sdtContent>
                  <w:r>
                    <w:t>12 priedas</w:t>
                  </w:r>
                  <w:r>
                    <w:rPr>
                      <w:b/>
                      <w:caps/>
                      <w:color w:val="000000"/>
                    </w:rPr>
                    <w:t xml:space="preserve">LIGOS IR SVEIKATOS BŪKLĖS, DĖL KURIŲ RIBOJAMA TEISĖ MOKYTIS PROFESINIO MOKYMO MOKYKLOSE PAGAL ATSKIRAS PROGRAMAS </w:t>
                  </w:r>
                </w:sdtContent>
              </w:sdt>
            </w:p>
            <w:p>
              <w:pPr>
                <w:widowControl w:val="0"/>
                <w:tabs>
                  <w:tab w:val="left" w:pos="454"/>
                  <w:tab w:val="left" w:pos="2268"/>
                  <w:tab w:val="left" w:pos="5726"/>
                  <w:tab w:val="left" w:pos="6066"/>
                </w:tabs>
                <w:ind w:left="1069"/>
                <w:rPr>
                  <w:color w:val="000000"/>
                </w:rPr>
              </w:pPr>
            </w:p>
            <w:tbl>
              <w:tblPr>
                <w:tblW w:w="9810" w:type="dxa"/>
                <w:tblLook w:val="01E0" w:firstRow="1" w:lastRow="1" w:firstColumn="1" w:lastColumn="1" w:noHBand="0" w:noVBand="0"/>
              </w:tblPr>
              <w:tblGrid>
                <w:gridCol w:w="1209"/>
                <w:gridCol w:w="2442"/>
                <w:gridCol w:w="2003"/>
                <w:gridCol w:w="1892"/>
                <w:gridCol w:w="2264"/>
              </w:tblGrid>
              <w:tr>
                <w:trPr>
                  <w:tblHeader/>
                </w:trPr>
                <w:tc>
                  <w:tcPr>
                    <w:tcW w:w="1209" w:type="dxa"/>
                    <w:tcBorders>
                      <w:top w:val="single" w:sz="4" w:space="0" w:color="auto"/>
                      <w:left w:val="single" w:sz="4" w:space="0" w:color="auto"/>
                      <w:bottom w:val="single" w:sz="4" w:space="0" w:color="auto"/>
                    </w:tcBorders>
                    <w:shd w:val="clear" w:color="auto" w:fill="auto"/>
                  </w:tcPr>
                  <w:p>
                    <w:pPr>
                      <w:widowControl w:val="0"/>
                      <w:ind w:left="360"/>
                      <w:jc w:val="center"/>
                      <w:rPr>
                        <w:sz w:val="14"/>
                      </w:rPr>
                    </w:pPr>
                    <w:r>
                      <w:rPr>
                        <w:sz w:val="14"/>
                      </w:rPr>
                      <w:t>Eil. Nr.</w:t>
                    </w:r>
                  </w:p>
                </w:tc>
                <w:tc>
                  <w:tcPr>
                    <w:tcW w:w="2442" w:type="dxa"/>
                    <w:tcBorders>
                      <w:top w:val="single" w:sz="4" w:space="0" w:color="auto"/>
                      <w:bottom w:val="single" w:sz="4" w:space="0" w:color="auto"/>
                    </w:tcBorders>
                    <w:shd w:val="clear" w:color="auto" w:fill="auto"/>
                  </w:tcPr>
                  <w:p>
                    <w:pPr>
                      <w:widowControl w:val="0"/>
                      <w:ind w:left="360"/>
                      <w:jc w:val="center"/>
                      <w:rPr>
                        <w:sz w:val="14"/>
                      </w:rPr>
                    </w:pPr>
                    <w:r>
                      <w:rPr>
                        <w:sz w:val="14"/>
                      </w:rPr>
                      <w:t>Mokymo programa</w:t>
                    </w:r>
                  </w:p>
                </w:tc>
                <w:tc>
                  <w:tcPr>
                    <w:tcW w:w="2003" w:type="dxa"/>
                    <w:tcBorders>
                      <w:top w:val="single" w:sz="4" w:space="0" w:color="auto"/>
                      <w:bottom w:val="single" w:sz="4" w:space="0" w:color="auto"/>
                    </w:tcBorders>
                    <w:shd w:val="clear" w:color="auto" w:fill="auto"/>
                  </w:tcPr>
                  <w:p>
                    <w:pPr>
                      <w:widowControl w:val="0"/>
                      <w:ind w:left="360"/>
                      <w:jc w:val="center"/>
                      <w:rPr>
                        <w:sz w:val="14"/>
                      </w:rPr>
                    </w:pPr>
                    <w:r>
                      <w:rPr>
                        <w:sz w:val="14"/>
                      </w:rPr>
                      <w:t>Kenksmingi veiksniai</w:t>
                    </w:r>
                  </w:p>
                </w:tc>
                <w:tc>
                  <w:tcPr>
                    <w:tcW w:w="4156" w:type="dxa"/>
                    <w:gridSpan w:val="2"/>
                    <w:tcBorders>
                      <w:top w:val="single" w:sz="4" w:space="0" w:color="auto"/>
                      <w:bottom w:val="single" w:sz="4" w:space="0" w:color="auto"/>
                      <w:right w:val="single" w:sz="4" w:space="0" w:color="auto"/>
                    </w:tcBorders>
                    <w:shd w:val="clear" w:color="auto" w:fill="auto"/>
                  </w:tcPr>
                  <w:p>
                    <w:pPr>
                      <w:widowControl w:val="0"/>
                      <w:ind w:left="360"/>
                      <w:jc w:val="center"/>
                      <w:rPr>
                        <w:sz w:val="14"/>
                      </w:rPr>
                    </w:pPr>
                    <w:r>
                      <w:rPr>
                        <w:sz w:val="14"/>
                      </w:rPr>
                      <w:t>Papildomi medicininiai priešparodymai</w:t>
                    </w:r>
                  </w:p>
                </w:tc>
              </w:tr>
              <w:tr>
                <w:tc>
                  <w:tcPr>
                    <w:tcW w:w="1209" w:type="dxa"/>
                    <w:tcBorders>
                      <w:top w:val="single" w:sz="4" w:space="0" w:color="auto"/>
                    </w:tcBorders>
                    <w:shd w:val="clear" w:color="auto" w:fill="auto"/>
                  </w:tcPr>
                  <w:p>
                    <w:pPr>
                      <w:widowControl w:val="0"/>
                      <w:ind w:left="360"/>
                      <w:rPr>
                        <w:sz w:val="14"/>
                      </w:rPr>
                    </w:pPr>
                    <w:r>
                      <w:rPr>
                        <w:sz w:val="14"/>
                      </w:rPr>
                      <w:t>1.</w:t>
                    </w:r>
                  </w:p>
                </w:tc>
                <w:tc>
                  <w:tcPr>
                    <w:tcW w:w="2442" w:type="dxa"/>
                    <w:tcBorders>
                      <w:top w:val="single" w:sz="4" w:space="0" w:color="auto"/>
                    </w:tcBorders>
                    <w:shd w:val="clear" w:color="auto" w:fill="auto"/>
                  </w:tcPr>
                  <w:p>
                    <w:pPr>
                      <w:widowControl w:val="0"/>
                      <w:ind w:left="360"/>
                      <w:rPr>
                        <w:sz w:val="14"/>
                      </w:rPr>
                    </w:pPr>
                    <w:r>
                      <w:rPr>
                        <w:sz w:val="14"/>
                      </w:rPr>
                      <w:t>Meno dirbinių gamintojų</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plaštakos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Dažnai paūmėjančios rankų odos ligos dirbant su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Mokymosi kodas </w:t>
                    </w:r>
                  </w:p>
                </w:tc>
                <w:tc>
                  <w:tcPr>
                    <w:tcW w:w="2003" w:type="dxa"/>
                    <w:shd w:val="clear" w:color="auto" w:fill="auto"/>
                  </w:tcPr>
                  <w:p>
                    <w:pPr>
                      <w:widowControl w:val="0"/>
                      <w:ind w:left="360"/>
                      <w:rPr>
                        <w:sz w:val="14"/>
                      </w:rPr>
                    </w:pPr>
                    <w:r>
                      <w:rPr>
                        <w:sz w:val="14"/>
                      </w:rPr>
                      <w:t xml:space="preserve">ir pirštų, pečių juostos raumenims, darbo poza,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dirginančiomis medžiagomis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31812</w:t>
                    </w:r>
                  </w:p>
                </w:tc>
                <w:tc>
                  <w:tcPr>
                    <w:tcW w:w="2003" w:type="dxa"/>
                    <w:shd w:val="clear" w:color="auto" w:fill="auto"/>
                  </w:tcPr>
                  <w:p>
                    <w:pPr>
                      <w:widowControl w:val="0"/>
                      <w:ind w:left="360"/>
                      <w:rPr>
                        <w:sz w:val="14"/>
                      </w:rPr>
                    </w:pPr>
                    <w:r>
                      <w:rPr>
                        <w:sz w:val="14"/>
                      </w:rPr>
                      <w:t>pasilenkimai, įtampa, dėmesys, regos analizatorius</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Plaštakos funkcijos sutrikimai (nykščio deformacija ar trijų</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dirbamosios rankos pirštų nebuvimas),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Spalvų jutimo sutrikimas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Miopija daugiau kaip 8,0 D</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Regėjimas su korekcija 0,7 viena ir 0,4 kita akimi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(graveriui – 0,8 viena ir 0,7 – kita akimi. Vertinti be</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korekcijos, nes dirba su apsauginiais akiniais)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6.</w:t>
                    </w:r>
                  </w:p>
                </w:tc>
                <w:tc>
                  <w:tcPr>
                    <w:tcW w:w="2264" w:type="dxa"/>
                    <w:tcBorders>
                      <w:bottom w:val="single" w:sz="4" w:space="0" w:color="auto"/>
                    </w:tcBorders>
                    <w:shd w:val="clear" w:color="auto" w:fill="auto"/>
                  </w:tcPr>
                  <w:p>
                    <w:pPr>
                      <w:widowControl w:val="0"/>
                      <w:ind w:left="360"/>
                      <w:rPr>
                        <w:sz w:val="14"/>
                      </w:rPr>
                    </w:pPr>
                    <w:r>
                      <w:rPr>
                        <w:sz w:val="14"/>
                      </w:rPr>
                      <w:t>Alergija cheminėms medžiagoms</w:t>
                    </w:r>
                  </w:p>
                </w:tc>
              </w:tr>
              <w:tr>
                <w:tc>
                  <w:tcPr>
                    <w:tcW w:w="1209" w:type="dxa"/>
                    <w:tcBorders>
                      <w:top w:val="single" w:sz="4" w:space="0" w:color="auto"/>
                    </w:tcBorders>
                    <w:shd w:val="clear" w:color="auto" w:fill="auto"/>
                  </w:tcPr>
                  <w:p>
                    <w:pPr>
                      <w:widowControl w:val="0"/>
                      <w:ind w:left="360"/>
                      <w:rPr>
                        <w:sz w:val="14"/>
                      </w:rPr>
                    </w:pPr>
                    <w:r>
                      <w:rPr>
                        <w:sz w:val="14"/>
                      </w:rPr>
                      <w:t>2.</w:t>
                    </w:r>
                  </w:p>
                </w:tc>
                <w:tc>
                  <w:tcPr>
                    <w:tcW w:w="2442" w:type="dxa"/>
                    <w:tcBorders>
                      <w:top w:val="single" w:sz="4" w:space="0" w:color="auto"/>
                    </w:tcBorders>
                    <w:shd w:val="clear" w:color="auto" w:fill="auto"/>
                  </w:tcPr>
                  <w:p>
                    <w:pPr>
                      <w:widowControl w:val="0"/>
                      <w:ind w:left="360"/>
                      <w:rPr>
                        <w:sz w:val="14"/>
                      </w:rPr>
                    </w:pPr>
                    <w:r>
                      <w:rPr>
                        <w:sz w:val="14"/>
                      </w:rPr>
                      <w:t xml:space="preserve">2.1. Fotografų ir interjero </w:t>
                    </w:r>
                  </w:p>
                </w:tc>
                <w:tc>
                  <w:tcPr>
                    <w:tcW w:w="2003" w:type="dxa"/>
                    <w:tcBorders>
                      <w:top w:val="single" w:sz="4" w:space="0" w:color="auto"/>
                    </w:tcBorders>
                    <w:shd w:val="clear" w:color="auto" w:fill="auto"/>
                  </w:tcPr>
                  <w:p>
                    <w:pPr>
                      <w:widowControl w:val="0"/>
                      <w:ind w:left="360"/>
                      <w:rPr>
                        <w:sz w:val="14"/>
                      </w:rPr>
                    </w:pPr>
                    <w:r>
                      <w:rPr>
                        <w:sz w:val="14"/>
                      </w:rPr>
                      <w:t xml:space="preserve">Cheminės medžiagos, darbo poza (stovint), </w:t>
                    </w:r>
                  </w:p>
                </w:tc>
                <w:tc>
                  <w:tcPr>
                    <w:tcW w:w="1892" w:type="dxa"/>
                    <w:tcBorders>
                      <w:top w:val="single" w:sz="4" w:space="0" w:color="auto"/>
                    </w:tcBorders>
                    <w:shd w:val="clear" w:color="auto" w:fill="auto"/>
                  </w:tcPr>
                  <w:p>
                    <w:pPr>
                      <w:widowControl w:val="0"/>
                      <w:ind w:left="360"/>
                      <w:rPr>
                        <w:sz w:val="14"/>
                      </w:rPr>
                    </w:pPr>
                    <w:r>
                      <w:rPr>
                        <w:sz w:val="14"/>
                      </w:rPr>
                      <w:t>Dažnai paūmėjančios rankų odos ligos ar alergija dirbant su</w:t>
                    </w: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apipavidalintojų</w:t>
                    </w:r>
                  </w:p>
                </w:tc>
                <w:tc>
                  <w:tcPr>
                    <w:tcW w:w="2003" w:type="dxa"/>
                    <w:shd w:val="clear" w:color="auto" w:fill="auto"/>
                  </w:tcPr>
                  <w:p>
                    <w:pPr>
                      <w:widowControl w:val="0"/>
                      <w:ind w:left="360"/>
                      <w:rPr>
                        <w:sz w:val="14"/>
                      </w:rPr>
                    </w:pPr>
                    <w:r>
                      <w:rPr>
                        <w:sz w:val="14"/>
                      </w:rPr>
                      <w:t>regos analizatorius</w:t>
                    </w:r>
                  </w:p>
                </w:tc>
                <w:tc>
                  <w:tcPr>
                    <w:tcW w:w="1892" w:type="dxa"/>
                    <w:shd w:val="clear" w:color="auto" w:fill="auto"/>
                  </w:tcPr>
                  <w:p>
                    <w:pPr>
                      <w:widowControl w:val="0"/>
                      <w:ind w:left="360"/>
                      <w:rPr>
                        <w:sz w:val="14"/>
                      </w:rPr>
                    </w:pPr>
                    <w:r>
                      <w:rPr>
                        <w:sz w:val="14"/>
                      </w:rPr>
                      <w:t>cheminėmis medžiagomis</w:t>
                    </w: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31899</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2.2. Baleto artistų</w:t>
                    </w:r>
                  </w:p>
                </w:tc>
                <w:tc>
                  <w:tcPr>
                    <w:tcW w:w="2003" w:type="dxa"/>
                    <w:shd w:val="clear" w:color="auto" w:fill="auto"/>
                  </w:tcPr>
                  <w:p>
                    <w:pPr>
                      <w:widowControl w:val="0"/>
                      <w:ind w:left="360"/>
                      <w:rPr>
                        <w:sz w:val="14"/>
                      </w:rPr>
                    </w:pPr>
                    <w:r>
                      <w:rPr>
                        <w:sz w:val="14"/>
                      </w:rPr>
                      <w:t xml:space="preserve">Stereotipiniai darbo judesiai, darbo poza, </w:t>
                    </w:r>
                  </w:p>
                </w:tc>
                <w:tc>
                  <w:tcPr>
                    <w:tcW w:w="1892" w:type="dxa"/>
                    <w:shd w:val="clear" w:color="auto" w:fill="auto"/>
                  </w:tcPr>
                  <w:p>
                    <w:pPr>
                      <w:widowControl w:val="0"/>
                      <w:ind w:left="360"/>
                      <w:rPr>
                        <w:sz w:val="14"/>
                      </w:rPr>
                    </w:pPr>
                    <w:r>
                      <w:rPr>
                        <w:sz w:val="14"/>
                      </w:rPr>
                      <w:t xml:space="preserve">1. </w:t>
                    </w:r>
                  </w:p>
                </w:tc>
                <w:tc>
                  <w:tcPr>
                    <w:tcW w:w="2264" w:type="dxa"/>
                    <w:shd w:val="clear" w:color="auto" w:fill="auto"/>
                  </w:tcPr>
                  <w:p>
                    <w:pPr>
                      <w:widowControl w:val="0"/>
                      <w:ind w:left="360"/>
                      <w:rPr>
                        <w:sz w:val="14"/>
                      </w:rPr>
                    </w:pPr>
                    <w:r>
                      <w:rPr>
                        <w:sz w:val="14"/>
                      </w:rPr>
                      <w:t>Plokščiapėdystė, kitos skeleto-raumenų sistemos ligos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31899</w:t>
                    </w:r>
                  </w:p>
                </w:tc>
                <w:tc>
                  <w:tcPr>
                    <w:tcW w:w="2003" w:type="dxa"/>
                    <w:shd w:val="clear" w:color="auto" w:fill="auto"/>
                  </w:tcPr>
                  <w:p>
                    <w:pPr>
                      <w:widowControl w:val="0"/>
                      <w:ind w:left="360"/>
                      <w:rPr>
                        <w:sz w:val="14"/>
                      </w:rPr>
                    </w:pPr>
                    <w:r>
                      <w:rPr>
                        <w:sz w:val="14"/>
                      </w:rPr>
                      <w:t>pasilenkimai, įtampa, monotonija</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defektai, trukdantys judėjimui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 xml:space="preserve">2. </w:t>
                    </w:r>
                  </w:p>
                </w:tc>
                <w:tc>
                  <w:tcPr>
                    <w:tcW w:w="2264" w:type="dxa"/>
                    <w:shd w:val="clear" w:color="auto" w:fill="auto"/>
                  </w:tcPr>
                  <w:p>
                    <w:pPr>
                      <w:widowControl w:val="0"/>
                      <w:ind w:left="360"/>
                      <w:rPr>
                        <w:sz w:val="14"/>
                      </w:rPr>
                    </w:pPr>
                    <w:r>
                      <w:rPr>
                        <w:sz w:val="14"/>
                      </w:rPr>
                      <w:t>Kojų venų išsiplėtimas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 xml:space="preserve">3. </w:t>
                    </w:r>
                  </w:p>
                </w:tc>
                <w:tc>
                  <w:tcPr>
                    <w:tcW w:w="2264" w:type="dxa"/>
                    <w:shd w:val="clear" w:color="auto" w:fill="auto"/>
                  </w:tcPr>
                  <w:p>
                    <w:pPr>
                      <w:widowControl w:val="0"/>
                      <w:ind w:left="360"/>
                      <w:rPr>
                        <w:sz w:val="14"/>
                      </w:rPr>
                    </w:pPr>
                    <w:r>
                      <w:rPr>
                        <w:sz w:val="14"/>
                      </w:rPr>
                      <w:t>Binokulinio matymo sutrikimas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 xml:space="preserve">4. </w:t>
                    </w:r>
                  </w:p>
                </w:tc>
                <w:tc>
                  <w:tcPr>
                    <w:tcW w:w="2264" w:type="dxa"/>
                    <w:shd w:val="clear" w:color="auto" w:fill="auto"/>
                  </w:tcPr>
                  <w:p>
                    <w:pPr>
                      <w:widowControl w:val="0"/>
                      <w:ind w:left="360"/>
                      <w:rPr>
                        <w:sz w:val="14"/>
                      </w:rPr>
                    </w:pPr>
                    <w:r>
                      <w:rPr>
                        <w:sz w:val="14"/>
                      </w:rPr>
                      <w:t>Širdies ydos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 xml:space="preserve">5. </w:t>
                    </w:r>
                  </w:p>
                </w:tc>
                <w:tc>
                  <w:tcPr>
                    <w:tcW w:w="2264" w:type="dxa"/>
                    <w:shd w:val="clear" w:color="auto" w:fill="auto"/>
                  </w:tcPr>
                  <w:p>
                    <w:pPr>
                      <w:widowControl w:val="0"/>
                      <w:ind w:left="360"/>
                      <w:rPr>
                        <w:sz w:val="14"/>
                      </w:rPr>
                    </w:pPr>
                    <w:r>
                      <w:rPr>
                        <w:sz w:val="14"/>
                      </w:rPr>
                      <w:t>Epilepsija su dažnais paroksizmais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 xml:space="preserve">6. </w:t>
                    </w:r>
                  </w:p>
                </w:tc>
                <w:tc>
                  <w:tcPr>
                    <w:tcW w:w="2264" w:type="dxa"/>
                    <w:shd w:val="clear" w:color="auto" w:fill="auto"/>
                  </w:tcPr>
                  <w:p>
                    <w:pPr>
                      <w:widowControl w:val="0"/>
                      <w:ind w:left="360"/>
                      <w:rPr>
                        <w:sz w:val="14"/>
                      </w:rPr>
                    </w:pPr>
                    <w:r>
                      <w:rPr>
                        <w:sz w:val="14"/>
                      </w:rPr>
                      <w:t>CNS susirgimų ar traumų padariniai su judesių</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sutrikimais, trukdančiais profesinei veiklai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 xml:space="preserve">7. </w:t>
                    </w:r>
                  </w:p>
                </w:tc>
                <w:tc>
                  <w:tcPr>
                    <w:tcW w:w="2264" w:type="dxa"/>
                    <w:tcBorders>
                      <w:bottom w:val="single" w:sz="4" w:space="0" w:color="auto"/>
                    </w:tcBorders>
                    <w:shd w:val="clear" w:color="auto" w:fill="auto"/>
                  </w:tcPr>
                  <w:p>
                    <w:pPr>
                      <w:widowControl w:val="0"/>
                      <w:ind w:left="360"/>
                      <w:rPr>
                        <w:sz w:val="14"/>
                      </w:rPr>
                    </w:pPr>
                    <w:r>
                      <w:rPr>
                        <w:sz w:val="14"/>
                      </w:rPr>
                      <w:t>Vestibulinės funkcijos sutrikimai</w:t>
                    </w:r>
                  </w:p>
                </w:tc>
              </w:tr>
              <w:tr>
                <w:tc>
                  <w:tcPr>
                    <w:tcW w:w="1209" w:type="dxa"/>
                    <w:tcBorders>
                      <w:top w:val="single" w:sz="4" w:space="0" w:color="auto"/>
                    </w:tcBorders>
                    <w:shd w:val="clear" w:color="auto" w:fill="auto"/>
                  </w:tcPr>
                  <w:p>
                    <w:pPr>
                      <w:widowControl w:val="0"/>
                      <w:ind w:left="360"/>
                      <w:rPr>
                        <w:sz w:val="14"/>
                      </w:rPr>
                    </w:pPr>
                    <w:r>
                      <w:rPr>
                        <w:sz w:val="14"/>
                      </w:rPr>
                      <w:t>3.</w:t>
                    </w:r>
                  </w:p>
                </w:tc>
                <w:tc>
                  <w:tcPr>
                    <w:tcW w:w="2442" w:type="dxa"/>
                    <w:tcBorders>
                      <w:top w:val="single" w:sz="4" w:space="0" w:color="auto"/>
                    </w:tcBorders>
                    <w:shd w:val="clear" w:color="auto" w:fill="auto"/>
                  </w:tcPr>
                  <w:p>
                    <w:pPr>
                      <w:widowControl w:val="0"/>
                      <w:ind w:left="360"/>
                      <w:rPr>
                        <w:sz w:val="14"/>
                      </w:rPr>
                    </w:pPr>
                    <w:r>
                      <w:rPr>
                        <w:sz w:val="14"/>
                      </w:rPr>
                      <w:t>Sekretorės</w:t>
                    </w:r>
                  </w:p>
                </w:tc>
                <w:tc>
                  <w:tcPr>
                    <w:tcW w:w="2003" w:type="dxa"/>
                    <w:tcBorders>
                      <w:top w:val="single" w:sz="4" w:space="0" w:color="auto"/>
                    </w:tcBorders>
                    <w:shd w:val="clear" w:color="auto" w:fill="auto"/>
                  </w:tcPr>
                  <w:p>
                    <w:pPr>
                      <w:widowControl w:val="0"/>
                      <w:ind w:left="360"/>
                      <w:rPr>
                        <w:sz w:val="14"/>
                      </w:rPr>
                    </w:pPr>
                    <w:r>
                      <w:rPr>
                        <w:sz w:val="14"/>
                      </w:rPr>
                      <w:t xml:space="preserve">Įtampa, dėmesys, informacinių signalų ir pranešimų </w:t>
                    </w:r>
                  </w:p>
                </w:tc>
                <w:tc>
                  <w:tcPr>
                    <w:tcW w:w="1892" w:type="dxa"/>
                    <w:tcBorders>
                      <w:top w:val="single" w:sz="4" w:space="0" w:color="auto"/>
                    </w:tcBorders>
                    <w:shd w:val="clear" w:color="auto" w:fill="auto"/>
                  </w:tcPr>
                  <w:p>
                    <w:pPr>
                      <w:widowControl w:val="0"/>
                      <w:ind w:left="360"/>
                      <w:rPr>
                        <w:sz w:val="14"/>
                      </w:rPr>
                    </w:pPr>
                    <w:r>
                      <w:rPr>
                        <w:sz w:val="14"/>
                      </w:rPr>
                      <w:t>Regėjimas su korekcija silpnesnis kaip 0,6 viena ir 0,2 – kita</w:t>
                    </w:r>
                  </w:p>
                </w:tc>
                <w:tc>
                  <w:tcPr>
                    <w:tcW w:w="2264" w:type="dxa"/>
                    <w:tcBorders>
                      <w:top w:val="single" w:sz="4" w:space="0" w:color="auto"/>
                    </w:tcBorders>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33404</w:t>
                    </w:r>
                  </w:p>
                </w:tc>
                <w:tc>
                  <w:tcPr>
                    <w:tcW w:w="2003" w:type="dxa"/>
                    <w:tcBorders>
                      <w:bottom w:val="single" w:sz="4" w:space="0" w:color="auto"/>
                    </w:tcBorders>
                    <w:shd w:val="clear" w:color="auto" w:fill="auto"/>
                  </w:tcPr>
                  <w:p>
                    <w:pPr>
                      <w:widowControl w:val="0"/>
                      <w:ind w:left="360"/>
                      <w:rPr>
                        <w:sz w:val="14"/>
                      </w:rPr>
                    </w:pPr>
                    <w:r>
                      <w:rPr>
                        <w:sz w:val="14"/>
                      </w:rPr>
                      <w:t>priėmimas, regos ir klausos analizatoriai</w:t>
                    </w:r>
                  </w:p>
                </w:tc>
                <w:tc>
                  <w:tcPr>
                    <w:tcW w:w="1892" w:type="dxa"/>
                    <w:tcBorders>
                      <w:bottom w:val="single" w:sz="4" w:space="0" w:color="auto"/>
                    </w:tcBorders>
                    <w:shd w:val="clear" w:color="auto" w:fill="auto"/>
                  </w:tcPr>
                  <w:p>
                    <w:pPr>
                      <w:widowControl w:val="0"/>
                      <w:ind w:left="360"/>
                      <w:rPr>
                        <w:sz w:val="14"/>
                      </w:rPr>
                    </w:pPr>
                    <w:r>
                      <w:rPr>
                        <w:sz w:val="14"/>
                      </w:rPr>
                      <w:t>akimi</w:t>
                    </w: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4.</w:t>
                    </w:r>
                  </w:p>
                </w:tc>
                <w:tc>
                  <w:tcPr>
                    <w:tcW w:w="2442" w:type="dxa"/>
                    <w:tcBorders>
                      <w:top w:val="single" w:sz="4" w:space="0" w:color="auto"/>
                    </w:tcBorders>
                    <w:shd w:val="clear" w:color="auto" w:fill="auto"/>
                  </w:tcPr>
                  <w:p>
                    <w:pPr>
                      <w:widowControl w:val="0"/>
                      <w:ind w:left="360"/>
                      <w:rPr>
                        <w:sz w:val="14"/>
                      </w:rPr>
                    </w:pPr>
                    <w:r>
                      <w:rPr>
                        <w:sz w:val="14"/>
                      </w:rPr>
                      <w:t xml:space="preserve">Apskaitininkės – </w:t>
                    </w:r>
                  </w:p>
                </w:tc>
                <w:tc>
                  <w:tcPr>
                    <w:tcW w:w="2003" w:type="dxa"/>
                    <w:tcBorders>
                      <w:top w:val="single" w:sz="4" w:space="0" w:color="auto"/>
                    </w:tcBorders>
                    <w:shd w:val="clear" w:color="auto" w:fill="auto"/>
                  </w:tcPr>
                  <w:p>
                    <w:pPr>
                      <w:widowControl w:val="0"/>
                      <w:ind w:left="360"/>
                      <w:rPr>
                        <w:sz w:val="14"/>
                      </w:rPr>
                    </w:pPr>
                    <w:r>
                      <w:rPr>
                        <w:sz w:val="14"/>
                      </w:rPr>
                      <w:t>Dėmesys, regos analizatorius, dėmesio koncentra-</w:t>
                    </w:r>
                  </w:p>
                </w:tc>
                <w:tc>
                  <w:tcPr>
                    <w:tcW w:w="1892" w:type="dxa"/>
                    <w:tcBorders>
                      <w:top w:val="single" w:sz="4" w:space="0" w:color="auto"/>
                    </w:tcBorders>
                    <w:shd w:val="clear" w:color="auto" w:fill="auto"/>
                  </w:tcPr>
                  <w:p>
                    <w:pPr>
                      <w:widowControl w:val="0"/>
                      <w:ind w:left="360"/>
                      <w:rPr>
                        <w:sz w:val="14"/>
                      </w:rPr>
                    </w:pPr>
                    <w:r>
                      <w:rPr>
                        <w:sz w:val="14"/>
                      </w:rPr>
                      <w:t>Regėjimas su korekcija silpnesnis kaip 0,6 viena ir 0,3 – kita</w:t>
                    </w: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kasininkės</w:t>
                    </w:r>
                  </w:p>
                </w:tc>
                <w:tc>
                  <w:tcPr>
                    <w:tcW w:w="2003" w:type="dxa"/>
                    <w:shd w:val="clear" w:color="auto" w:fill="auto"/>
                  </w:tcPr>
                  <w:p>
                    <w:pPr>
                      <w:widowControl w:val="0"/>
                      <w:ind w:left="360"/>
                      <w:rPr>
                        <w:sz w:val="14"/>
                      </w:rPr>
                    </w:pPr>
                    <w:r>
                      <w:rPr>
                        <w:sz w:val="14"/>
                      </w:rPr>
                      <w:t>vimo trukmė į stebimus objektus</w:t>
                    </w:r>
                  </w:p>
                </w:tc>
                <w:tc>
                  <w:tcPr>
                    <w:tcW w:w="1892" w:type="dxa"/>
                    <w:shd w:val="clear" w:color="auto" w:fill="auto"/>
                  </w:tcPr>
                  <w:p>
                    <w:pPr>
                      <w:widowControl w:val="0"/>
                      <w:ind w:left="360"/>
                      <w:rPr>
                        <w:sz w:val="14"/>
                      </w:rPr>
                    </w:pPr>
                    <w:r>
                      <w:rPr>
                        <w:sz w:val="14"/>
                      </w:rPr>
                      <w:t>akimi</w:t>
                    </w: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33432</w:t>
                    </w: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5.</w:t>
                    </w:r>
                  </w:p>
                </w:tc>
                <w:tc>
                  <w:tcPr>
                    <w:tcW w:w="2442" w:type="dxa"/>
                    <w:tcBorders>
                      <w:top w:val="single" w:sz="4" w:space="0" w:color="auto"/>
                    </w:tcBorders>
                    <w:shd w:val="clear" w:color="auto" w:fill="auto"/>
                  </w:tcPr>
                  <w:p>
                    <w:pPr>
                      <w:widowControl w:val="0"/>
                      <w:ind w:left="360"/>
                      <w:rPr>
                        <w:sz w:val="14"/>
                      </w:rPr>
                    </w:pPr>
                    <w:r>
                      <w:rPr>
                        <w:sz w:val="14"/>
                      </w:rPr>
                      <w:t>Verslo organizatorių</w:t>
                    </w:r>
                  </w:p>
                </w:tc>
                <w:tc>
                  <w:tcPr>
                    <w:tcW w:w="2003" w:type="dxa"/>
                    <w:tcBorders>
                      <w:top w:val="single" w:sz="4" w:space="0" w:color="auto"/>
                    </w:tcBorders>
                    <w:shd w:val="clear" w:color="auto" w:fill="auto"/>
                  </w:tcPr>
                  <w:p>
                    <w:pPr>
                      <w:widowControl w:val="0"/>
                      <w:ind w:left="360"/>
                      <w:rPr>
                        <w:sz w:val="14"/>
                      </w:rPr>
                    </w:pPr>
                    <w:r>
                      <w:rPr>
                        <w:sz w:val="14"/>
                      </w:rPr>
                      <w:t>Darbo įtampa, dėmesys, informacinių signalų ir</w:t>
                    </w:r>
                  </w:p>
                </w:tc>
                <w:tc>
                  <w:tcPr>
                    <w:tcW w:w="1892" w:type="dxa"/>
                    <w:tcBorders>
                      <w:top w:val="single" w:sz="4" w:space="0" w:color="auto"/>
                    </w:tcBorders>
                    <w:shd w:val="clear" w:color="auto" w:fill="auto"/>
                  </w:tcPr>
                  <w:p>
                    <w:pPr>
                      <w:widowControl w:val="0"/>
                      <w:ind w:left="360"/>
                      <w:rPr>
                        <w:sz w:val="14"/>
                      </w:rPr>
                    </w:pPr>
                  </w:p>
                </w:tc>
                <w:tc>
                  <w:tcPr>
                    <w:tcW w:w="2264" w:type="dxa"/>
                    <w:tcBorders>
                      <w:top w:val="single" w:sz="4" w:space="0" w:color="auto"/>
                    </w:tcBorders>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33439</w:t>
                    </w:r>
                  </w:p>
                </w:tc>
                <w:tc>
                  <w:tcPr>
                    <w:tcW w:w="2003" w:type="dxa"/>
                    <w:tcBorders>
                      <w:bottom w:val="single" w:sz="4" w:space="0" w:color="auto"/>
                    </w:tcBorders>
                    <w:shd w:val="clear" w:color="auto" w:fill="auto"/>
                  </w:tcPr>
                  <w:p>
                    <w:pPr>
                      <w:widowControl w:val="0"/>
                      <w:ind w:left="360"/>
                      <w:rPr>
                        <w:sz w:val="14"/>
                      </w:rPr>
                    </w:pPr>
                    <w:r>
                      <w:rPr>
                        <w:sz w:val="14"/>
                      </w:rPr>
                      <w:t>pranešimų priėmimas, regos ir klausos analizatoriai</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6.</w:t>
                    </w:r>
                  </w:p>
                </w:tc>
                <w:tc>
                  <w:tcPr>
                    <w:tcW w:w="2442" w:type="dxa"/>
                    <w:tcBorders>
                      <w:top w:val="single" w:sz="4" w:space="0" w:color="auto"/>
                    </w:tcBorders>
                    <w:shd w:val="clear" w:color="auto" w:fill="auto"/>
                  </w:tcPr>
                  <w:p>
                    <w:pPr>
                      <w:widowControl w:val="0"/>
                      <w:ind w:left="360"/>
                      <w:rPr>
                        <w:sz w:val="14"/>
                      </w:rPr>
                    </w:pPr>
                    <w:r>
                      <w:rPr>
                        <w:sz w:val="14"/>
                      </w:rPr>
                      <w:t>Socialinių slaugytojų</w:t>
                    </w:r>
                  </w:p>
                </w:tc>
                <w:tc>
                  <w:tcPr>
                    <w:tcW w:w="2003" w:type="dxa"/>
                    <w:tcBorders>
                      <w:top w:val="single" w:sz="4" w:space="0" w:color="auto"/>
                    </w:tcBorders>
                    <w:shd w:val="clear" w:color="auto" w:fill="auto"/>
                  </w:tcPr>
                  <w:p>
                    <w:pPr>
                      <w:widowControl w:val="0"/>
                      <w:ind w:left="360"/>
                      <w:rPr>
                        <w:sz w:val="14"/>
                      </w:rPr>
                    </w:pPr>
                    <w:r>
                      <w:rPr>
                        <w:sz w:val="14"/>
                      </w:rPr>
                      <w:t xml:space="preserve">Judėjimo atstumas, krovinio pernešimas, darbo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35012</w:t>
                    </w:r>
                  </w:p>
                </w:tc>
                <w:tc>
                  <w:tcPr>
                    <w:tcW w:w="2003" w:type="dxa"/>
                    <w:shd w:val="clear" w:color="auto" w:fill="auto"/>
                  </w:tcPr>
                  <w:p>
                    <w:pPr>
                      <w:widowControl w:val="0"/>
                      <w:ind w:left="360"/>
                      <w:rPr>
                        <w:sz w:val="14"/>
                      </w:rPr>
                    </w:pPr>
                    <w:r>
                      <w:rPr>
                        <w:sz w:val="14"/>
                      </w:rPr>
                      <w:t>įtampa, dėmesys, informacinių signalų ir pranešimų</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priėmimas, regos ir klausos analizatoriai</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Šizofrenija, esant rezistentiškų gydymui sutrikimų bei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ligai sparčiai progresuojant</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Centrinės nervų sistemos susirgimų ar traumų padariniai,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kai yra funkcijos sutrikimų bei intelekto pakitimų,</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trukdančių profesinei veiklai</w:t>
                    </w:r>
                  </w:p>
                </w:tc>
              </w:tr>
              <w:tr>
                <w:tc>
                  <w:tcPr>
                    <w:tcW w:w="1209" w:type="dxa"/>
                    <w:tcBorders>
                      <w:top w:val="single" w:sz="4" w:space="0" w:color="auto"/>
                    </w:tcBorders>
                    <w:shd w:val="clear" w:color="auto" w:fill="auto"/>
                  </w:tcPr>
                  <w:p>
                    <w:pPr>
                      <w:widowControl w:val="0"/>
                      <w:ind w:left="360"/>
                      <w:rPr>
                        <w:sz w:val="14"/>
                      </w:rPr>
                    </w:pPr>
                    <w:r>
                      <w:rPr>
                        <w:sz w:val="14"/>
                      </w:rPr>
                      <w:t>7.</w:t>
                    </w:r>
                  </w:p>
                </w:tc>
                <w:tc>
                  <w:tcPr>
                    <w:tcW w:w="2442" w:type="dxa"/>
                    <w:tcBorders>
                      <w:top w:val="single" w:sz="4" w:space="0" w:color="auto"/>
                    </w:tcBorders>
                    <w:shd w:val="clear" w:color="auto" w:fill="auto"/>
                  </w:tcPr>
                  <w:p>
                    <w:pPr>
                      <w:widowControl w:val="0"/>
                      <w:ind w:left="360"/>
                      <w:rPr>
                        <w:sz w:val="14"/>
                      </w:rPr>
                    </w:pPr>
                    <w:r>
                      <w:rPr>
                        <w:sz w:val="14"/>
                      </w:rPr>
                      <w:t>Ortopedų – protezuotojų</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rankų </w:t>
                    </w:r>
                  </w:p>
                </w:tc>
                <w:tc>
                  <w:tcPr>
                    <w:tcW w:w="1892" w:type="dxa"/>
                    <w:tcBorders>
                      <w:top w:val="single" w:sz="4" w:space="0" w:color="auto"/>
                    </w:tcBorders>
                    <w:shd w:val="clear" w:color="auto" w:fill="auto"/>
                  </w:tcPr>
                  <w:p>
                    <w:pPr>
                      <w:widowControl w:val="0"/>
                      <w:ind w:left="360"/>
                      <w:rPr>
                        <w:sz w:val="14"/>
                      </w:rPr>
                    </w:pPr>
                    <w:r>
                      <w:rPr>
                        <w:sz w:val="14"/>
                      </w:rPr>
                      <w:t>Plaštakos funkcijos ryškūs sutrikimai, trukdantys profesinei</w:t>
                    </w: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35099</w:t>
                    </w:r>
                  </w:p>
                </w:tc>
                <w:tc>
                  <w:tcPr>
                    <w:tcW w:w="2003" w:type="dxa"/>
                    <w:shd w:val="clear" w:color="auto" w:fill="auto"/>
                  </w:tcPr>
                  <w:p>
                    <w:pPr>
                      <w:widowControl w:val="0"/>
                      <w:ind w:left="360"/>
                      <w:rPr>
                        <w:sz w:val="14"/>
                      </w:rPr>
                    </w:pPr>
                    <w:r>
                      <w:rPr>
                        <w:sz w:val="14"/>
                      </w:rPr>
                      <w:t xml:space="preserve">pirštų, pečių juostos raumenims, darbo poza, </w:t>
                    </w:r>
                  </w:p>
                </w:tc>
                <w:tc>
                  <w:tcPr>
                    <w:tcW w:w="1892" w:type="dxa"/>
                    <w:shd w:val="clear" w:color="auto" w:fill="auto"/>
                  </w:tcPr>
                  <w:p>
                    <w:pPr>
                      <w:widowControl w:val="0"/>
                      <w:ind w:left="360"/>
                      <w:rPr>
                        <w:sz w:val="14"/>
                      </w:rPr>
                    </w:pPr>
                    <w:r>
                      <w:rPr>
                        <w:sz w:val="14"/>
                      </w:rPr>
                      <w:t>veiklai</w:t>
                    </w: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r>
                      <w:rPr>
                        <w:sz w:val="14"/>
                      </w:rPr>
                      <w:t>liemens palenkimai, regos analizatorius</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8.</w:t>
                    </w:r>
                  </w:p>
                </w:tc>
                <w:tc>
                  <w:tcPr>
                    <w:tcW w:w="2442" w:type="dxa"/>
                    <w:tcBorders>
                      <w:top w:val="single" w:sz="4" w:space="0" w:color="auto"/>
                    </w:tcBorders>
                    <w:shd w:val="clear" w:color="auto" w:fill="auto"/>
                  </w:tcPr>
                  <w:p>
                    <w:pPr>
                      <w:widowControl w:val="0"/>
                      <w:ind w:left="360"/>
                      <w:rPr>
                        <w:sz w:val="14"/>
                      </w:rPr>
                    </w:pPr>
                    <w:r>
                      <w:rPr>
                        <w:sz w:val="14"/>
                      </w:rPr>
                      <w:t>Maisto pramonės ir mais-</w:t>
                    </w:r>
                  </w:p>
                </w:tc>
                <w:tc>
                  <w:tcPr>
                    <w:tcW w:w="2003" w:type="dxa"/>
                    <w:tcBorders>
                      <w:top w:val="single" w:sz="4" w:space="0" w:color="auto"/>
                    </w:tcBorders>
                    <w:shd w:val="clear" w:color="auto" w:fill="auto"/>
                  </w:tcPr>
                  <w:p>
                    <w:pPr>
                      <w:widowControl w:val="0"/>
                      <w:ind w:left="360"/>
                      <w:rPr>
                        <w:sz w:val="14"/>
                      </w:rPr>
                    </w:pPr>
                    <w:r>
                      <w:rPr>
                        <w:sz w:val="14"/>
                      </w:rPr>
                      <w:t xml:space="preserve">Judėjimo atstumas, stereotipiniai darbo judesiai,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Grybelinės, pūlingos plaštakų odos ligos su dažnais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to ruošimo specialisto</w:t>
                    </w:r>
                  </w:p>
                </w:tc>
                <w:tc>
                  <w:tcPr>
                    <w:tcW w:w="2003" w:type="dxa"/>
                    <w:shd w:val="clear" w:color="auto" w:fill="auto"/>
                  </w:tcPr>
                  <w:p>
                    <w:pPr>
                      <w:widowControl w:val="0"/>
                      <w:ind w:left="360"/>
                      <w:rPr>
                        <w:sz w:val="14"/>
                      </w:rPr>
                    </w:pPr>
                    <w:r>
                      <w:rPr>
                        <w:sz w:val="14"/>
                      </w:rPr>
                      <w:t xml:space="preserve">dalyvaujant rankų pirštų ir plaštakos raumenims,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paūmėjimais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35212</w:t>
                    </w:r>
                  </w:p>
                </w:tc>
                <w:tc>
                  <w:tcPr>
                    <w:tcW w:w="2003" w:type="dxa"/>
                    <w:shd w:val="clear" w:color="auto" w:fill="auto"/>
                  </w:tcPr>
                  <w:p>
                    <w:pPr>
                      <w:widowControl w:val="0"/>
                      <w:ind w:left="360"/>
                      <w:rPr>
                        <w:sz w:val="14"/>
                      </w:rPr>
                    </w:pPr>
                    <w:r>
                      <w:rPr>
                        <w:sz w:val="14"/>
                      </w:rPr>
                      <w:t>dėmesys, regos ir klausos analizatoriai,</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Epilepsija su dažnais paroksizmais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mėsininkui – darbo poza, pasilenkimai,</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r>
                      <w:rPr>
                        <w:sz w:val="14"/>
                      </w:rPr>
                      <w:t>virėjui – aukšta temperatūra</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9.</w:t>
                    </w:r>
                  </w:p>
                </w:tc>
                <w:tc>
                  <w:tcPr>
                    <w:tcW w:w="2442" w:type="dxa"/>
                    <w:tcBorders>
                      <w:top w:val="single" w:sz="4" w:space="0" w:color="auto"/>
                    </w:tcBorders>
                    <w:shd w:val="clear" w:color="auto" w:fill="auto"/>
                  </w:tcPr>
                  <w:p>
                    <w:pPr>
                      <w:widowControl w:val="0"/>
                      <w:ind w:left="360"/>
                      <w:rPr>
                        <w:sz w:val="14"/>
                      </w:rPr>
                    </w:pPr>
                    <w:r>
                      <w:rPr>
                        <w:sz w:val="14"/>
                      </w:rPr>
                      <w:t>Statybininkų, pastatų res-</w:t>
                    </w:r>
                  </w:p>
                </w:tc>
                <w:tc>
                  <w:tcPr>
                    <w:tcW w:w="2003" w:type="dxa"/>
                    <w:tcBorders>
                      <w:top w:val="single" w:sz="4" w:space="0" w:color="auto"/>
                    </w:tcBorders>
                    <w:shd w:val="clear" w:color="auto" w:fill="auto"/>
                  </w:tcPr>
                  <w:p>
                    <w:pPr>
                      <w:widowControl w:val="0"/>
                      <w:ind w:left="360"/>
                      <w:rPr>
                        <w:sz w:val="14"/>
                      </w:rPr>
                    </w:pPr>
                    <w:r>
                      <w:rPr>
                        <w:sz w:val="14"/>
                      </w:rPr>
                      <w:t xml:space="preserve">Oro temperatūra, apšvita, judrus darbas, krovinio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Skeleto -raumenų sistemos defektai,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tauratorių, elektromontuo-</w:t>
                    </w:r>
                  </w:p>
                </w:tc>
                <w:tc>
                  <w:tcPr>
                    <w:tcW w:w="2003" w:type="dxa"/>
                    <w:shd w:val="clear" w:color="auto" w:fill="auto"/>
                  </w:tcPr>
                  <w:p>
                    <w:pPr>
                      <w:widowControl w:val="0"/>
                      <w:ind w:left="360"/>
                      <w:rPr>
                        <w:sz w:val="14"/>
                      </w:rPr>
                    </w:pPr>
                    <w:r>
                      <w:rPr>
                        <w:sz w:val="14"/>
                      </w:rPr>
                      <w:t xml:space="preserve">kėlimas, pernešimas, stereotipiniai darbo judesiai,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tojų, mūro montuotojų ir </w:t>
                    </w:r>
                  </w:p>
                </w:tc>
                <w:tc>
                  <w:tcPr>
                    <w:tcW w:w="2003" w:type="dxa"/>
                    <w:shd w:val="clear" w:color="auto" w:fill="auto"/>
                  </w:tcPr>
                  <w:p>
                    <w:pPr>
                      <w:widowControl w:val="0"/>
                      <w:ind w:left="360"/>
                      <w:rPr>
                        <w:sz w:val="14"/>
                      </w:rPr>
                    </w:pPr>
                    <w:r>
                      <w:rPr>
                        <w:sz w:val="14"/>
                      </w:rPr>
                      <w:t xml:space="preserve">dalyvaujant rankų, pečių juostos raumenims,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Rankų 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betonuotojų, santechnikų</w:t>
                    </w:r>
                  </w:p>
                </w:tc>
                <w:tc>
                  <w:tcPr>
                    <w:tcW w:w="2003" w:type="dxa"/>
                    <w:shd w:val="clear" w:color="auto" w:fill="auto"/>
                  </w:tcPr>
                  <w:p>
                    <w:pPr>
                      <w:widowControl w:val="0"/>
                      <w:ind w:left="360"/>
                      <w:rPr>
                        <w:sz w:val="14"/>
                      </w:rPr>
                    </w:pPr>
                    <w:r>
                      <w:rPr>
                        <w:sz w:val="14"/>
                      </w:rPr>
                      <w:t xml:space="preserve">statinis krūvis, darbo poza, liemens palenkimai,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35216</w:t>
                    </w:r>
                  </w:p>
                </w:tc>
                <w:tc>
                  <w:tcPr>
                    <w:tcW w:w="2003" w:type="dxa"/>
                    <w:shd w:val="clear" w:color="auto" w:fill="auto"/>
                  </w:tcPr>
                  <w:p>
                    <w:pPr>
                      <w:widowControl w:val="0"/>
                      <w:ind w:left="360"/>
                      <w:rPr>
                        <w:sz w:val="14"/>
                      </w:rPr>
                    </w:pPr>
                    <w:r>
                      <w:rPr>
                        <w:sz w:val="14"/>
                      </w:rPr>
                      <w:t xml:space="preserve">judėjimo atstumas, įtampa, dėmesys, regos ir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Epilepsija ir kiti sąmonės netekimai dirbant aukštyje</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klausos analizatoriai, monotonija</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Centrinės nervų sistemos susirgimų ar traumų padariniai,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kai yra funkcijos sutrikimų, trukdančių 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Miopija didesnė kaip 8,0 D (esant fizinei įtampai)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6.</w:t>
                    </w:r>
                  </w:p>
                </w:tc>
                <w:tc>
                  <w:tcPr>
                    <w:tcW w:w="2264" w:type="dxa"/>
                    <w:shd w:val="clear" w:color="auto" w:fill="auto"/>
                  </w:tcPr>
                  <w:p>
                    <w:pPr>
                      <w:widowControl w:val="0"/>
                      <w:ind w:left="360"/>
                      <w:rPr>
                        <w:sz w:val="14"/>
                      </w:rPr>
                    </w:pPr>
                    <w:r>
                      <w:rPr>
                        <w:sz w:val="14"/>
                      </w:rPr>
                      <w:t>Regėjimas su korekcija silpnesnis kaip 0,6 viena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0,3 – kita akimi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7.</w:t>
                    </w:r>
                  </w:p>
                </w:tc>
                <w:tc>
                  <w:tcPr>
                    <w:tcW w:w="2264" w:type="dxa"/>
                    <w:shd w:val="clear" w:color="auto" w:fill="auto"/>
                  </w:tcPr>
                  <w:p>
                    <w:pPr>
                      <w:widowControl w:val="0"/>
                      <w:ind w:left="360"/>
                      <w:rPr>
                        <w:sz w:val="14"/>
                      </w:rPr>
                    </w:pPr>
                    <w:r>
                      <w:rPr>
                        <w:sz w:val="14"/>
                      </w:rPr>
                      <w:t>Bronchinė astma su ryškiu kvėpavimo funkcijos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sutrikimu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8.</w:t>
                    </w:r>
                  </w:p>
                </w:tc>
                <w:tc>
                  <w:tcPr>
                    <w:tcW w:w="2264" w:type="dxa"/>
                    <w:shd w:val="clear" w:color="auto" w:fill="auto"/>
                  </w:tcPr>
                  <w:p>
                    <w:pPr>
                      <w:widowControl w:val="0"/>
                      <w:ind w:left="360"/>
                      <w:rPr>
                        <w:sz w:val="14"/>
                      </w:rPr>
                    </w:pPr>
                    <w:r>
                      <w:rPr>
                        <w:sz w:val="14"/>
                      </w:rPr>
                      <w:t xml:space="preserve">Širdies ir kraujagyslių sistemos ligos su ryškiu </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kraujotakos nepakankamumu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9.</w:t>
                    </w:r>
                  </w:p>
                </w:tc>
                <w:tc>
                  <w:tcPr>
                    <w:tcW w:w="2264" w:type="dxa"/>
                    <w:shd w:val="clear" w:color="auto" w:fill="auto"/>
                  </w:tcPr>
                  <w:p>
                    <w:pPr>
                      <w:widowControl w:val="0"/>
                      <w:ind w:left="360"/>
                      <w:rPr>
                        <w:sz w:val="14"/>
                      </w:rPr>
                    </w:pPr>
                    <w:r>
                      <w:rPr>
                        <w:sz w:val="14"/>
                      </w:rPr>
                      <w:t>Vestibulinės funkcijos ryškus sutrikimas (dirbant</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aukštyje)</w:t>
                    </w:r>
                  </w:p>
                </w:tc>
              </w:tr>
              <w:tr>
                <w:tc>
                  <w:tcPr>
                    <w:tcW w:w="1209" w:type="dxa"/>
                    <w:tcBorders>
                      <w:top w:val="single" w:sz="4" w:space="0" w:color="auto"/>
                    </w:tcBorders>
                    <w:shd w:val="clear" w:color="auto" w:fill="auto"/>
                  </w:tcPr>
                  <w:p>
                    <w:pPr>
                      <w:widowControl w:val="0"/>
                      <w:ind w:left="360"/>
                      <w:rPr>
                        <w:sz w:val="14"/>
                      </w:rPr>
                    </w:pPr>
                    <w:r>
                      <w:rPr>
                        <w:sz w:val="14"/>
                      </w:rPr>
                      <w:t>10.</w:t>
                    </w:r>
                  </w:p>
                </w:tc>
                <w:tc>
                  <w:tcPr>
                    <w:tcW w:w="2442" w:type="dxa"/>
                    <w:tcBorders>
                      <w:top w:val="single" w:sz="4" w:space="0" w:color="auto"/>
                    </w:tcBorders>
                    <w:shd w:val="clear" w:color="auto" w:fill="auto"/>
                  </w:tcPr>
                  <w:p>
                    <w:pPr>
                      <w:widowControl w:val="0"/>
                      <w:ind w:left="360"/>
                      <w:rPr>
                        <w:sz w:val="14"/>
                      </w:rPr>
                    </w:pPr>
                    <w:r>
                      <w:rPr>
                        <w:sz w:val="14"/>
                      </w:rPr>
                      <w:t xml:space="preserve">Elektromechanikų, </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rankų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Miopija didesnė nei 6,0 D</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elektros įrenginių, radijo </w:t>
                    </w:r>
                  </w:p>
                </w:tc>
                <w:tc>
                  <w:tcPr>
                    <w:tcW w:w="2003" w:type="dxa"/>
                    <w:shd w:val="clear" w:color="auto" w:fill="auto"/>
                  </w:tcPr>
                  <w:p>
                    <w:pPr>
                      <w:widowControl w:val="0"/>
                      <w:ind w:left="360"/>
                      <w:rPr>
                        <w:sz w:val="14"/>
                      </w:rPr>
                    </w:pPr>
                    <w:r>
                      <w:rPr>
                        <w:sz w:val="14"/>
                      </w:rPr>
                      <w:t xml:space="preserve">plaštakos ir pirštų, pečių juostos raumenims,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Regėjimas su korekcija silpnesnis kaip 0,8 viena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ir televizijos aparatūros </w:t>
                    </w:r>
                  </w:p>
                </w:tc>
                <w:tc>
                  <w:tcPr>
                    <w:tcW w:w="2003" w:type="dxa"/>
                    <w:shd w:val="clear" w:color="auto" w:fill="auto"/>
                  </w:tcPr>
                  <w:p>
                    <w:pPr>
                      <w:widowControl w:val="0"/>
                      <w:ind w:left="360"/>
                      <w:rPr>
                        <w:sz w:val="14"/>
                      </w:rPr>
                    </w:pPr>
                    <w:r>
                      <w:rPr>
                        <w:sz w:val="14"/>
                      </w:rPr>
                      <w:t xml:space="preserve">darbo poza, pasilenkimai, darbo įtampa, dėmesys,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0,7 – kita akimi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taisytojų</w:t>
                    </w:r>
                  </w:p>
                </w:tc>
                <w:tc>
                  <w:tcPr>
                    <w:tcW w:w="2003" w:type="dxa"/>
                    <w:shd w:val="clear" w:color="auto" w:fill="auto"/>
                  </w:tcPr>
                  <w:p>
                    <w:pPr>
                      <w:widowControl w:val="0"/>
                      <w:ind w:left="360"/>
                      <w:rPr>
                        <w:sz w:val="14"/>
                      </w:rPr>
                    </w:pPr>
                    <w:r>
                      <w:rPr>
                        <w:sz w:val="14"/>
                      </w:rPr>
                      <w:t xml:space="preserve">regos ir klausos analizatoriai, informacinių signalų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Binokulinio matymo sutrikimas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35222</w:t>
                    </w:r>
                  </w:p>
                </w:tc>
                <w:tc>
                  <w:tcPr>
                    <w:tcW w:w="2003" w:type="dxa"/>
                    <w:shd w:val="clear" w:color="auto" w:fill="auto"/>
                  </w:tcPr>
                  <w:p>
                    <w:pPr>
                      <w:widowControl w:val="0"/>
                      <w:ind w:left="360"/>
                      <w:rPr>
                        <w:sz w:val="14"/>
                      </w:rPr>
                    </w:pPr>
                    <w:r>
                      <w:rPr>
                        <w:sz w:val="14"/>
                      </w:rPr>
                      <w:t>priėmimas, monotonija</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Plaštakos funkcijos ryškus sutrikimai, trukdantys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profesinei veiklai</w:t>
                    </w:r>
                  </w:p>
                </w:tc>
              </w:tr>
              <w:tr>
                <w:tc>
                  <w:tcPr>
                    <w:tcW w:w="1209" w:type="dxa"/>
                    <w:tcBorders>
                      <w:top w:val="single" w:sz="4" w:space="0" w:color="auto"/>
                    </w:tcBorders>
                    <w:shd w:val="clear" w:color="auto" w:fill="auto"/>
                  </w:tcPr>
                  <w:p>
                    <w:pPr>
                      <w:widowControl w:val="0"/>
                      <w:ind w:left="360"/>
                      <w:rPr>
                        <w:sz w:val="14"/>
                      </w:rPr>
                    </w:pPr>
                    <w:r>
                      <w:rPr>
                        <w:sz w:val="14"/>
                      </w:rPr>
                      <w:t>11.</w:t>
                    </w:r>
                  </w:p>
                </w:tc>
                <w:tc>
                  <w:tcPr>
                    <w:tcW w:w="2442" w:type="dxa"/>
                    <w:tcBorders>
                      <w:top w:val="single" w:sz="4" w:space="0" w:color="auto"/>
                    </w:tcBorders>
                    <w:shd w:val="clear" w:color="auto" w:fill="auto"/>
                  </w:tcPr>
                  <w:p>
                    <w:pPr>
                      <w:widowControl w:val="0"/>
                      <w:ind w:left="360"/>
                      <w:rPr>
                        <w:sz w:val="14"/>
                      </w:rPr>
                    </w:pPr>
                    <w:r>
                      <w:rPr>
                        <w:sz w:val="14"/>
                      </w:rPr>
                      <w:t xml:space="preserve">Kalvių, metalo apdirbimo </w:t>
                    </w:r>
                  </w:p>
                </w:tc>
                <w:tc>
                  <w:tcPr>
                    <w:tcW w:w="2003" w:type="dxa"/>
                    <w:tcBorders>
                      <w:top w:val="single" w:sz="4" w:space="0" w:color="auto"/>
                    </w:tcBorders>
                    <w:shd w:val="clear" w:color="auto" w:fill="auto"/>
                  </w:tcPr>
                  <w:p>
                    <w:pPr>
                      <w:widowControl w:val="0"/>
                      <w:ind w:left="360"/>
                      <w:rPr>
                        <w:sz w:val="14"/>
                      </w:rPr>
                    </w:pPr>
                    <w:r>
                      <w:rPr>
                        <w:sz w:val="14"/>
                      </w:rPr>
                      <w:t xml:space="preserve">Aukšta temperatūra, apšvita, judrus darbas,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Regėjimas be korekcijos silpnesnis kaip 0,8 viena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staklininkų, suvirintojų, </w:t>
                    </w:r>
                  </w:p>
                </w:tc>
                <w:tc>
                  <w:tcPr>
                    <w:tcW w:w="2003" w:type="dxa"/>
                    <w:shd w:val="clear" w:color="auto" w:fill="auto"/>
                  </w:tcPr>
                  <w:p>
                    <w:pPr>
                      <w:widowControl w:val="0"/>
                      <w:ind w:left="360"/>
                      <w:rPr>
                        <w:sz w:val="14"/>
                      </w:rPr>
                    </w:pPr>
                    <w:r>
                      <w:rPr>
                        <w:sz w:val="14"/>
                      </w:rPr>
                      <w:t xml:space="preserve">stereotipiniai darbo judesiai, dalyvaujant rankų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0,7 – kita akimi (suvirintojas dirba su apsauginiais akiniais)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šaltkalvių</w:t>
                    </w:r>
                  </w:p>
                </w:tc>
                <w:tc>
                  <w:tcPr>
                    <w:tcW w:w="2003" w:type="dxa"/>
                    <w:shd w:val="clear" w:color="auto" w:fill="auto"/>
                  </w:tcPr>
                  <w:p>
                    <w:pPr>
                      <w:widowControl w:val="0"/>
                      <w:ind w:left="360"/>
                      <w:rPr>
                        <w:sz w:val="14"/>
                      </w:rPr>
                    </w:pPr>
                    <w:r>
                      <w:rPr>
                        <w:sz w:val="14"/>
                      </w:rPr>
                      <w:t xml:space="preserve">plaštakos ir pirštų, pečių juostos raumenims,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Epilepsija</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35232</w:t>
                    </w:r>
                  </w:p>
                </w:tc>
                <w:tc>
                  <w:tcPr>
                    <w:tcW w:w="2003" w:type="dxa"/>
                    <w:shd w:val="clear" w:color="auto" w:fill="auto"/>
                  </w:tcPr>
                  <w:p>
                    <w:pPr>
                      <w:widowControl w:val="0"/>
                      <w:ind w:left="360"/>
                      <w:rPr>
                        <w:sz w:val="14"/>
                      </w:rPr>
                    </w:pPr>
                    <w:r>
                      <w:rPr>
                        <w:sz w:val="14"/>
                      </w:rPr>
                      <w:t xml:space="preserve">darbo poza, liemens palenkimai, jonizuojančioji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spinduliuotė, aerozoliai, metalų dulkės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Lėtinės plaučių ligos su ryškiu kvėpavimo funkcijos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sutrikimu</w:t>
                    </w:r>
                  </w:p>
                </w:tc>
              </w:tr>
              <w:tr>
                <w:tc>
                  <w:tcPr>
                    <w:tcW w:w="1209" w:type="dxa"/>
                    <w:tcBorders>
                      <w:top w:val="single" w:sz="4" w:space="0" w:color="auto"/>
                    </w:tcBorders>
                    <w:shd w:val="clear" w:color="auto" w:fill="auto"/>
                  </w:tcPr>
                  <w:p>
                    <w:pPr>
                      <w:widowControl w:val="0"/>
                      <w:ind w:left="360"/>
                      <w:rPr>
                        <w:sz w:val="14"/>
                      </w:rPr>
                    </w:pPr>
                    <w:r>
                      <w:rPr>
                        <w:sz w:val="14"/>
                      </w:rPr>
                      <w:t>12.</w:t>
                    </w:r>
                  </w:p>
                </w:tc>
                <w:tc>
                  <w:tcPr>
                    <w:tcW w:w="2442" w:type="dxa"/>
                    <w:tcBorders>
                      <w:top w:val="single" w:sz="4" w:space="0" w:color="auto"/>
                    </w:tcBorders>
                    <w:shd w:val="clear" w:color="auto" w:fill="auto"/>
                  </w:tcPr>
                  <w:p>
                    <w:pPr>
                      <w:widowControl w:val="0"/>
                      <w:ind w:left="360"/>
                      <w:rPr>
                        <w:sz w:val="14"/>
                      </w:rPr>
                    </w:pPr>
                    <w:r>
                      <w:rPr>
                        <w:sz w:val="14"/>
                      </w:rPr>
                      <w:t>Automechanikų automo-</w:t>
                    </w:r>
                  </w:p>
                </w:tc>
                <w:tc>
                  <w:tcPr>
                    <w:tcW w:w="2003" w:type="dxa"/>
                    <w:tcBorders>
                      <w:top w:val="single" w:sz="4" w:space="0" w:color="auto"/>
                    </w:tcBorders>
                    <w:shd w:val="clear" w:color="auto" w:fill="auto"/>
                  </w:tcPr>
                  <w:p>
                    <w:pPr>
                      <w:widowControl w:val="0"/>
                      <w:ind w:left="360"/>
                      <w:rPr>
                        <w:sz w:val="14"/>
                      </w:rPr>
                    </w:pPr>
                    <w:r>
                      <w:rPr>
                        <w:sz w:val="14"/>
                      </w:rPr>
                      <w:t xml:space="preserve">Oro temperatūra, apšvieta, judrus darbas, krovinio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Miopija didesnė kaip 6,0</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bilių kėbulų remontininkų, </w:t>
                    </w:r>
                  </w:p>
                </w:tc>
                <w:tc>
                  <w:tcPr>
                    <w:tcW w:w="2003" w:type="dxa"/>
                    <w:shd w:val="clear" w:color="auto" w:fill="auto"/>
                  </w:tcPr>
                  <w:p>
                    <w:pPr>
                      <w:widowControl w:val="0"/>
                      <w:ind w:left="360"/>
                      <w:rPr>
                        <w:sz w:val="14"/>
                      </w:rPr>
                    </w:pPr>
                    <w:r>
                      <w:rPr>
                        <w:sz w:val="14"/>
                      </w:rPr>
                      <w:t xml:space="preserve">kėlimas, pernešimas, stereotipiniai darbo judesiai,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Regėjimas su korekcija silpnesnis kaip 0,5 viena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lengvosios pramonės </w:t>
                    </w:r>
                  </w:p>
                </w:tc>
                <w:tc>
                  <w:tcPr>
                    <w:tcW w:w="2003" w:type="dxa"/>
                    <w:shd w:val="clear" w:color="auto" w:fill="auto"/>
                  </w:tcPr>
                  <w:p>
                    <w:pPr>
                      <w:widowControl w:val="0"/>
                      <w:ind w:left="360"/>
                      <w:rPr>
                        <w:sz w:val="14"/>
                      </w:rPr>
                    </w:pPr>
                    <w:r>
                      <w:rPr>
                        <w:sz w:val="14"/>
                      </w:rPr>
                      <w:t>darbo poza, liemens palenkimas, judėjimo atstumas,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0,2 – kita akimi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mašinų mechanikų, </w:t>
                    </w:r>
                  </w:p>
                </w:tc>
                <w:tc>
                  <w:tcPr>
                    <w:tcW w:w="2003" w:type="dxa"/>
                    <w:shd w:val="clear" w:color="auto" w:fill="auto"/>
                  </w:tcPr>
                  <w:p>
                    <w:pPr>
                      <w:widowControl w:val="0"/>
                      <w:ind w:left="360"/>
                      <w:rPr>
                        <w:sz w:val="14"/>
                      </w:rPr>
                    </w:pPr>
                    <w:r>
                      <w:rPr>
                        <w:sz w:val="14"/>
                      </w:rPr>
                      <w:t>dėmesys, regos ir klausos analizatoriai, informacinių</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 xml:space="preserve">Klausos susilpnėjimas (tikrinant šnabždesiu iki </w:t>
                    </w:r>
                    <w:smartTag w:uri="urn:schemas-microsoft-com:office:smarttags" w:element="metricconverter">
                      <w:smartTagPr>
                        <w:attr w:name="ProductID" w:val="3 m"/>
                      </w:smartTagPr>
                      <w:r>
                        <w:rPr>
                          <w:sz w:val="14"/>
                        </w:rPr>
                        <w:t>3 m</w:t>
                      </w:r>
                    </w:smartTag>
                    <w:r>
                      <w:rPr>
                        <w:sz w:val="14"/>
                      </w:rPr>
                      <w:t>)</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žemės ūkio technikos </w:t>
                    </w:r>
                  </w:p>
                </w:tc>
                <w:tc>
                  <w:tcPr>
                    <w:tcW w:w="2003" w:type="dxa"/>
                    <w:shd w:val="clear" w:color="auto" w:fill="auto"/>
                  </w:tcPr>
                  <w:p>
                    <w:pPr>
                      <w:widowControl w:val="0"/>
                      <w:ind w:left="360"/>
                      <w:rPr>
                        <w:sz w:val="14"/>
                      </w:rPr>
                    </w:pPr>
                    <w:r>
                      <w:rPr>
                        <w:sz w:val="14"/>
                      </w:rPr>
                      <w:t>signalų priėmimas, monotonija</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mechanikų,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ryšių įrenginių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mechanikų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35242</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Lėktuvų mechaniko</w:t>
                    </w: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Vadovautis aviacijos darbuotojų tikrinimo tvarka</w:t>
                    </w: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13.</w:t>
                    </w:r>
                  </w:p>
                </w:tc>
                <w:tc>
                  <w:tcPr>
                    <w:tcW w:w="2442" w:type="dxa"/>
                    <w:tcBorders>
                      <w:top w:val="single" w:sz="4" w:space="0" w:color="auto"/>
                    </w:tcBorders>
                    <w:shd w:val="clear" w:color="auto" w:fill="auto"/>
                  </w:tcPr>
                  <w:p>
                    <w:pPr>
                      <w:widowControl w:val="0"/>
                      <w:ind w:left="360"/>
                      <w:rPr>
                        <w:sz w:val="14"/>
                      </w:rPr>
                    </w:pPr>
                    <w:r>
                      <w:rPr>
                        <w:sz w:val="14"/>
                      </w:rPr>
                      <w:t>13.1. Baldžių, stalių</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judrus darbas,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Miopija didesnė nei 6,0 (esant fizinei įtampai)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krovinio kėlimas, pernešimas, statinis krūvis,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Regėjimas su korekcija silpnesnis kaip 0,5 viena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darbo poza, liemens palenkimai, judėjimo atstumas,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0,2 – kita akimi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firstLine="36"/>
                      <w:rPr>
                        <w:sz w:val="14"/>
                      </w:rPr>
                    </w:pPr>
                    <w:r>
                      <w:rPr>
                        <w:sz w:val="14"/>
                      </w:rPr>
                      <w:t xml:space="preserve">medienos dulkės, lakios medžiagos,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aerozoliai</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Lėtinės plaučių ligos su ryškiu funkcijos sutrikimu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13.2. Miško ruošos ir </w:t>
                    </w:r>
                  </w:p>
                </w:tc>
                <w:tc>
                  <w:tcPr>
                    <w:tcW w:w="2003" w:type="dxa"/>
                    <w:shd w:val="clear" w:color="auto" w:fill="auto"/>
                  </w:tcPr>
                  <w:p>
                    <w:pPr>
                      <w:widowControl w:val="0"/>
                      <w:ind w:left="360"/>
                      <w:rPr>
                        <w:sz w:val="14"/>
                      </w:rPr>
                    </w:pPr>
                    <w:r>
                      <w:rPr>
                        <w:sz w:val="14"/>
                      </w:rPr>
                      <w:t xml:space="preserve">Vibracija, oro temperatūra, stereotipiniai darbo </w:t>
                    </w: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Cukrinis (nekompensuotas) diabetas – miško ruošos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medienos apdirbėjų</w:t>
                    </w:r>
                  </w:p>
                </w:tc>
                <w:tc>
                  <w:tcPr>
                    <w:tcW w:w="2003" w:type="dxa"/>
                    <w:shd w:val="clear" w:color="auto" w:fill="auto"/>
                  </w:tcPr>
                  <w:p>
                    <w:pPr>
                      <w:widowControl w:val="0"/>
                      <w:ind w:left="360"/>
                      <w:rPr>
                        <w:sz w:val="14"/>
                      </w:rPr>
                    </w:pPr>
                    <w:r>
                      <w:rPr>
                        <w:sz w:val="14"/>
                      </w:rPr>
                      <w:t xml:space="preserve">judesiai, dalyvaujant rankų plaštakos ir pirštų,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specialistams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pečių juostos raumenims, darbo įtampa, dėmesys, </w:t>
                    </w:r>
                  </w:p>
                </w:tc>
                <w:tc>
                  <w:tcPr>
                    <w:tcW w:w="1892" w:type="dxa"/>
                    <w:shd w:val="clear" w:color="auto" w:fill="auto"/>
                  </w:tcPr>
                  <w:p>
                    <w:pPr>
                      <w:widowControl w:val="0"/>
                      <w:ind w:left="360"/>
                      <w:rPr>
                        <w:sz w:val="14"/>
                      </w:rPr>
                    </w:pPr>
                    <w:r>
                      <w:rPr>
                        <w:sz w:val="14"/>
                      </w:rPr>
                      <w:t>6.</w:t>
                    </w:r>
                  </w:p>
                </w:tc>
                <w:tc>
                  <w:tcPr>
                    <w:tcW w:w="2264" w:type="dxa"/>
                    <w:shd w:val="clear" w:color="auto" w:fill="auto"/>
                  </w:tcPr>
                  <w:p>
                    <w:pPr>
                      <w:widowControl w:val="0"/>
                      <w:ind w:left="360"/>
                      <w:rPr>
                        <w:sz w:val="14"/>
                      </w:rPr>
                    </w:pPr>
                    <w:r>
                      <w:rPr>
                        <w:sz w:val="14"/>
                      </w:rPr>
                      <w:t>Epilepsija su dažnais paroksizmais (miško ruošos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regos ir klausos analizatoriai, medienos dulkės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specialistams)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7.</w:t>
                    </w:r>
                  </w:p>
                </w:tc>
                <w:tc>
                  <w:tcPr>
                    <w:tcW w:w="2264" w:type="dxa"/>
                    <w:shd w:val="clear" w:color="auto" w:fill="auto"/>
                  </w:tcPr>
                  <w:p>
                    <w:pPr>
                      <w:widowControl w:val="0"/>
                      <w:ind w:left="360"/>
                      <w:rPr>
                        <w:sz w:val="14"/>
                      </w:rPr>
                    </w:pPr>
                    <w:r>
                      <w:rPr>
                        <w:sz w:val="14"/>
                      </w:rPr>
                      <w:t>Centrinės nervų sistemos susirgimų ar traumų padariniai,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kai yra funkcijos sutrikimų (miško ruošos specialistams)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13.3. Pynėjų iš vytelių</w:t>
                    </w:r>
                  </w:p>
                </w:tc>
                <w:tc>
                  <w:tcPr>
                    <w:tcW w:w="2003" w:type="dxa"/>
                    <w:shd w:val="clear" w:color="auto" w:fill="auto"/>
                  </w:tcPr>
                  <w:p>
                    <w:pPr>
                      <w:widowControl w:val="0"/>
                      <w:ind w:left="360"/>
                      <w:rPr>
                        <w:sz w:val="14"/>
                      </w:rPr>
                    </w:pPr>
                    <w:r>
                      <w:rPr>
                        <w:sz w:val="14"/>
                      </w:rPr>
                      <w:t xml:space="preserve">Stereotipiniai darbo judesiai, dalyvaujant rankų </w:t>
                    </w:r>
                  </w:p>
                </w:tc>
                <w:tc>
                  <w:tcPr>
                    <w:tcW w:w="1892" w:type="dxa"/>
                    <w:shd w:val="clear" w:color="auto" w:fill="auto"/>
                  </w:tcPr>
                  <w:p>
                    <w:pPr>
                      <w:widowControl w:val="0"/>
                      <w:ind w:left="360"/>
                      <w:rPr>
                        <w:sz w:val="14"/>
                      </w:rPr>
                    </w:pPr>
                    <w:r>
                      <w:rPr>
                        <w:sz w:val="14"/>
                      </w:rPr>
                      <w:t>Plaštakos funkcijos ryškūs sutrikimai, trukdantys profesinei</w:t>
                    </w: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plaštakos ir pirštų, pečių juostos raumenims, darbo </w:t>
                    </w:r>
                  </w:p>
                </w:tc>
                <w:tc>
                  <w:tcPr>
                    <w:tcW w:w="1892" w:type="dxa"/>
                    <w:shd w:val="clear" w:color="auto" w:fill="auto"/>
                  </w:tcPr>
                  <w:p>
                    <w:pPr>
                      <w:widowControl w:val="0"/>
                      <w:ind w:left="360"/>
                      <w:rPr>
                        <w:sz w:val="14"/>
                      </w:rPr>
                    </w:pPr>
                    <w:r>
                      <w:rPr>
                        <w:sz w:val="14"/>
                      </w:rPr>
                      <w:t>veiklai</w:t>
                    </w: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35262</w:t>
                    </w:r>
                  </w:p>
                </w:tc>
                <w:tc>
                  <w:tcPr>
                    <w:tcW w:w="2003" w:type="dxa"/>
                    <w:tcBorders>
                      <w:bottom w:val="single" w:sz="4" w:space="0" w:color="auto"/>
                    </w:tcBorders>
                    <w:shd w:val="clear" w:color="auto" w:fill="auto"/>
                  </w:tcPr>
                  <w:p>
                    <w:pPr>
                      <w:widowControl w:val="0"/>
                      <w:ind w:left="360"/>
                      <w:rPr>
                        <w:sz w:val="14"/>
                      </w:rPr>
                    </w:pPr>
                    <w:r>
                      <w:rPr>
                        <w:sz w:val="14"/>
                      </w:rPr>
                      <w:t>įtampa, dėmesys, regos analizatoriai</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14.</w:t>
                    </w:r>
                  </w:p>
                </w:tc>
                <w:tc>
                  <w:tcPr>
                    <w:tcW w:w="2442" w:type="dxa"/>
                    <w:tcBorders>
                      <w:top w:val="single" w:sz="4" w:space="0" w:color="auto"/>
                    </w:tcBorders>
                    <w:shd w:val="clear" w:color="auto" w:fill="auto"/>
                  </w:tcPr>
                  <w:p>
                    <w:pPr>
                      <w:widowControl w:val="0"/>
                      <w:ind w:left="360"/>
                      <w:rPr>
                        <w:sz w:val="14"/>
                      </w:rPr>
                    </w:pPr>
                    <w:r>
                      <w:rPr>
                        <w:sz w:val="14"/>
                      </w:rPr>
                      <w:t>Ventiliacijos, oro kondicionavimo</w:t>
                    </w:r>
                  </w:p>
                </w:tc>
                <w:tc>
                  <w:tcPr>
                    <w:tcW w:w="2003" w:type="dxa"/>
                    <w:tcBorders>
                      <w:top w:val="single" w:sz="4" w:space="0" w:color="auto"/>
                    </w:tcBorders>
                    <w:shd w:val="clear" w:color="auto" w:fill="auto"/>
                  </w:tcPr>
                  <w:p>
                    <w:pPr>
                      <w:widowControl w:val="0"/>
                      <w:ind w:left="360"/>
                      <w:rPr>
                        <w:sz w:val="14"/>
                      </w:rPr>
                    </w:pPr>
                    <w:r>
                      <w:rPr>
                        <w:sz w:val="14"/>
                      </w:rPr>
                      <w:t xml:space="preserve">Judrus darbas, krovinio kėlimas, pernešimas,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Regėjimas su korekcija silpnesnis kaip 0,5 viena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sistemų </w:t>
                    </w:r>
                  </w:p>
                </w:tc>
                <w:tc>
                  <w:tcPr>
                    <w:tcW w:w="2003" w:type="dxa"/>
                    <w:shd w:val="clear" w:color="auto" w:fill="auto"/>
                  </w:tcPr>
                  <w:p>
                    <w:pPr>
                      <w:widowControl w:val="0"/>
                      <w:ind w:left="360"/>
                      <w:rPr>
                        <w:sz w:val="14"/>
                      </w:rPr>
                    </w:pPr>
                    <w:r>
                      <w:rPr>
                        <w:sz w:val="14"/>
                      </w:rPr>
                      <w:t>darbo poza, liemens palenkimai</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0,2 – kita akimi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gamintojų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Plaštakos funkcijos ryškūs sutrikimai, trukdantys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35264</w:t>
                    </w: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profesinei veiklai</w:t>
                    </w:r>
                  </w:p>
                </w:tc>
              </w:tr>
              <w:tr>
                <w:tc>
                  <w:tcPr>
                    <w:tcW w:w="1209" w:type="dxa"/>
                    <w:tcBorders>
                      <w:top w:val="single" w:sz="4" w:space="0" w:color="auto"/>
                    </w:tcBorders>
                    <w:shd w:val="clear" w:color="auto" w:fill="auto"/>
                  </w:tcPr>
                  <w:p>
                    <w:pPr>
                      <w:widowControl w:val="0"/>
                      <w:ind w:left="360"/>
                      <w:rPr>
                        <w:sz w:val="14"/>
                      </w:rPr>
                    </w:pPr>
                    <w:r>
                      <w:rPr>
                        <w:sz w:val="14"/>
                      </w:rPr>
                      <w:t>15.</w:t>
                    </w:r>
                  </w:p>
                </w:tc>
                <w:tc>
                  <w:tcPr>
                    <w:tcW w:w="2442" w:type="dxa"/>
                    <w:tcBorders>
                      <w:top w:val="single" w:sz="4" w:space="0" w:color="auto"/>
                    </w:tcBorders>
                    <w:shd w:val="clear" w:color="auto" w:fill="auto"/>
                  </w:tcPr>
                  <w:p>
                    <w:pPr>
                      <w:widowControl w:val="0"/>
                      <w:ind w:left="360"/>
                      <w:rPr>
                        <w:sz w:val="14"/>
                      </w:rPr>
                    </w:pPr>
                    <w:r>
                      <w:rPr>
                        <w:sz w:val="14"/>
                      </w:rPr>
                      <w:t xml:space="preserve">Avalynės gamintojų, </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rankų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Odos lėtinės ligos su dažnais paūmėjimais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avalynininkų</w:t>
                    </w:r>
                  </w:p>
                </w:tc>
                <w:tc>
                  <w:tcPr>
                    <w:tcW w:w="2003" w:type="dxa"/>
                    <w:shd w:val="clear" w:color="auto" w:fill="auto"/>
                  </w:tcPr>
                  <w:p>
                    <w:pPr>
                      <w:widowControl w:val="0"/>
                      <w:ind w:left="360"/>
                      <w:rPr>
                        <w:sz w:val="14"/>
                      </w:rPr>
                    </w:pPr>
                    <w:r>
                      <w:rPr>
                        <w:sz w:val="14"/>
                      </w:rPr>
                      <w:t xml:space="preserve">plaštakos ir pirštų raumenims, statinis krūvis,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Bronchinė astma su ryškiu kvėpavimo funkcijos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35274</w:t>
                    </w:r>
                  </w:p>
                </w:tc>
                <w:tc>
                  <w:tcPr>
                    <w:tcW w:w="2003" w:type="dxa"/>
                    <w:shd w:val="clear" w:color="auto" w:fill="auto"/>
                  </w:tcPr>
                  <w:p>
                    <w:pPr>
                      <w:widowControl w:val="0"/>
                      <w:ind w:left="360"/>
                      <w:rPr>
                        <w:sz w:val="14"/>
                      </w:rPr>
                    </w:pPr>
                    <w:r>
                      <w:rPr>
                        <w:sz w:val="14"/>
                      </w:rPr>
                      <w:t xml:space="preserve">darbo poza, pasilenkimas, regos ir klausos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sutrikimu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analizatoriai, monotonija, cheminės medžiagos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Regos korekcija mažesnė kaip 05/02</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r>
                      <w:rPr>
                        <w:sz w:val="14"/>
                      </w:rPr>
                      <w:t>(dažai, klijai)</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16.</w:t>
                    </w:r>
                  </w:p>
                </w:tc>
                <w:tc>
                  <w:tcPr>
                    <w:tcW w:w="2442" w:type="dxa"/>
                    <w:tcBorders>
                      <w:top w:val="single" w:sz="4" w:space="0" w:color="auto"/>
                    </w:tcBorders>
                    <w:shd w:val="clear" w:color="auto" w:fill="auto"/>
                  </w:tcPr>
                  <w:p>
                    <w:pPr>
                      <w:widowControl w:val="0"/>
                      <w:ind w:left="360"/>
                      <w:rPr>
                        <w:sz w:val="14"/>
                      </w:rPr>
                    </w:pPr>
                    <w:r>
                      <w:rPr>
                        <w:sz w:val="14"/>
                      </w:rPr>
                      <w:t xml:space="preserve">Audėjų, audinių gamybos </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rankų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Bronchinė astma su ryškiu funkcijos sutrikimu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įrenginių operatorių, ver-</w:t>
                    </w:r>
                  </w:p>
                </w:tc>
                <w:tc>
                  <w:tcPr>
                    <w:tcW w:w="2003" w:type="dxa"/>
                    <w:shd w:val="clear" w:color="auto" w:fill="auto"/>
                  </w:tcPr>
                  <w:p>
                    <w:pPr>
                      <w:widowControl w:val="0"/>
                      <w:ind w:left="360"/>
                      <w:rPr>
                        <w:sz w:val="14"/>
                      </w:rPr>
                    </w:pPr>
                    <w:r>
                      <w:rPr>
                        <w:sz w:val="14"/>
                      </w:rPr>
                      <w:t xml:space="preserve">plaštakos ir pirštų raumenims, statinis krūvis,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Miopija didesnė kaip 6,0D. Regos korekcija iki 07/04</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pėjų, verpinių gamybos </w:t>
                    </w:r>
                  </w:p>
                </w:tc>
                <w:tc>
                  <w:tcPr>
                    <w:tcW w:w="2003" w:type="dxa"/>
                    <w:shd w:val="clear" w:color="auto" w:fill="auto"/>
                  </w:tcPr>
                  <w:p>
                    <w:pPr>
                      <w:widowControl w:val="0"/>
                      <w:ind w:left="360"/>
                      <w:rPr>
                        <w:sz w:val="14"/>
                      </w:rPr>
                    </w:pPr>
                    <w:r>
                      <w:rPr>
                        <w:sz w:val="14"/>
                      </w:rPr>
                      <w:t xml:space="preserve">darbo poza, pasilenkimas, regos ir klausos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Plaštakos funkcijos ryškūs sutrikimai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įrenginių operatorių</w:t>
                    </w:r>
                  </w:p>
                </w:tc>
                <w:tc>
                  <w:tcPr>
                    <w:tcW w:w="2003" w:type="dxa"/>
                    <w:shd w:val="clear" w:color="auto" w:fill="auto"/>
                  </w:tcPr>
                  <w:p>
                    <w:pPr>
                      <w:widowControl w:val="0"/>
                      <w:ind w:left="360"/>
                      <w:rPr>
                        <w:sz w:val="14"/>
                      </w:rPr>
                    </w:pPr>
                    <w:r>
                      <w:rPr>
                        <w:sz w:val="14"/>
                      </w:rPr>
                      <w:t>analizatoriai, monotonija, dulkės</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Centrinės nervų sistemos susirgimų ar traumų padariniai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35274</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su judesių sutrikimais, trukdančiais 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Epilepsija, dirbant su judančiais mechanizmais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6.</w:t>
                    </w:r>
                  </w:p>
                </w:tc>
                <w:tc>
                  <w:tcPr>
                    <w:tcW w:w="2264" w:type="dxa"/>
                    <w:shd w:val="clear" w:color="auto" w:fill="auto"/>
                  </w:tcPr>
                  <w:p>
                    <w:pPr>
                      <w:widowControl w:val="0"/>
                      <w:ind w:left="360"/>
                      <w:rPr>
                        <w:sz w:val="14"/>
                      </w:rPr>
                    </w:pPr>
                    <w:r>
                      <w:rPr>
                        <w:sz w:val="14"/>
                      </w:rPr>
                      <w:t>Alergija dulkėms, vilnai, sintetinėms ir kt. medžiagoms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7.</w:t>
                    </w:r>
                  </w:p>
                </w:tc>
                <w:tc>
                  <w:tcPr>
                    <w:tcW w:w="2264" w:type="dxa"/>
                    <w:tcBorders>
                      <w:bottom w:val="single" w:sz="4" w:space="0" w:color="auto"/>
                    </w:tcBorders>
                    <w:shd w:val="clear" w:color="auto" w:fill="auto"/>
                  </w:tcPr>
                  <w:p>
                    <w:pPr>
                      <w:widowControl w:val="0"/>
                      <w:ind w:left="360"/>
                      <w:rPr>
                        <w:sz w:val="14"/>
                      </w:rPr>
                    </w:pPr>
                    <w:r>
                      <w:rPr>
                        <w:sz w:val="14"/>
                      </w:rPr>
                      <w:t xml:space="preserve">Klausos susilpnėjimas (šnabždesiu iki </w:t>
                    </w:r>
                    <w:smartTag w:uri="urn:schemas-microsoft-com:office:smarttags" w:element="metricconverter">
                      <w:smartTagPr>
                        <w:attr w:name="ProductID" w:val="3 m"/>
                      </w:smartTagPr>
                      <w:r>
                        <w:rPr>
                          <w:sz w:val="14"/>
                        </w:rPr>
                        <w:t>3 m</w:t>
                      </w:r>
                    </w:smartTag>
                    <w:r>
                      <w:rPr>
                        <w:sz w:val="14"/>
                      </w:rPr>
                      <w:t>) – audėjui</w:t>
                    </w:r>
                  </w:p>
                </w:tc>
              </w:tr>
              <w:tr>
                <w:tc>
                  <w:tcPr>
                    <w:tcW w:w="1209" w:type="dxa"/>
                    <w:tcBorders>
                      <w:top w:val="single" w:sz="4" w:space="0" w:color="auto"/>
                    </w:tcBorders>
                    <w:shd w:val="clear" w:color="auto" w:fill="auto"/>
                  </w:tcPr>
                  <w:p>
                    <w:pPr>
                      <w:widowControl w:val="0"/>
                      <w:ind w:left="360"/>
                      <w:rPr>
                        <w:sz w:val="14"/>
                      </w:rPr>
                    </w:pPr>
                    <w:r>
                      <w:rPr>
                        <w:sz w:val="14"/>
                      </w:rPr>
                      <w:t>17.</w:t>
                    </w:r>
                  </w:p>
                </w:tc>
                <w:tc>
                  <w:tcPr>
                    <w:tcW w:w="2442" w:type="dxa"/>
                    <w:tcBorders>
                      <w:top w:val="single" w:sz="4" w:space="0" w:color="auto"/>
                    </w:tcBorders>
                    <w:shd w:val="clear" w:color="auto" w:fill="auto"/>
                  </w:tcPr>
                  <w:p>
                    <w:pPr>
                      <w:widowControl w:val="0"/>
                      <w:ind w:left="360"/>
                      <w:rPr>
                        <w:sz w:val="14"/>
                      </w:rPr>
                    </w:pPr>
                    <w:r>
                      <w:rPr>
                        <w:sz w:val="14"/>
                      </w:rPr>
                      <w:t>Mezgėjų, mezgimo maši-</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rankų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nų operatorių, siuvėjų, su-</w:t>
                    </w:r>
                  </w:p>
                </w:tc>
                <w:tc>
                  <w:tcPr>
                    <w:tcW w:w="2003" w:type="dxa"/>
                    <w:shd w:val="clear" w:color="auto" w:fill="auto"/>
                  </w:tcPr>
                  <w:p>
                    <w:pPr>
                      <w:widowControl w:val="0"/>
                      <w:ind w:left="360"/>
                      <w:rPr>
                        <w:sz w:val="14"/>
                      </w:rPr>
                    </w:pPr>
                    <w:r>
                      <w:rPr>
                        <w:sz w:val="14"/>
                      </w:rPr>
                      <w:t xml:space="preserve">plaštakos ir pirštų raumenims, statinis krūvis,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kirpėjų – konstruktorių</w:t>
                    </w:r>
                  </w:p>
                </w:tc>
                <w:tc>
                  <w:tcPr>
                    <w:tcW w:w="2003" w:type="dxa"/>
                    <w:shd w:val="clear" w:color="auto" w:fill="auto"/>
                  </w:tcPr>
                  <w:p>
                    <w:pPr>
                      <w:widowControl w:val="0"/>
                      <w:ind w:left="360"/>
                      <w:rPr>
                        <w:sz w:val="14"/>
                      </w:rPr>
                    </w:pPr>
                    <w:r>
                      <w:rPr>
                        <w:sz w:val="14"/>
                      </w:rPr>
                      <w:t xml:space="preserve">darbo poza, pasilenkimai, judėjimo atstumas,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Odos ligos su dažnais paūmėjimais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35276</w:t>
                    </w:r>
                  </w:p>
                </w:tc>
                <w:tc>
                  <w:tcPr>
                    <w:tcW w:w="2003" w:type="dxa"/>
                    <w:shd w:val="clear" w:color="auto" w:fill="auto"/>
                  </w:tcPr>
                  <w:p>
                    <w:pPr>
                      <w:widowControl w:val="0"/>
                      <w:ind w:left="360"/>
                      <w:rPr>
                        <w:sz w:val="14"/>
                      </w:rPr>
                    </w:pPr>
                    <w:r>
                      <w:rPr>
                        <w:sz w:val="14"/>
                      </w:rPr>
                      <w:t>dėmesys, regos analizatorius, monotonija, besi-</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Alergija vilnai, dulkėms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kartojančios operacijos</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Miopija daugiau kaip 6,0 D. Regos korekcija mažesnė</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kaip 07/04</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Binokulinio matymo sutrikimas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6.</w:t>
                    </w:r>
                  </w:p>
                </w:tc>
                <w:tc>
                  <w:tcPr>
                    <w:tcW w:w="2264" w:type="dxa"/>
                    <w:shd w:val="clear" w:color="auto" w:fill="auto"/>
                  </w:tcPr>
                  <w:p>
                    <w:pPr>
                      <w:widowControl w:val="0"/>
                      <w:ind w:left="360"/>
                      <w:rPr>
                        <w:sz w:val="14"/>
                      </w:rPr>
                    </w:pPr>
                    <w:r>
                      <w:rPr>
                        <w:sz w:val="14"/>
                      </w:rPr>
                      <w:t>Epilepsija su dažnais paroksizmais mezgimo mašinų</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operatoriams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7.</w:t>
                    </w:r>
                  </w:p>
                </w:tc>
                <w:tc>
                  <w:tcPr>
                    <w:tcW w:w="2264" w:type="dxa"/>
                    <w:shd w:val="clear" w:color="auto" w:fill="auto"/>
                  </w:tcPr>
                  <w:p>
                    <w:pPr>
                      <w:widowControl w:val="0"/>
                      <w:ind w:left="360"/>
                      <w:rPr>
                        <w:sz w:val="14"/>
                      </w:rPr>
                    </w:pPr>
                    <w:r>
                      <w:rPr>
                        <w:sz w:val="14"/>
                      </w:rPr>
                      <w:t xml:space="preserve">Klausos susilpnėjimas (tikrinant šnabždesiu iki </w:t>
                    </w:r>
                    <w:smartTag w:uri="urn:schemas-microsoft-com:office:smarttags" w:element="metricconverter">
                      <w:smartTagPr>
                        <w:attr w:name="ProductID" w:val="3 m"/>
                      </w:smartTagPr>
                      <w:r>
                        <w:rPr>
                          <w:sz w:val="14"/>
                        </w:rPr>
                        <w:t>3 m</w:t>
                      </w:r>
                    </w:smartTag>
                    <w:r>
                      <w:rPr>
                        <w:sz w:val="14"/>
                      </w:rPr>
                      <w:t>) -</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mezgimo mašinų operatoriams</w:t>
                    </w:r>
                  </w:p>
                </w:tc>
              </w:tr>
              <w:tr>
                <w:tc>
                  <w:tcPr>
                    <w:tcW w:w="1209" w:type="dxa"/>
                    <w:tcBorders>
                      <w:top w:val="single" w:sz="4" w:space="0" w:color="auto"/>
                    </w:tcBorders>
                    <w:shd w:val="clear" w:color="auto" w:fill="auto"/>
                  </w:tcPr>
                  <w:p>
                    <w:pPr>
                      <w:widowControl w:val="0"/>
                      <w:ind w:left="360"/>
                      <w:rPr>
                        <w:sz w:val="14"/>
                      </w:rPr>
                    </w:pPr>
                    <w:r>
                      <w:rPr>
                        <w:sz w:val="14"/>
                      </w:rPr>
                      <w:t>18.</w:t>
                    </w:r>
                  </w:p>
                </w:tc>
                <w:tc>
                  <w:tcPr>
                    <w:tcW w:w="2442" w:type="dxa"/>
                    <w:tcBorders>
                      <w:top w:val="single" w:sz="4" w:space="0" w:color="auto"/>
                    </w:tcBorders>
                    <w:shd w:val="clear" w:color="auto" w:fill="auto"/>
                  </w:tcPr>
                  <w:p>
                    <w:pPr>
                      <w:widowControl w:val="0"/>
                      <w:ind w:left="360"/>
                      <w:rPr>
                        <w:sz w:val="14"/>
                      </w:rPr>
                    </w:pPr>
                    <w:r>
                      <w:rPr>
                        <w:sz w:val="14"/>
                      </w:rPr>
                      <w:t xml:space="preserve">Plokščiosios ir ofsetinės </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rankų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spaudos spaudėjų, tekstų </w:t>
                    </w:r>
                  </w:p>
                </w:tc>
                <w:tc>
                  <w:tcPr>
                    <w:tcW w:w="2003" w:type="dxa"/>
                    <w:shd w:val="clear" w:color="auto" w:fill="auto"/>
                  </w:tcPr>
                  <w:p>
                    <w:pPr>
                      <w:widowControl w:val="0"/>
                      <w:ind w:left="360"/>
                      <w:rPr>
                        <w:sz w:val="14"/>
                      </w:rPr>
                    </w:pPr>
                    <w:r>
                      <w:rPr>
                        <w:sz w:val="14"/>
                      </w:rPr>
                      <w:t xml:space="preserve">plaštakos ir pirštų raumenims, statinis krūvis, darbo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rinkėjų, archyvarų, </w:t>
                    </w:r>
                  </w:p>
                </w:tc>
                <w:tc>
                  <w:tcPr>
                    <w:tcW w:w="2003" w:type="dxa"/>
                    <w:shd w:val="clear" w:color="auto" w:fill="auto"/>
                  </w:tcPr>
                  <w:p>
                    <w:pPr>
                      <w:widowControl w:val="0"/>
                      <w:ind w:left="360"/>
                      <w:rPr>
                        <w:sz w:val="14"/>
                      </w:rPr>
                    </w:pPr>
                    <w:r>
                      <w:rPr>
                        <w:sz w:val="14"/>
                      </w:rPr>
                      <w:t xml:space="preserve">poza, liemens pasilenkimai, judėjimo atstumas,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Bronchinė astma su ryškiu kvėpavimo funkcijos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knygrišių</w:t>
                    </w:r>
                  </w:p>
                </w:tc>
                <w:tc>
                  <w:tcPr>
                    <w:tcW w:w="2003" w:type="dxa"/>
                    <w:shd w:val="clear" w:color="auto" w:fill="auto"/>
                  </w:tcPr>
                  <w:p>
                    <w:pPr>
                      <w:widowControl w:val="0"/>
                      <w:ind w:left="360"/>
                      <w:rPr>
                        <w:sz w:val="14"/>
                      </w:rPr>
                    </w:pPr>
                    <w:r>
                      <w:rPr>
                        <w:sz w:val="14"/>
                      </w:rPr>
                      <w:t>dėmesys, regos analizatorius, monotonija, besikartojančios operacijos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sutrikimu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35278</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Miopija daugiau kaip 6,0D</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4.</w:t>
                    </w:r>
                  </w:p>
                </w:tc>
                <w:tc>
                  <w:tcPr>
                    <w:tcW w:w="2264" w:type="dxa"/>
                    <w:tcBorders>
                      <w:bottom w:val="single" w:sz="4" w:space="0" w:color="auto"/>
                    </w:tcBorders>
                    <w:shd w:val="clear" w:color="auto" w:fill="auto"/>
                  </w:tcPr>
                  <w:p>
                    <w:pPr>
                      <w:widowControl w:val="0"/>
                      <w:ind w:left="360"/>
                      <w:rPr>
                        <w:sz w:val="14"/>
                      </w:rPr>
                    </w:pPr>
                    <w:r>
                      <w:rPr>
                        <w:sz w:val="14"/>
                      </w:rPr>
                      <w:t>Regos korekcija mažesnė kaip 07/04 – tekstų rinkėjui</w:t>
                    </w:r>
                  </w:p>
                </w:tc>
              </w:tr>
              <w:tr>
                <w:tc>
                  <w:tcPr>
                    <w:tcW w:w="1209" w:type="dxa"/>
                    <w:tcBorders>
                      <w:top w:val="single" w:sz="4" w:space="0" w:color="auto"/>
                    </w:tcBorders>
                    <w:shd w:val="clear" w:color="auto" w:fill="auto"/>
                  </w:tcPr>
                  <w:p>
                    <w:pPr>
                      <w:widowControl w:val="0"/>
                      <w:ind w:left="360"/>
                      <w:rPr>
                        <w:sz w:val="14"/>
                      </w:rPr>
                    </w:pPr>
                    <w:r>
                      <w:rPr>
                        <w:sz w:val="14"/>
                      </w:rPr>
                      <w:t>19.</w:t>
                    </w:r>
                  </w:p>
                </w:tc>
                <w:tc>
                  <w:tcPr>
                    <w:tcW w:w="2442" w:type="dxa"/>
                    <w:tcBorders>
                      <w:top w:val="single" w:sz="4" w:space="0" w:color="auto"/>
                    </w:tcBorders>
                    <w:shd w:val="clear" w:color="auto" w:fill="auto"/>
                  </w:tcPr>
                  <w:p>
                    <w:pPr>
                      <w:widowControl w:val="0"/>
                      <w:ind w:left="360"/>
                      <w:rPr>
                        <w:sz w:val="14"/>
                      </w:rPr>
                    </w:pPr>
                    <w:r>
                      <w:rPr>
                        <w:sz w:val="14"/>
                      </w:rPr>
                      <w:t xml:space="preserve">Cheminio pluošto, naftos </w:t>
                    </w:r>
                  </w:p>
                </w:tc>
                <w:tc>
                  <w:tcPr>
                    <w:tcW w:w="2003" w:type="dxa"/>
                    <w:tcBorders>
                      <w:top w:val="single" w:sz="4" w:space="0" w:color="auto"/>
                    </w:tcBorders>
                    <w:shd w:val="clear" w:color="auto" w:fill="auto"/>
                  </w:tcPr>
                  <w:p>
                    <w:pPr>
                      <w:widowControl w:val="0"/>
                      <w:ind w:left="360"/>
                      <w:rPr>
                        <w:sz w:val="14"/>
                      </w:rPr>
                    </w:pPr>
                    <w:r>
                      <w:rPr>
                        <w:sz w:val="14"/>
                      </w:rPr>
                      <w:t xml:space="preserve">Cheminės medžiagos, oro temperatūra, darbo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Bronchinė astma su ryškiu kvėpavimo funkcijos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perdirbimo, chemijos ir </w:t>
                    </w:r>
                  </w:p>
                </w:tc>
                <w:tc>
                  <w:tcPr>
                    <w:tcW w:w="2003" w:type="dxa"/>
                    <w:shd w:val="clear" w:color="auto" w:fill="auto"/>
                  </w:tcPr>
                  <w:p>
                    <w:pPr>
                      <w:widowControl w:val="0"/>
                      <w:ind w:left="360"/>
                      <w:rPr>
                        <w:sz w:val="14"/>
                      </w:rPr>
                    </w:pPr>
                    <w:r>
                      <w:rPr>
                        <w:sz w:val="14"/>
                      </w:rPr>
                      <w:t>poza, judėjimo atstumas, regos analizatorius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sutrikimu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naftos produktų gamybos </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Odos ligos su dažnais paūmėjimais kontaktuojant su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operatorių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cheminėmis medžiagomis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35299</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Alergija cheminėms medžiagoms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Miopija daugiau kaip 6,0D. Regos korekcija mažesnė</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kaip 06/03</w:t>
                    </w:r>
                  </w:p>
                </w:tc>
              </w:tr>
              <w:tr>
                <w:tc>
                  <w:tcPr>
                    <w:tcW w:w="1209" w:type="dxa"/>
                    <w:tcBorders>
                      <w:top w:val="single" w:sz="4" w:space="0" w:color="auto"/>
                    </w:tcBorders>
                    <w:shd w:val="clear" w:color="auto" w:fill="auto"/>
                  </w:tcPr>
                  <w:p>
                    <w:pPr>
                      <w:widowControl w:val="0"/>
                      <w:ind w:left="360"/>
                      <w:rPr>
                        <w:sz w:val="14"/>
                      </w:rPr>
                    </w:pPr>
                    <w:r>
                      <w:rPr>
                        <w:sz w:val="14"/>
                      </w:rPr>
                      <w:t>20.</w:t>
                    </w:r>
                  </w:p>
                </w:tc>
                <w:tc>
                  <w:tcPr>
                    <w:tcW w:w="2442" w:type="dxa"/>
                    <w:tcBorders>
                      <w:top w:val="single" w:sz="4" w:space="0" w:color="auto"/>
                    </w:tcBorders>
                    <w:shd w:val="clear" w:color="auto" w:fill="auto"/>
                  </w:tcPr>
                  <w:p>
                    <w:pPr>
                      <w:widowControl w:val="0"/>
                      <w:ind w:left="360"/>
                      <w:rPr>
                        <w:sz w:val="14"/>
                      </w:rPr>
                    </w:pPr>
                    <w:r>
                      <w:rPr>
                        <w:sz w:val="14"/>
                      </w:rPr>
                      <w:t>Žemės matininkų</w:t>
                    </w:r>
                  </w:p>
                </w:tc>
                <w:tc>
                  <w:tcPr>
                    <w:tcW w:w="2003" w:type="dxa"/>
                    <w:tcBorders>
                      <w:top w:val="single" w:sz="4" w:space="0" w:color="auto"/>
                    </w:tcBorders>
                    <w:shd w:val="clear" w:color="auto" w:fill="auto"/>
                  </w:tcPr>
                  <w:p>
                    <w:pPr>
                      <w:widowControl w:val="0"/>
                      <w:ind w:left="360"/>
                      <w:rPr>
                        <w:sz w:val="14"/>
                      </w:rPr>
                    </w:pPr>
                    <w:r>
                      <w:rPr>
                        <w:sz w:val="14"/>
                      </w:rPr>
                      <w:t>Oro temperatūra, judėjimo atstumas, dėmesys,</w:t>
                    </w:r>
                  </w:p>
                </w:tc>
                <w:tc>
                  <w:tcPr>
                    <w:tcW w:w="1892" w:type="dxa"/>
                    <w:tcBorders>
                      <w:top w:val="single" w:sz="4" w:space="0" w:color="auto"/>
                    </w:tcBorders>
                    <w:shd w:val="clear" w:color="auto" w:fill="auto"/>
                  </w:tcPr>
                  <w:p>
                    <w:pPr>
                      <w:widowControl w:val="0"/>
                      <w:ind w:left="360"/>
                      <w:rPr>
                        <w:sz w:val="14"/>
                      </w:rPr>
                    </w:pP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35402</w:t>
                    </w:r>
                  </w:p>
                </w:tc>
                <w:tc>
                  <w:tcPr>
                    <w:tcW w:w="2003" w:type="dxa"/>
                    <w:shd w:val="clear" w:color="auto" w:fill="auto"/>
                  </w:tcPr>
                  <w:p>
                    <w:pPr>
                      <w:widowControl w:val="0"/>
                      <w:ind w:left="360"/>
                      <w:rPr>
                        <w:sz w:val="14"/>
                      </w:rPr>
                    </w:pPr>
                    <w:r>
                      <w:rPr>
                        <w:sz w:val="14"/>
                      </w:rPr>
                      <w:t>informacinių pranešimų skaičius, regos analizatorius,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r>
                      <w:rPr>
                        <w:sz w:val="14"/>
                      </w:rPr>
                      <w:t>monotonija</w:t>
                    </w:r>
                  </w:p>
                </w:tc>
                <w:tc>
                  <w:tcPr>
                    <w:tcW w:w="1892" w:type="dxa"/>
                    <w:tcBorders>
                      <w:bottom w:val="single" w:sz="4" w:space="0" w:color="auto"/>
                    </w:tcBorders>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21.</w:t>
                    </w:r>
                  </w:p>
                </w:tc>
                <w:tc>
                  <w:tcPr>
                    <w:tcW w:w="2442" w:type="dxa"/>
                    <w:tcBorders>
                      <w:top w:val="single" w:sz="4" w:space="0" w:color="auto"/>
                    </w:tcBorders>
                    <w:shd w:val="clear" w:color="auto" w:fill="auto"/>
                  </w:tcPr>
                  <w:p>
                    <w:pPr>
                      <w:widowControl w:val="0"/>
                      <w:ind w:left="360"/>
                      <w:rPr>
                        <w:sz w:val="14"/>
                      </w:rPr>
                    </w:pPr>
                    <w:r>
                      <w:rPr>
                        <w:sz w:val="14"/>
                      </w:rPr>
                      <w:t>Braižytojų ir kompiuterinės</w:t>
                    </w:r>
                  </w:p>
                </w:tc>
                <w:tc>
                  <w:tcPr>
                    <w:tcW w:w="2003" w:type="dxa"/>
                    <w:tcBorders>
                      <w:top w:val="single" w:sz="4" w:space="0" w:color="auto"/>
                    </w:tcBorders>
                    <w:shd w:val="clear" w:color="auto" w:fill="auto"/>
                  </w:tcPr>
                  <w:p>
                    <w:pPr>
                      <w:widowControl w:val="0"/>
                      <w:ind w:left="360"/>
                      <w:rPr>
                        <w:sz w:val="14"/>
                      </w:rPr>
                    </w:pPr>
                    <w:r>
                      <w:rPr>
                        <w:sz w:val="14"/>
                      </w:rPr>
                      <w:t>Stereotipiniai darbo judesiai, dalyvaujant rankų,</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shd w:val="clear" w:color="auto" w:fill="auto"/>
                  </w:tcPr>
                  <w:p>
                    <w:pPr>
                      <w:widowControl w:val="0"/>
                      <w:ind w:left="360"/>
                      <w:rPr>
                        <w:sz w:val="14"/>
                      </w:rPr>
                    </w:pPr>
                    <w:r>
                      <w:rPr>
                        <w:sz w:val="14"/>
                      </w:rPr>
                      <w:t>Miopija didesnė kaip 6,0D</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įrangos operatorių</w:t>
                    </w:r>
                  </w:p>
                </w:tc>
                <w:tc>
                  <w:tcPr>
                    <w:tcW w:w="2003" w:type="dxa"/>
                    <w:shd w:val="clear" w:color="auto" w:fill="auto"/>
                  </w:tcPr>
                  <w:p>
                    <w:pPr>
                      <w:widowControl w:val="0"/>
                      <w:ind w:left="360"/>
                      <w:rPr>
                        <w:sz w:val="14"/>
                      </w:rPr>
                    </w:pPr>
                    <w:r>
                      <w:rPr>
                        <w:sz w:val="14"/>
                      </w:rPr>
                      <w:t xml:space="preserve">plaštakų, pirštų raumenims, poza, dėmesys,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Regos korekcija mažesnė kaip 05/02</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35406</w:t>
                    </w:r>
                  </w:p>
                </w:tc>
                <w:tc>
                  <w:tcPr>
                    <w:tcW w:w="2003" w:type="dxa"/>
                    <w:shd w:val="clear" w:color="auto" w:fill="auto"/>
                  </w:tcPr>
                  <w:p>
                    <w:pPr>
                      <w:widowControl w:val="0"/>
                      <w:ind w:left="360"/>
                      <w:rPr>
                        <w:sz w:val="14"/>
                      </w:rPr>
                    </w:pPr>
                    <w:r>
                      <w:rPr>
                        <w:sz w:val="14"/>
                      </w:rPr>
                      <w:t>regos analizatorius, monotonija</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4.</w:t>
                    </w:r>
                  </w:p>
                </w:tc>
                <w:tc>
                  <w:tcPr>
                    <w:tcW w:w="2264" w:type="dxa"/>
                    <w:tcBorders>
                      <w:bottom w:val="single" w:sz="4" w:space="0" w:color="auto"/>
                    </w:tcBorders>
                    <w:shd w:val="clear" w:color="auto" w:fill="auto"/>
                  </w:tcPr>
                  <w:p>
                    <w:pPr>
                      <w:widowControl w:val="0"/>
                      <w:ind w:left="360"/>
                      <w:rPr>
                        <w:sz w:val="14"/>
                      </w:rPr>
                    </w:pPr>
                    <w:r>
                      <w:rPr>
                        <w:sz w:val="14"/>
                      </w:rPr>
                      <w:t>Binokulinio matymo sutrikimas</w:t>
                    </w:r>
                  </w:p>
                </w:tc>
              </w:tr>
              <w:tr>
                <w:tc>
                  <w:tcPr>
                    <w:tcW w:w="1209" w:type="dxa"/>
                    <w:tcBorders>
                      <w:top w:val="single" w:sz="4" w:space="0" w:color="auto"/>
                    </w:tcBorders>
                    <w:shd w:val="clear" w:color="auto" w:fill="auto"/>
                  </w:tcPr>
                  <w:p>
                    <w:pPr>
                      <w:widowControl w:val="0"/>
                      <w:ind w:left="360"/>
                      <w:rPr>
                        <w:sz w:val="14"/>
                      </w:rPr>
                    </w:pPr>
                    <w:r>
                      <w:rPr>
                        <w:sz w:val="14"/>
                      </w:rPr>
                      <w:t>22.</w:t>
                    </w:r>
                  </w:p>
                </w:tc>
                <w:tc>
                  <w:tcPr>
                    <w:tcW w:w="2442" w:type="dxa"/>
                    <w:tcBorders>
                      <w:top w:val="single" w:sz="4" w:space="0" w:color="auto"/>
                    </w:tcBorders>
                    <w:shd w:val="clear" w:color="auto" w:fill="auto"/>
                  </w:tcPr>
                  <w:p>
                    <w:pPr>
                      <w:widowControl w:val="0"/>
                      <w:ind w:left="360"/>
                      <w:rPr>
                        <w:sz w:val="14"/>
                      </w:rPr>
                    </w:pPr>
                    <w:r>
                      <w:rPr>
                        <w:sz w:val="14"/>
                      </w:rPr>
                      <w:t>Kelių statytojų</w:t>
                    </w:r>
                  </w:p>
                </w:tc>
                <w:tc>
                  <w:tcPr>
                    <w:tcW w:w="2003" w:type="dxa"/>
                    <w:tcBorders>
                      <w:top w:val="single" w:sz="4" w:space="0" w:color="auto"/>
                    </w:tcBorders>
                    <w:shd w:val="clear" w:color="auto" w:fill="auto"/>
                  </w:tcPr>
                  <w:p>
                    <w:pPr>
                      <w:widowControl w:val="0"/>
                      <w:ind w:left="360"/>
                      <w:rPr>
                        <w:sz w:val="14"/>
                      </w:rPr>
                    </w:pPr>
                    <w:r>
                      <w:rPr>
                        <w:sz w:val="14"/>
                      </w:rPr>
                      <w:t xml:space="preserve">Oro temperatūra, judrus darbas, krovinio kėlimas,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Epilepsija su dažnais paroksizmais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35416</w:t>
                    </w:r>
                  </w:p>
                </w:tc>
                <w:tc>
                  <w:tcPr>
                    <w:tcW w:w="2003" w:type="dxa"/>
                    <w:shd w:val="clear" w:color="auto" w:fill="auto"/>
                  </w:tcPr>
                  <w:p>
                    <w:pPr>
                      <w:widowControl w:val="0"/>
                      <w:ind w:left="360"/>
                      <w:rPr>
                        <w:sz w:val="14"/>
                      </w:rPr>
                    </w:pPr>
                    <w:r>
                      <w:rPr>
                        <w:sz w:val="14"/>
                      </w:rPr>
                      <w:t xml:space="preserve">stereotipiniai darbo judesiai, statinis krūvis, darbo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Cukrinis diabetas (nekompensuotas)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poza, pasilenkimai, judėjimo atstumas, regos,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Lėtinės dažnai paūmėjančios sąnarių ligos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klausos analizatoriai, dulkės, cheminės medžiagos</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Lėtinės dažnai paūmėjančios inkstų ligos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5.</w:t>
                    </w:r>
                  </w:p>
                </w:tc>
                <w:tc>
                  <w:tcPr>
                    <w:tcW w:w="2264" w:type="dxa"/>
                    <w:tcBorders>
                      <w:bottom w:val="single" w:sz="4" w:space="0" w:color="auto"/>
                    </w:tcBorders>
                    <w:shd w:val="clear" w:color="auto" w:fill="auto"/>
                  </w:tcPr>
                  <w:p>
                    <w:pPr>
                      <w:widowControl w:val="0"/>
                      <w:ind w:left="360"/>
                      <w:rPr>
                        <w:sz w:val="14"/>
                      </w:rPr>
                    </w:pPr>
                    <w:r>
                      <w:rPr>
                        <w:sz w:val="14"/>
                      </w:rPr>
                      <w:t>Širdies kraujagyslių ligos su ryškiu kraujotakos sutrikimu</w:t>
                    </w:r>
                  </w:p>
                </w:tc>
              </w:tr>
              <w:tr>
                <w:tc>
                  <w:tcPr>
                    <w:tcW w:w="1209" w:type="dxa"/>
                    <w:tcBorders>
                      <w:top w:val="single" w:sz="4" w:space="0" w:color="auto"/>
                    </w:tcBorders>
                    <w:shd w:val="clear" w:color="auto" w:fill="auto"/>
                  </w:tcPr>
                  <w:p>
                    <w:pPr>
                      <w:widowControl w:val="0"/>
                      <w:ind w:left="360"/>
                      <w:rPr>
                        <w:sz w:val="14"/>
                      </w:rPr>
                    </w:pPr>
                    <w:r>
                      <w:rPr>
                        <w:sz w:val="14"/>
                      </w:rPr>
                      <w:t>23.</w:t>
                    </w:r>
                  </w:p>
                </w:tc>
                <w:tc>
                  <w:tcPr>
                    <w:tcW w:w="2442" w:type="dxa"/>
                    <w:tcBorders>
                      <w:top w:val="single" w:sz="4" w:space="0" w:color="auto"/>
                    </w:tcBorders>
                    <w:shd w:val="clear" w:color="auto" w:fill="auto"/>
                  </w:tcPr>
                  <w:p>
                    <w:pPr>
                      <w:widowControl w:val="0"/>
                      <w:ind w:left="360"/>
                      <w:rPr>
                        <w:sz w:val="14"/>
                      </w:rPr>
                    </w:pPr>
                    <w:r>
                      <w:rPr>
                        <w:sz w:val="14"/>
                      </w:rPr>
                      <w:t>Ūkininkų</w:t>
                    </w:r>
                  </w:p>
                </w:tc>
                <w:tc>
                  <w:tcPr>
                    <w:tcW w:w="2003" w:type="dxa"/>
                    <w:tcBorders>
                      <w:top w:val="single" w:sz="4" w:space="0" w:color="auto"/>
                    </w:tcBorders>
                    <w:shd w:val="clear" w:color="auto" w:fill="auto"/>
                  </w:tcPr>
                  <w:p>
                    <w:pPr>
                      <w:widowControl w:val="0"/>
                      <w:ind w:left="360"/>
                      <w:rPr>
                        <w:sz w:val="14"/>
                      </w:rPr>
                    </w:pPr>
                    <w:r>
                      <w:rPr>
                        <w:sz w:val="14"/>
                      </w:rPr>
                      <w:t>Judėjimo atstumas, oro temperatūra, darbo poza,</w:t>
                    </w:r>
                  </w:p>
                </w:tc>
                <w:tc>
                  <w:tcPr>
                    <w:tcW w:w="1892" w:type="dxa"/>
                    <w:tcBorders>
                      <w:top w:val="single" w:sz="4" w:space="0" w:color="auto"/>
                    </w:tcBorders>
                    <w:shd w:val="clear" w:color="auto" w:fill="auto"/>
                  </w:tcPr>
                  <w:p>
                    <w:pPr>
                      <w:widowControl w:val="0"/>
                      <w:ind w:left="360"/>
                      <w:rPr>
                        <w:sz w:val="14"/>
                      </w:rPr>
                    </w:pPr>
                  </w:p>
                </w:tc>
                <w:tc>
                  <w:tcPr>
                    <w:tcW w:w="2264" w:type="dxa"/>
                    <w:tcBorders>
                      <w:top w:val="single" w:sz="4" w:space="0" w:color="auto"/>
                    </w:tcBorders>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36201</w:t>
                    </w:r>
                  </w:p>
                </w:tc>
                <w:tc>
                  <w:tcPr>
                    <w:tcW w:w="2003" w:type="dxa"/>
                    <w:tcBorders>
                      <w:bottom w:val="single" w:sz="4" w:space="0" w:color="auto"/>
                    </w:tcBorders>
                    <w:shd w:val="clear" w:color="auto" w:fill="auto"/>
                  </w:tcPr>
                  <w:p>
                    <w:pPr>
                      <w:widowControl w:val="0"/>
                      <w:ind w:left="360"/>
                      <w:rPr>
                        <w:sz w:val="14"/>
                      </w:rPr>
                    </w:pPr>
                    <w:r>
                      <w:rPr>
                        <w:sz w:val="14"/>
                      </w:rPr>
                      <w:t>judrus darbas, regos, klausos analizatorius</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24.</w:t>
                    </w:r>
                  </w:p>
                </w:tc>
                <w:tc>
                  <w:tcPr>
                    <w:tcW w:w="2442" w:type="dxa"/>
                    <w:tcBorders>
                      <w:top w:val="single" w:sz="4" w:space="0" w:color="auto"/>
                    </w:tcBorders>
                    <w:shd w:val="clear" w:color="auto" w:fill="auto"/>
                  </w:tcPr>
                  <w:p>
                    <w:pPr>
                      <w:widowControl w:val="0"/>
                      <w:ind w:left="360"/>
                      <w:rPr>
                        <w:sz w:val="14"/>
                      </w:rPr>
                    </w:pPr>
                    <w:r>
                      <w:rPr>
                        <w:sz w:val="14"/>
                      </w:rPr>
                      <w:t>Arklininkų</w:t>
                    </w:r>
                  </w:p>
                </w:tc>
                <w:tc>
                  <w:tcPr>
                    <w:tcW w:w="2003" w:type="dxa"/>
                    <w:tcBorders>
                      <w:top w:val="single" w:sz="4" w:space="0" w:color="auto"/>
                    </w:tcBorders>
                    <w:shd w:val="clear" w:color="auto" w:fill="auto"/>
                  </w:tcPr>
                  <w:p>
                    <w:pPr>
                      <w:widowControl w:val="0"/>
                      <w:ind w:left="360"/>
                      <w:rPr>
                        <w:sz w:val="14"/>
                      </w:rPr>
                    </w:pP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Epilepsija su dažnais paroksizmais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36203</w:t>
                    </w: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2.</w:t>
                    </w:r>
                  </w:p>
                </w:tc>
                <w:tc>
                  <w:tcPr>
                    <w:tcW w:w="2264" w:type="dxa"/>
                    <w:tcBorders>
                      <w:bottom w:val="single" w:sz="4" w:space="0" w:color="auto"/>
                    </w:tcBorders>
                    <w:shd w:val="clear" w:color="auto" w:fill="auto"/>
                  </w:tcPr>
                  <w:p>
                    <w:pPr>
                      <w:widowControl w:val="0"/>
                      <w:ind w:left="360"/>
                      <w:rPr>
                        <w:sz w:val="14"/>
                      </w:rPr>
                    </w:pPr>
                    <w:r>
                      <w:rPr>
                        <w:sz w:val="14"/>
                      </w:rPr>
                      <w:t>Alergija arklio šeriams</w:t>
                    </w:r>
                  </w:p>
                </w:tc>
              </w:tr>
              <w:tr>
                <w:tc>
                  <w:tcPr>
                    <w:tcW w:w="1209" w:type="dxa"/>
                    <w:tcBorders>
                      <w:top w:val="single" w:sz="4" w:space="0" w:color="auto"/>
                    </w:tcBorders>
                    <w:shd w:val="clear" w:color="auto" w:fill="auto"/>
                  </w:tcPr>
                  <w:p>
                    <w:pPr>
                      <w:widowControl w:val="0"/>
                      <w:ind w:left="360"/>
                      <w:rPr>
                        <w:sz w:val="14"/>
                      </w:rPr>
                    </w:pPr>
                    <w:r>
                      <w:rPr>
                        <w:sz w:val="14"/>
                      </w:rPr>
                      <w:t>25.</w:t>
                    </w:r>
                  </w:p>
                </w:tc>
                <w:tc>
                  <w:tcPr>
                    <w:tcW w:w="2442" w:type="dxa"/>
                    <w:tcBorders>
                      <w:top w:val="single" w:sz="4" w:space="0" w:color="auto"/>
                    </w:tcBorders>
                    <w:shd w:val="clear" w:color="auto" w:fill="auto"/>
                  </w:tcPr>
                  <w:p>
                    <w:pPr>
                      <w:widowControl w:val="0"/>
                      <w:ind w:left="360"/>
                      <w:rPr>
                        <w:sz w:val="14"/>
                      </w:rPr>
                    </w:pPr>
                    <w:r>
                      <w:rPr>
                        <w:sz w:val="14"/>
                      </w:rPr>
                      <w:t xml:space="preserve">Sodininkų, želdinių </w:t>
                    </w:r>
                  </w:p>
                </w:tc>
                <w:tc>
                  <w:tcPr>
                    <w:tcW w:w="2003" w:type="dxa"/>
                    <w:tcBorders>
                      <w:top w:val="single" w:sz="4" w:space="0" w:color="auto"/>
                    </w:tcBorders>
                    <w:shd w:val="clear" w:color="auto" w:fill="auto"/>
                  </w:tcPr>
                  <w:p>
                    <w:pPr>
                      <w:widowControl w:val="0"/>
                      <w:ind w:left="360"/>
                      <w:rPr>
                        <w:sz w:val="14"/>
                      </w:rPr>
                    </w:pPr>
                    <w:r>
                      <w:rPr>
                        <w:sz w:val="14"/>
                      </w:rPr>
                      <w:t xml:space="preserve">Oro temperatūra, judėjimo atstumas, darbo poza,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tvarkytojų</w:t>
                    </w:r>
                  </w:p>
                </w:tc>
                <w:tc>
                  <w:tcPr>
                    <w:tcW w:w="2003" w:type="dxa"/>
                    <w:shd w:val="clear" w:color="auto" w:fill="auto"/>
                  </w:tcPr>
                  <w:p>
                    <w:pPr>
                      <w:widowControl w:val="0"/>
                      <w:ind w:left="360"/>
                      <w:rPr>
                        <w:sz w:val="14"/>
                      </w:rPr>
                    </w:pPr>
                    <w:r>
                      <w:rPr>
                        <w:sz w:val="14"/>
                      </w:rPr>
                      <w:t xml:space="preserve">liemens palenkimai, stereotipiniai darbo judesiai,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36206</w:t>
                    </w:r>
                  </w:p>
                </w:tc>
                <w:tc>
                  <w:tcPr>
                    <w:tcW w:w="2003" w:type="dxa"/>
                    <w:tcBorders>
                      <w:bottom w:val="single" w:sz="4" w:space="0" w:color="auto"/>
                    </w:tcBorders>
                    <w:shd w:val="clear" w:color="auto" w:fill="auto"/>
                  </w:tcPr>
                  <w:p>
                    <w:pPr>
                      <w:widowControl w:val="0"/>
                      <w:ind w:left="360"/>
                      <w:rPr>
                        <w:sz w:val="14"/>
                      </w:rPr>
                    </w:pPr>
                    <w:r>
                      <w:rPr>
                        <w:sz w:val="14"/>
                      </w:rPr>
                      <w:t>krovinio kėlimas, pernešimas</w:t>
                    </w:r>
                  </w:p>
                </w:tc>
                <w:tc>
                  <w:tcPr>
                    <w:tcW w:w="1892" w:type="dxa"/>
                    <w:tcBorders>
                      <w:bottom w:val="single" w:sz="4" w:space="0" w:color="auto"/>
                    </w:tcBorders>
                    <w:shd w:val="clear" w:color="auto" w:fill="auto"/>
                  </w:tcPr>
                  <w:p>
                    <w:pPr>
                      <w:widowControl w:val="0"/>
                      <w:ind w:left="360"/>
                      <w:rPr>
                        <w:sz w:val="14"/>
                      </w:rPr>
                    </w:pPr>
                    <w:r>
                      <w:rPr>
                        <w:sz w:val="14"/>
                      </w:rPr>
                      <w:t>2.</w:t>
                    </w:r>
                  </w:p>
                </w:tc>
                <w:tc>
                  <w:tcPr>
                    <w:tcW w:w="2264" w:type="dxa"/>
                    <w:tcBorders>
                      <w:bottom w:val="single" w:sz="4" w:space="0" w:color="auto"/>
                    </w:tcBorders>
                    <w:shd w:val="clear" w:color="auto" w:fill="auto"/>
                  </w:tcPr>
                  <w:p>
                    <w:pPr>
                      <w:widowControl w:val="0"/>
                      <w:ind w:left="360"/>
                      <w:rPr>
                        <w:sz w:val="14"/>
                      </w:rPr>
                    </w:pPr>
                    <w:r>
                      <w:rPr>
                        <w:sz w:val="14"/>
                      </w:rPr>
                      <w:t>Polinozė</w:t>
                    </w:r>
                  </w:p>
                </w:tc>
              </w:tr>
              <w:tr>
                <w:tc>
                  <w:tcPr>
                    <w:tcW w:w="1209" w:type="dxa"/>
                    <w:tcBorders>
                      <w:top w:val="single" w:sz="4" w:space="0" w:color="auto"/>
                    </w:tcBorders>
                    <w:shd w:val="clear" w:color="auto" w:fill="auto"/>
                  </w:tcPr>
                  <w:p>
                    <w:pPr>
                      <w:widowControl w:val="0"/>
                      <w:ind w:left="360"/>
                      <w:rPr>
                        <w:sz w:val="14"/>
                      </w:rPr>
                    </w:pPr>
                    <w:r>
                      <w:rPr>
                        <w:sz w:val="14"/>
                      </w:rPr>
                      <w:t>26.</w:t>
                    </w:r>
                  </w:p>
                </w:tc>
                <w:tc>
                  <w:tcPr>
                    <w:tcW w:w="2442" w:type="dxa"/>
                    <w:tcBorders>
                      <w:top w:val="single" w:sz="4" w:space="0" w:color="auto"/>
                    </w:tcBorders>
                    <w:shd w:val="clear" w:color="auto" w:fill="auto"/>
                  </w:tcPr>
                  <w:p>
                    <w:pPr>
                      <w:widowControl w:val="0"/>
                      <w:ind w:left="360"/>
                      <w:rPr>
                        <w:sz w:val="14"/>
                      </w:rPr>
                    </w:pPr>
                    <w:r>
                      <w:rPr>
                        <w:sz w:val="14"/>
                      </w:rPr>
                      <w:t>Bitininkų</w:t>
                    </w:r>
                  </w:p>
                </w:tc>
                <w:tc>
                  <w:tcPr>
                    <w:tcW w:w="2003" w:type="dxa"/>
                    <w:tcBorders>
                      <w:top w:val="single" w:sz="4" w:space="0" w:color="auto"/>
                    </w:tcBorders>
                    <w:shd w:val="clear" w:color="auto" w:fill="auto"/>
                  </w:tcPr>
                  <w:p>
                    <w:pPr>
                      <w:widowControl w:val="0"/>
                      <w:ind w:left="360"/>
                      <w:rPr>
                        <w:sz w:val="14"/>
                      </w:rPr>
                    </w:pPr>
                    <w:r>
                      <w:rPr>
                        <w:sz w:val="14"/>
                      </w:rPr>
                      <w:t xml:space="preserve">Oro temperatūra, judėjimo atstumas, darbo poza, </w:t>
                    </w:r>
                  </w:p>
                </w:tc>
                <w:tc>
                  <w:tcPr>
                    <w:tcW w:w="1892" w:type="dxa"/>
                    <w:tcBorders>
                      <w:top w:val="single" w:sz="4" w:space="0" w:color="auto"/>
                    </w:tcBorders>
                    <w:shd w:val="clear" w:color="auto" w:fill="auto"/>
                  </w:tcPr>
                  <w:p>
                    <w:pPr>
                      <w:widowControl w:val="0"/>
                      <w:ind w:left="360"/>
                      <w:rPr>
                        <w:sz w:val="14"/>
                      </w:rPr>
                    </w:pPr>
                    <w:r>
                      <w:rPr>
                        <w:sz w:val="14"/>
                      </w:rPr>
                      <w:t>Alergija bičių nuodams</w:t>
                    </w:r>
                  </w:p>
                </w:tc>
                <w:tc>
                  <w:tcPr>
                    <w:tcW w:w="2264" w:type="dxa"/>
                    <w:tcBorders>
                      <w:top w:val="single" w:sz="4" w:space="0" w:color="auto"/>
                    </w:tcBorders>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36249</w:t>
                    </w:r>
                  </w:p>
                </w:tc>
                <w:tc>
                  <w:tcPr>
                    <w:tcW w:w="2003" w:type="dxa"/>
                    <w:tcBorders>
                      <w:bottom w:val="single" w:sz="4" w:space="0" w:color="auto"/>
                    </w:tcBorders>
                    <w:shd w:val="clear" w:color="auto" w:fill="auto"/>
                  </w:tcPr>
                  <w:p>
                    <w:pPr>
                      <w:widowControl w:val="0"/>
                      <w:ind w:left="360"/>
                      <w:rPr>
                        <w:sz w:val="14"/>
                      </w:rPr>
                    </w:pPr>
                    <w:r>
                      <w:rPr>
                        <w:sz w:val="14"/>
                      </w:rPr>
                      <w:t>regos analizatorius</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27.</w:t>
                    </w:r>
                  </w:p>
                </w:tc>
                <w:tc>
                  <w:tcPr>
                    <w:tcW w:w="2442" w:type="dxa"/>
                    <w:tcBorders>
                      <w:top w:val="single" w:sz="4" w:space="0" w:color="auto"/>
                    </w:tcBorders>
                    <w:shd w:val="clear" w:color="auto" w:fill="auto"/>
                  </w:tcPr>
                  <w:p>
                    <w:pPr>
                      <w:widowControl w:val="0"/>
                      <w:ind w:left="360"/>
                      <w:rPr>
                        <w:sz w:val="14"/>
                      </w:rPr>
                    </w:pPr>
                    <w:r>
                      <w:rPr>
                        <w:sz w:val="14"/>
                      </w:rPr>
                      <w:t>Miškininkų</w:t>
                    </w:r>
                  </w:p>
                </w:tc>
                <w:tc>
                  <w:tcPr>
                    <w:tcW w:w="2003" w:type="dxa"/>
                    <w:tcBorders>
                      <w:top w:val="single" w:sz="4" w:space="0" w:color="auto"/>
                    </w:tcBorders>
                    <w:shd w:val="clear" w:color="auto" w:fill="auto"/>
                  </w:tcPr>
                  <w:p>
                    <w:pPr>
                      <w:widowControl w:val="0"/>
                      <w:ind w:left="360"/>
                      <w:rPr>
                        <w:sz w:val="14"/>
                      </w:rPr>
                    </w:pPr>
                    <w:r>
                      <w:rPr>
                        <w:sz w:val="14"/>
                      </w:rPr>
                      <w:t xml:space="preserve">Oro temperatūra, judėjimo atstumas, darbo poza,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Epilepsija su dažnais paroksizmais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36262</w:t>
                    </w:r>
                  </w:p>
                </w:tc>
                <w:tc>
                  <w:tcPr>
                    <w:tcW w:w="2003" w:type="dxa"/>
                    <w:tcBorders>
                      <w:bottom w:val="single" w:sz="4" w:space="0" w:color="auto"/>
                    </w:tcBorders>
                    <w:shd w:val="clear" w:color="auto" w:fill="auto"/>
                  </w:tcPr>
                  <w:p>
                    <w:pPr>
                      <w:widowControl w:val="0"/>
                      <w:ind w:left="360"/>
                      <w:rPr>
                        <w:sz w:val="14"/>
                      </w:rPr>
                    </w:pPr>
                    <w:r>
                      <w:rPr>
                        <w:sz w:val="14"/>
                      </w:rPr>
                      <w:t>regos analizatorius</w:t>
                    </w:r>
                  </w:p>
                </w:tc>
                <w:tc>
                  <w:tcPr>
                    <w:tcW w:w="1892" w:type="dxa"/>
                    <w:tcBorders>
                      <w:bottom w:val="single" w:sz="4" w:space="0" w:color="auto"/>
                    </w:tcBorders>
                    <w:shd w:val="clear" w:color="auto" w:fill="auto"/>
                  </w:tcPr>
                  <w:p>
                    <w:pPr>
                      <w:widowControl w:val="0"/>
                      <w:ind w:left="360"/>
                      <w:rPr>
                        <w:sz w:val="14"/>
                      </w:rPr>
                    </w:pPr>
                    <w:r>
                      <w:rPr>
                        <w:sz w:val="14"/>
                      </w:rPr>
                      <w:t>2.</w:t>
                    </w:r>
                  </w:p>
                </w:tc>
                <w:tc>
                  <w:tcPr>
                    <w:tcW w:w="2264" w:type="dxa"/>
                    <w:tcBorders>
                      <w:bottom w:val="single" w:sz="4" w:space="0" w:color="auto"/>
                    </w:tcBorders>
                    <w:shd w:val="clear" w:color="auto" w:fill="auto"/>
                  </w:tcPr>
                  <w:p>
                    <w:pPr>
                      <w:widowControl w:val="0"/>
                      <w:ind w:left="360"/>
                      <w:rPr>
                        <w:sz w:val="14"/>
                      </w:rPr>
                    </w:pPr>
                    <w:r>
                      <w:rPr>
                        <w:sz w:val="14"/>
                      </w:rPr>
                      <w:t>Cukrinis diabetas esant komplikacijų</w:t>
                    </w:r>
                  </w:p>
                </w:tc>
              </w:tr>
              <w:tr>
                <w:tc>
                  <w:tcPr>
                    <w:tcW w:w="1209" w:type="dxa"/>
                    <w:tcBorders>
                      <w:top w:val="single" w:sz="4" w:space="0" w:color="auto"/>
                    </w:tcBorders>
                    <w:shd w:val="clear" w:color="auto" w:fill="auto"/>
                  </w:tcPr>
                  <w:p>
                    <w:pPr>
                      <w:widowControl w:val="0"/>
                      <w:ind w:left="360"/>
                      <w:rPr>
                        <w:sz w:val="14"/>
                      </w:rPr>
                    </w:pPr>
                    <w:r>
                      <w:rPr>
                        <w:sz w:val="14"/>
                      </w:rPr>
                      <w:t>28.</w:t>
                    </w:r>
                  </w:p>
                </w:tc>
                <w:tc>
                  <w:tcPr>
                    <w:tcW w:w="2442" w:type="dxa"/>
                    <w:tcBorders>
                      <w:top w:val="single" w:sz="4" w:space="0" w:color="auto"/>
                    </w:tcBorders>
                    <w:shd w:val="clear" w:color="auto" w:fill="auto"/>
                  </w:tcPr>
                  <w:p>
                    <w:pPr>
                      <w:widowControl w:val="0"/>
                      <w:ind w:left="360"/>
                      <w:rPr>
                        <w:sz w:val="14"/>
                      </w:rPr>
                    </w:pPr>
                    <w:r>
                      <w:rPr>
                        <w:sz w:val="14"/>
                      </w:rPr>
                      <w:t>Žuvininkų</w:t>
                    </w:r>
                  </w:p>
                </w:tc>
                <w:tc>
                  <w:tcPr>
                    <w:tcW w:w="2003" w:type="dxa"/>
                    <w:tcBorders>
                      <w:top w:val="single" w:sz="4" w:space="0" w:color="auto"/>
                    </w:tcBorders>
                    <w:shd w:val="clear" w:color="auto" w:fill="auto"/>
                  </w:tcPr>
                  <w:p>
                    <w:pPr>
                      <w:widowControl w:val="0"/>
                      <w:ind w:left="360"/>
                      <w:rPr>
                        <w:sz w:val="14"/>
                      </w:rPr>
                    </w:pPr>
                    <w:r>
                      <w:rPr>
                        <w:sz w:val="14"/>
                      </w:rPr>
                      <w:t xml:space="preserve">Oro temperatūra, judėjimo atstumas, darbo poza,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Epilepsija</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36272</w:t>
                    </w:r>
                  </w:p>
                </w:tc>
                <w:tc>
                  <w:tcPr>
                    <w:tcW w:w="2003" w:type="dxa"/>
                    <w:tcBorders>
                      <w:bottom w:val="single" w:sz="4" w:space="0" w:color="auto"/>
                    </w:tcBorders>
                    <w:shd w:val="clear" w:color="auto" w:fill="auto"/>
                  </w:tcPr>
                  <w:p>
                    <w:pPr>
                      <w:widowControl w:val="0"/>
                      <w:ind w:left="360"/>
                      <w:rPr>
                        <w:sz w:val="14"/>
                      </w:rPr>
                    </w:pPr>
                    <w:r>
                      <w:rPr>
                        <w:sz w:val="14"/>
                      </w:rPr>
                      <w:t>regos analizatorius</w:t>
                    </w:r>
                  </w:p>
                </w:tc>
                <w:tc>
                  <w:tcPr>
                    <w:tcW w:w="1892" w:type="dxa"/>
                    <w:tcBorders>
                      <w:bottom w:val="single" w:sz="4" w:space="0" w:color="auto"/>
                    </w:tcBorders>
                    <w:shd w:val="clear" w:color="auto" w:fill="auto"/>
                  </w:tcPr>
                  <w:p>
                    <w:pPr>
                      <w:widowControl w:val="0"/>
                      <w:ind w:left="360"/>
                      <w:rPr>
                        <w:sz w:val="14"/>
                      </w:rPr>
                    </w:pPr>
                    <w:r>
                      <w:rPr>
                        <w:sz w:val="14"/>
                      </w:rPr>
                      <w:t>2.</w:t>
                    </w:r>
                  </w:p>
                </w:tc>
                <w:tc>
                  <w:tcPr>
                    <w:tcW w:w="2264" w:type="dxa"/>
                    <w:tcBorders>
                      <w:bottom w:val="single" w:sz="4" w:space="0" w:color="auto"/>
                    </w:tcBorders>
                    <w:shd w:val="clear" w:color="auto" w:fill="auto"/>
                  </w:tcPr>
                  <w:p>
                    <w:pPr>
                      <w:widowControl w:val="0"/>
                      <w:ind w:left="360"/>
                      <w:rPr>
                        <w:sz w:val="14"/>
                      </w:rPr>
                    </w:pPr>
                    <w:r>
                      <w:rPr>
                        <w:sz w:val="14"/>
                      </w:rPr>
                      <w:t>Cukrinis diabetas esant komplikacijų</w:t>
                    </w:r>
                  </w:p>
                </w:tc>
              </w:tr>
              <w:tr>
                <w:tc>
                  <w:tcPr>
                    <w:tcW w:w="1209" w:type="dxa"/>
                    <w:tcBorders>
                      <w:top w:val="single" w:sz="4" w:space="0" w:color="auto"/>
                    </w:tcBorders>
                    <w:shd w:val="clear" w:color="auto" w:fill="auto"/>
                  </w:tcPr>
                  <w:p>
                    <w:pPr>
                      <w:widowControl w:val="0"/>
                      <w:ind w:left="360"/>
                      <w:rPr>
                        <w:sz w:val="14"/>
                      </w:rPr>
                    </w:pPr>
                    <w:r>
                      <w:rPr>
                        <w:sz w:val="14"/>
                      </w:rPr>
                      <w:t>29.</w:t>
                    </w:r>
                  </w:p>
                </w:tc>
                <w:tc>
                  <w:tcPr>
                    <w:tcW w:w="2442" w:type="dxa"/>
                    <w:tcBorders>
                      <w:top w:val="single" w:sz="4" w:space="0" w:color="auto"/>
                    </w:tcBorders>
                    <w:shd w:val="clear" w:color="auto" w:fill="auto"/>
                  </w:tcPr>
                  <w:p>
                    <w:pPr>
                      <w:widowControl w:val="0"/>
                      <w:ind w:left="360"/>
                      <w:rPr>
                        <w:sz w:val="14"/>
                      </w:rPr>
                    </w:pPr>
                    <w:r>
                      <w:rPr>
                        <w:sz w:val="14"/>
                      </w:rPr>
                      <w:t xml:space="preserve">Namų ūkio ekonomės, </w:t>
                    </w:r>
                  </w:p>
                </w:tc>
                <w:tc>
                  <w:tcPr>
                    <w:tcW w:w="2003" w:type="dxa"/>
                    <w:tcBorders>
                      <w:top w:val="single" w:sz="4" w:space="0" w:color="auto"/>
                    </w:tcBorders>
                    <w:shd w:val="clear" w:color="auto" w:fill="auto"/>
                  </w:tcPr>
                  <w:p>
                    <w:pPr>
                      <w:widowControl w:val="0"/>
                      <w:ind w:left="360"/>
                      <w:rPr>
                        <w:sz w:val="14"/>
                      </w:rPr>
                    </w:pPr>
                    <w:r>
                      <w:rPr>
                        <w:sz w:val="14"/>
                      </w:rPr>
                      <w:t>Oro temperatūra, judėjimo atstumas, judrus</w:t>
                    </w:r>
                  </w:p>
                </w:tc>
                <w:tc>
                  <w:tcPr>
                    <w:tcW w:w="1892" w:type="dxa"/>
                    <w:tcBorders>
                      <w:top w:val="single" w:sz="4" w:space="0" w:color="auto"/>
                    </w:tcBorders>
                    <w:shd w:val="clear" w:color="auto" w:fill="auto"/>
                  </w:tcPr>
                  <w:p>
                    <w:pPr>
                      <w:widowControl w:val="0"/>
                      <w:ind w:left="360"/>
                      <w:rPr>
                        <w:sz w:val="14"/>
                      </w:rPr>
                    </w:pP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pagalbininkės, meistro, </w:t>
                    </w:r>
                  </w:p>
                </w:tc>
                <w:tc>
                  <w:tcPr>
                    <w:tcW w:w="2003" w:type="dxa"/>
                    <w:shd w:val="clear" w:color="auto" w:fill="auto"/>
                  </w:tcPr>
                  <w:p>
                    <w:pPr>
                      <w:widowControl w:val="0"/>
                      <w:ind w:left="360"/>
                      <w:rPr>
                        <w:sz w:val="14"/>
                      </w:rPr>
                    </w:pPr>
                    <w:r>
                      <w:rPr>
                        <w:sz w:val="14"/>
                      </w:rPr>
                      <w:t>darbas, stereotipiniai darbo judesiai, dalyvaujant</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komunalinio ūkio meistro</w:t>
                    </w:r>
                  </w:p>
                </w:tc>
                <w:tc>
                  <w:tcPr>
                    <w:tcW w:w="2003" w:type="dxa"/>
                    <w:shd w:val="clear" w:color="auto" w:fill="auto"/>
                  </w:tcPr>
                  <w:p>
                    <w:pPr>
                      <w:widowControl w:val="0"/>
                      <w:ind w:left="360"/>
                      <w:rPr>
                        <w:sz w:val="14"/>
                      </w:rPr>
                    </w:pPr>
                    <w:r>
                      <w:rPr>
                        <w:sz w:val="14"/>
                      </w:rPr>
                      <w:t>pečių, rankų, plaštakų, pirštų raumenims, darbo</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36606</w:t>
                    </w:r>
                  </w:p>
                </w:tc>
                <w:tc>
                  <w:tcPr>
                    <w:tcW w:w="2003" w:type="dxa"/>
                    <w:shd w:val="clear" w:color="auto" w:fill="auto"/>
                  </w:tcPr>
                  <w:p>
                    <w:pPr>
                      <w:widowControl w:val="0"/>
                      <w:ind w:left="360"/>
                      <w:rPr>
                        <w:sz w:val="14"/>
                      </w:rPr>
                    </w:pPr>
                    <w:r>
                      <w:rPr>
                        <w:sz w:val="14"/>
                      </w:rPr>
                      <w:t>poza, pasilenkimai, informacinių signalų priėmimas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r>
                      <w:rPr>
                        <w:sz w:val="14"/>
                      </w:rPr>
                      <w:t>regos, klausos analizatoriai</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30.</w:t>
                    </w:r>
                  </w:p>
                </w:tc>
                <w:tc>
                  <w:tcPr>
                    <w:tcW w:w="2442" w:type="dxa"/>
                    <w:tcBorders>
                      <w:top w:val="single" w:sz="4" w:space="0" w:color="auto"/>
                    </w:tcBorders>
                    <w:shd w:val="clear" w:color="auto" w:fill="auto"/>
                  </w:tcPr>
                  <w:p>
                    <w:pPr>
                      <w:widowControl w:val="0"/>
                      <w:ind w:left="360"/>
                      <w:rPr>
                        <w:sz w:val="14"/>
                      </w:rPr>
                    </w:pPr>
                    <w:r>
                      <w:rPr>
                        <w:sz w:val="14"/>
                      </w:rPr>
                      <w:t xml:space="preserve">Jūreivių, laivų motoristų, </w:t>
                    </w:r>
                  </w:p>
                </w:tc>
                <w:tc>
                  <w:tcPr>
                    <w:tcW w:w="2003" w:type="dxa"/>
                    <w:tcBorders>
                      <w:top w:val="single" w:sz="4" w:space="0" w:color="auto"/>
                    </w:tcBorders>
                    <w:shd w:val="clear" w:color="auto" w:fill="auto"/>
                  </w:tcPr>
                  <w:p>
                    <w:pPr>
                      <w:widowControl w:val="0"/>
                      <w:ind w:left="360"/>
                      <w:rPr>
                        <w:sz w:val="14"/>
                      </w:rPr>
                    </w:pPr>
                    <w:r>
                      <w:rPr>
                        <w:sz w:val="14"/>
                      </w:rPr>
                      <w:t xml:space="preserve">Oro temperatūra, judėjimo atstumas, judrus </w:t>
                    </w:r>
                  </w:p>
                </w:tc>
                <w:tc>
                  <w:tcPr>
                    <w:tcW w:w="1892" w:type="dxa"/>
                    <w:tcBorders>
                      <w:top w:val="single" w:sz="4" w:space="0" w:color="auto"/>
                    </w:tcBorders>
                    <w:shd w:val="clear" w:color="auto" w:fill="auto"/>
                  </w:tcPr>
                  <w:p>
                    <w:pPr>
                      <w:widowControl w:val="0"/>
                      <w:ind w:left="360"/>
                      <w:rPr>
                        <w:sz w:val="14"/>
                      </w:rPr>
                    </w:pPr>
                    <w:r>
                      <w:rPr>
                        <w:sz w:val="14"/>
                      </w:rPr>
                      <w:t>Vadovautis jūrininkų sveikatos tikrinimo tarka</w:t>
                    </w: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korpusų remontininkų, </w:t>
                    </w:r>
                  </w:p>
                </w:tc>
                <w:tc>
                  <w:tcPr>
                    <w:tcW w:w="2003" w:type="dxa"/>
                    <w:shd w:val="clear" w:color="auto" w:fill="auto"/>
                  </w:tcPr>
                  <w:p>
                    <w:pPr>
                      <w:widowControl w:val="0"/>
                      <w:ind w:left="360"/>
                      <w:rPr>
                        <w:sz w:val="14"/>
                      </w:rPr>
                    </w:pPr>
                    <w:r>
                      <w:rPr>
                        <w:sz w:val="14"/>
                      </w:rPr>
                      <w:t>darbas, stereotipiniai darbo judesiai, dalyvaujant</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suvirintojų, sistemų </w:t>
                    </w:r>
                  </w:p>
                </w:tc>
                <w:tc>
                  <w:tcPr>
                    <w:tcW w:w="2003" w:type="dxa"/>
                    <w:shd w:val="clear" w:color="auto" w:fill="auto"/>
                  </w:tcPr>
                  <w:p>
                    <w:pPr>
                      <w:widowControl w:val="0"/>
                      <w:ind w:left="360"/>
                      <w:rPr>
                        <w:sz w:val="14"/>
                      </w:rPr>
                    </w:pPr>
                    <w:r>
                      <w:rPr>
                        <w:sz w:val="14"/>
                      </w:rPr>
                      <w:t>pečių, rankų, plaštakų, pirštų raumenims, darbo</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surinkėjų</w:t>
                    </w:r>
                  </w:p>
                </w:tc>
                <w:tc>
                  <w:tcPr>
                    <w:tcW w:w="2003" w:type="dxa"/>
                    <w:shd w:val="clear" w:color="auto" w:fill="auto"/>
                  </w:tcPr>
                  <w:p>
                    <w:pPr>
                      <w:widowControl w:val="0"/>
                      <w:ind w:left="360"/>
                      <w:rPr>
                        <w:sz w:val="14"/>
                      </w:rPr>
                    </w:pPr>
                    <w:r>
                      <w:rPr>
                        <w:sz w:val="14"/>
                      </w:rPr>
                      <w:t>poza, pasilenkimai, informacinių signalų priėmimas,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regos, klausos analizatoriai</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Nekeleivinių laivų </w:t>
                    </w:r>
                  </w:p>
                </w:tc>
                <w:tc>
                  <w:tcPr>
                    <w:tcW w:w="2003" w:type="dxa"/>
                    <w:shd w:val="clear" w:color="auto" w:fill="auto"/>
                  </w:tcPr>
                  <w:p>
                    <w:pPr>
                      <w:widowControl w:val="0"/>
                      <w:ind w:left="360"/>
                      <w:rPr>
                        <w:sz w:val="14"/>
                      </w:rPr>
                    </w:pPr>
                    <w:r>
                      <w:rPr>
                        <w:sz w:val="14"/>
                      </w:rPr>
                      <w:t xml:space="preserve">Aplinkos temperatūra, darbo judesiai, dalyvaujant </w:t>
                    </w:r>
                  </w:p>
                </w:tc>
                <w:tc>
                  <w:tcPr>
                    <w:tcW w:w="1892" w:type="dxa"/>
                    <w:shd w:val="clear" w:color="auto" w:fill="auto"/>
                  </w:tcPr>
                  <w:p>
                    <w:pPr>
                      <w:widowControl w:val="0"/>
                      <w:ind w:left="360"/>
                      <w:rPr>
                        <w:sz w:val="14"/>
                      </w:rPr>
                    </w:pPr>
                    <w:r>
                      <w:rPr>
                        <w:sz w:val="14"/>
                      </w:rPr>
                      <w:t>Vadovautis jūrininkų sveikatos tikrinimo tvarka</w:t>
                    </w: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jūreivių, virėjų</w:t>
                    </w:r>
                  </w:p>
                </w:tc>
                <w:tc>
                  <w:tcPr>
                    <w:tcW w:w="2003" w:type="dxa"/>
                    <w:shd w:val="clear" w:color="auto" w:fill="auto"/>
                  </w:tcPr>
                  <w:p>
                    <w:pPr>
                      <w:widowControl w:val="0"/>
                      <w:ind w:left="360"/>
                      <w:rPr>
                        <w:sz w:val="14"/>
                      </w:rPr>
                    </w:pPr>
                    <w:r>
                      <w:rPr>
                        <w:sz w:val="14"/>
                      </w:rPr>
                      <w:t>rankos, plaštakos, pirštų raumenims, darbo poza,</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37004</w:t>
                    </w:r>
                  </w:p>
                </w:tc>
                <w:tc>
                  <w:tcPr>
                    <w:tcW w:w="2003" w:type="dxa"/>
                    <w:tcBorders>
                      <w:bottom w:val="single" w:sz="4" w:space="0" w:color="auto"/>
                    </w:tcBorders>
                    <w:shd w:val="clear" w:color="auto" w:fill="auto"/>
                  </w:tcPr>
                  <w:p>
                    <w:pPr>
                      <w:widowControl w:val="0"/>
                      <w:ind w:left="360"/>
                      <w:rPr>
                        <w:sz w:val="14"/>
                      </w:rPr>
                    </w:pPr>
                    <w:r>
                      <w:rPr>
                        <w:sz w:val="14"/>
                      </w:rPr>
                      <w:t>judėjimo atstumas</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31.</w:t>
                    </w:r>
                  </w:p>
                </w:tc>
                <w:tc>
                  <w:tcPr>
                    <w:tcW w:w="2442" w:type="dxa"/>
                    <w:tcBorders>
                      <w:top w:val="single" w:sz="4" w:space="0" w:color="auto"/>
                    </w:tcBorders>
                    <w:shd w:val="clear" w:color="auto" w:fill="auto"/>
                  </w:tcPr>
                  <w:p>
                    <w:pPr>
                      <w:widowControl w:val="0"/>
                      <w:ind w:left="360"/>
                      <w:rPr>
                        <w:sz w:val="14"/>
                        <w:szCs w:val="14"/>
                        <w:lang w:eastAsia="lt-LT"/>
                      </w:rPr>
                    </w:pPr>
                    <w:r>
                      <w:rPr>
                        <w:sz w:val="14"/>
                        <w:szCs w:val="14"/>
                        <w:lang w:eastAsia="lt-LT"/>
                      </w:rPr>
                      <w:t>Lokomotyvo mašinistų, padėjėjų, keleivinių traukinių vagonų palydovų, stoties budėtojų, SCB ir kontaktinio tinklo elektromontuotojų, riedmenų vagonų remontininkų, automotoristų, drezinų, geležinkelio kranų mašinistų ir remontininkų</w:t>
                    </w:r>
                  </w:p>
                  <w:p>
                    <w:pPr>
                      <w:widowControl w:val="0"/>
                      <w:ind w:left="360"/>
                      <w:rPr>
                        <w:sz w:val="14"/>
                      </w:rPr>
                    </w:pPr>
                    <w:r>
                      <w:rPr>
                        <w:sz w:val="14"/>
                        <w:szCs w:val="14"/>
                        <w:lang w:eastAsia="lt-LT"/>
                      </w:rPr>
                      <w:t>M kodas 37006</w:t>
                    </w:r>
                  </w:p>
                </w:tc>
                <w:tc>
                  <w:tcPr>
                    <w:tcW w:w="2003" w:type="dxa"/>
                    <w:tcBorders>
                      <w:top w:val="single" w:sz="4" w:space="0" w:color="auto"/>
                    </w:tcBorders>
                    <w:shd w:val="clear" w:color="auto" w:fill="auto"/>
                  </w:tcPr>
                  <w:p>
                    <w:pPr>
                      <w:widowControl w:val="0"/>
                      <w:ind w:left="360"/>
                      <w:rPr>
                        <w:sz w:val="14"/>
                      </w:rPr>
                    </w:pPr>
                    <w:r>
                      <w:rPr>
                        <w:sz w:val="14"/>
                        <w:szCs w:val="14"/>
                        <w:lang w:eastAsia="lt-LT"/>
                      </w:rPr>
                      <w:t>Oro temperatūra, judrus darbas, informacinių signalų priėmimas, regos, klausos analizatoria</w:t>
                    </w:r>
                  </w:p>
                </w:tc>
                <w:tc>
                  <w:tcPr>
                    <w:tcW w:w="1892" w:type="dxa"/>
                    <w:tcBorders>
                      <w:top w:val="single" w:sz="4" w:space="0" w:color="auto"/>
                    </w:tcBorders>
                    <w:shd w:val="clear" w:color="auto" w:fill="auto"/>
                  </w:tcPr>
                  <w:p>
                    <w:pPr>
                      <w:widowControl w:val="0"/>
                      <w:ind w:left="360"/>
                      <w:rPr>
                        <w:sz w:val="14"/>
                      </w:rPr>
                    </w:pPr>
                    <w:r>
                      <w:rPr>
                        <w:sz w:val="14"/>
                        <w:szCs w:val="14"/>
                        <w:lang w:eastAsia="lt-LT"/>
                      </w:rPr>
                      <w:t xml:space="preserve">Vadovautis </w:t>
                    </w:r>
                    <w:r>
                      <w:rPr>
                        <w:color w:val="000000"/>
                        <w:sz w:val="14"/>
                        <w:szCs w:val="14"/>
                        <w:lang w:eastAsia="lt-LT"/>
                      </w:rPr>
                      <w:t xml:space="preserve">Traukinio mašinistų ir </w:t>
                    </w:r>
                    <w:r>
                      <w:rPr>
                        <w:color w:val="000000"/>
                        <w:sz w:val="14"/>
                        <w:szCs w:val="14"/>
                      </w:rPr>
                      <w:t>darbuotojų, atliekančių eismo saugai užtikrinti svarbias užduotis</w:t>
                    </w:r>
                    <w:r>
                      <w:rPr>
                        <w:color w:val="000000"/>
                        <w:sz w:val="14"/>
                        <w:szCs w:val="14"/>
                        <w:lang w:eastAsia="lt-LT"/>
                      </w:rPr>
                      <w:t xml:space="preserve">, sveikatos tikrinimo tvarkos </w:t>
                    </w:r>
                    <w:r>
                      <w:rPr>
                        <w:color w:val="000000"/>
                        <w:sz w:val="14"/>
                        <w:szCs w:val="14"/>
                      </w:rPr>
                      <w:t>aprašu</w:t>
                    </w:r>
                    <w:r>
                      <w:rPr>
                        <w:sz w:val="14"/>
                      </w:rPr>
                      <w:t xml:space="preserve"> </w:t>
                    </w:r>
                  </w:p>
                </w:tc>
                <w:tc>
                  <w:tcPr>
                    <w:tcW w:w="2264" w:type="dxa"/>
                    <w:tcBorders>
                      <w:top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32.</w:t>
                    </w:r>
                  </w:p>
                </w:tc>
                <w:tc>
                  <w:tcPr>
                    <w:tcW w:w="2442" w:type="dxa"/>
                    <w:tcBorders>
                      <w:top w:val="single" w:sz="4" w:space="0" w:color="auto"/>
                    </w:tcBorders>
                    <w:shd w:val="clear" w:color="auto" w:fill="auto"/>
                  </w:tcPr>
                  <w:p>
                    <w:pPr>
                      <w:widowControl w:val="0"/>
                      <w:ind w:left="360"/>
                      <w:rPr>
                        <w:sz w:val="14"/>
                      </w:rPr>
                    </w:pPr>
                    <w:r>
                      <w:rPr>
                        <w:sz w:val="14"/>
                      </w:rPr>
                      <w:t>Pašto operatorių, teletaipo,</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rankos,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Klausos susilpnėjimas (tiriant šnabždesiu – iki 3m)</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telefakso, kompiuterio </w:t>
                    </w:r>
                  </w:p>
                </w:tc>
                <w:tc>
                  <w:tcPr>
                    <w:tcW w:w="2003" w:type="dxa"/>
                    <w:shd w:val="clear" w:color="auto" w:fill="auto"/>
                  </w:tcPr>
                  <w:p>
                    <w:pPr>
                      <w:widowControl w:val="0"/>
                      <w:ind w:left="360"/>
                      <w:rPr>
                        <w:sz w:val="14"/>
                      </w:rPr>
                    </w:pPr>
                    <w:r>
                      <w:rPr>
                        <w:sz w:val="14"/>
                      </w:rPr>
                      <w:t>plaštakos, pirštų raumenims, darbo poza, dėmesys</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Miopija daugiau kaip 6,0D. Regos korekcija 05/02</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operatorių</w:t>
                    </w:r>
                  </w:p>
                </w:tc>
                <w:tc>
                  <w:tcPr>
                    <w:tcW w:w="2003" w:type="dxa"/>
                    <w:shd w:val="clear" w:color="auto" w:fill="auto"/>
                  </w:tcPr>
                  <w:p>
                    <w:pPr>
                      <w:widowControl w:val="0"/>
                      <w:ind w:left="360" w:firstLine="36"/>
                      <w:rPr>
                        <w:sz w:val="14"/>
                      </w:rPr>
                    </w:pPr>
                    <w:r>
                      <w:rPr>
                        <w:sz w:val="14"/>
                      </w:rPr>
                      <w:t xml:space="preserve">regos ir klausos analizatoriai, informacinių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Šizofrenija, esant rezistentiškų gydymui sutrikimų bei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37026</w:t>
                    </w:r>
                  </w:p>
                </w:tc>
                <w:tc>
                  <w:tcPr>
                    <w:tcW w:w="2003" w:type="dxa"/>
                    <w:tcBorders>
                      <w:bottom w:val="single" w:sz="4" w:space="0" w:color="auto"/>
                    </w:tcBorders>
                    <w:shd w:val="clear" w:color="auto" w:fill="auto"/>
                  </w:tcPr>
                  <w:p>
                    <w:pPr>
                      <w:widowControl w:val="0"/>
                      <w:ind w:left="360"/>
                      <w:rPr>
                        <w:sz w:val="14"/>
                      </w:rPr>
                    </w:pPr>
                    <w:r>
                      <w:rPr>
                        <w:sz w:val="14"/>
                      </w:rPr>
                      <w:t>signalų priėmimas</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ligai sparčiai progresuojant</w:t>
                    </w:r>
                  </w:p>
                </w:tc>
              </w:tr>
              <w:tr>
                <w:tc>
                  <w:tcPr>
                    <w:tcW w:w="1209" w:type="dxa"/>
                    <w:tcBorders>
                      <w:top w:val="single" w:sz="4" w:space="0" w:color="auto"/>
                    </w:tcBorders>
                    <w:shd w:val="clear" w:color="auto" w:fill="auto"/>
                  </w:tcPr>
                  <w:p>
                    <w:pPr>
                      <w:widowControl w:val="0"/>
                      <w:ind w:left="360"/>
                      <w:rPr>
                        <w:sz w:val="14"/>
                      </w:rPr>
                    </w:pPr>
                    <w:r>
                      <w:rPr>
                        <w:sz w:val="14"/>
                      </w:rPr>
                      <w:t>33.</w:t>
                    </w:r>
                  </w:p>
                </w:tc>
                <w:tc>
                  <w:tcPr>
                    <w:tcW w:w="2442" w:type="dxa"/>
                    <w:tcBorders>
                      <w:top w:val="single" w:sz="4" w:space="0" w:color="auto"/>
                    </w:tcBorders>
                    <w:shd w:val="clear" w:color="auto" w:fill="auto"/>
                  </w:tcPr>
                  <w:p>
                    <w:pPr>
                      <w:widowControl w:val="0"/>
                      <w:ind w:left="360"/>
                      <w:rPr>
                        <w:sz w:val="14"/>
                      </w:rPr>
                    </w:pPr>
                    <w:r>
                      <w:rPr>
                        <w:sz w:val="14"/>
                      </w:rPr>
                      <w:t>Kirpėjų, kosmetikų</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rankos,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Epilepsija su dažnais paroksizmais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37812</w:t>
                    </w:r>
                  </w:p>
                </w:tc>
                <w:tc>
                  <w:tcPr>
                    <w:tcW w:w="2003" w:type="dxa"/>
                    <w:shd w:val="clear" w:color="auto" w:fill="auto"/>
                  </w:tcPr>
                  <w:p>
                    <w:pPr>
                      <w:widowControl w:val="0"/>
                      <w:ind w:left="360"/>
                      <w:rPr>
                        <w:sz w:val="14"/>
                      </w:rPr>
                    </w:pPr>
                    <w:r>
                      <w:rPr>
                        <w:sz w:val="14"/>
                      </w:rPr>
                      <w:t>plaštakos, pirštų raumenims, darbo poza, dėmesys</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Alergija cheminėms medžiagoms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firstLine="36"/>
                      <w:rPr>
                        <w:sz w:val="14"/>
                      </w:rPr>
                    </w:pPr>
                    <w:r>
                      <w:rPr>
                        <w:sz w:val="14"/>
                      </w:rPr>
                      <w:t xml:space="preserve">regos analizatorius, informacinių signalų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Rankų odos lėtinės ligos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priėmimas, klausos analizatorius, monotonija, </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Miopija daugiau kaip 6,0D. Regos korekcija 08/07</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cheminės medžiagos</w:t>
                    </w: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Binokulinio matymo sutrikimas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6.</w:t>
                    </w:r>
                  </w:p>
                </w:tc>
                <w:tc>
                  <w:tcPr>
                    <w:tcW w:w="2264" w:type="dxa"/>
                    <w:shd w:val="clear" w:color="auto" w:fill="auto"/>
                  </w:tcPr>
                  <w:p>
                    <w:pPr>
                      <w:widowControl w:val="0"/>
                      <w:ind w:left="360"/>
                      <w:rPr>
                        <w:sz w:val="14"/>
                      </w:rPr>
                    </w:pPr>
                    <w:r>
                      <w:rPr>
                        <w:sz w:val="14"/>
                      </w:rPr>
                      <w:t>Šizofrenija, esant rezistentiškų gydymui sutrikimų bei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ligai sparčiai progresuojant</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7.</w:t>
                    </w:r>
                  </w:p>
                </w:tc>
                <w:tc>
                  <w:tcPr>
                    <w:tcW w:w="2264" w:type="dxa"/>
                    <w:shd w:val="clear" w:color="auto" w:fill="auto"/>
                  </w:tcPr>
                  <w:p>
                    <w:pPr>
                      <w:widowControl w:val="0"/>
                      <w:ind w:left="360"/>
                      <w:rPr>
                        <w:sz w:val="14"/>
                      </w:rPr>
                    </w:pPr>
                    <w:r>
                      <w:rPr>
                        <w:sz w:val="14"/>
                      </w:rPr>
                      <w:t>Centrinės nervų sistemos susirgimų ar traumų padariniai,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kai yra funkcijos sutrikimų</w:t>
                    </w:r>
                  </w:p>
                </w:tc>
              </w:tr>
              <w:tr>
                <w:tc>
                  <w:tcPr>
                    <w:tcW w:w="1209" w:type="dxa"/>
                    <w:tcBorders>
                      <w:top w:val="single" w:sz="4" w:space="0" w:color="auto"/>
                    </w:tcBorders>
                    <w:shd w:val="clear" w:color="auto" w:fill="auto"/>
                  </w:tcPr>
                  <w:p>
                    <w:pPr>
                      <w:widowControl w:val="0"/>
                      <w:ind w:left="360"/>
                      <w:rPr>
                        <w:sz w:val="14"/>
                      </w:rPr>
                    </w:pPr>
                    <w:r>
                      <w:rPr>
                        <w:sz w:val="14"/>
                      </w:rPr>
                      <w:t>34.</w:t>
                    </w:r>
                  </w:p>
                </w:tc>
                <w:tc>
                  <w:tcPr>
                    <w:tcW w:w="2442" w:type="dxa"/>
                    <w:tcBorders>
                      <w:top w:val="single" w:sz="4" w:space="0" w:color="auto"/>
                    </w:tcBorders>
                    <w:shd w:val="clear" w:color="auto" w:fill="auto"/>
                  </w:tcPr>
                  <w:p>
                    <w:pPr>
                      <w:widowControl w:val="0"/>
                      <w:ind w:left="360"/>
                      <w:rPr>
                        <w:sz w:val="14"/>
                      </w:rPr>
                    </w:pPr>
                    <w:r>
                      <w:rPr>
                        <w:sz w:val="14"/>
                      </w:rPr>
                      <w:t>Padavėjų, barmenų, virėjų</w:t>
                    </w:r>
                  </w:p>
                </w:tc>
                <w:tc>
                  <w:tcPr>
                    <w:tcW w:w="2003" w:type="dxa"/>
                    <w:tcBorders>
                      <w:top w:val="single" w:sz="4" w:space="0" w:color="auto"/>
                    </w:tcBorders>
                    <w:shd w:val="clear" w:color="auto" w:fill="auto"/>
                  </w:tcPr>
                  <w:p>
                    <w:pPr>
                      <w:widowControl w:val="0"/>
                      <w:ind w:left="360"/>
                      <w:rPr>
                        <w:sz w:val="14"/>
                      </w:rPr>
                    </w:pPr>
                    <w:r>
                      <w:rPr>
                        <w:sz w:val="14"/>
                      </w:rPr>
                      <w:t xml:space="preserve">Oro temperatūra, judrus darbas, krovinio kėlimas,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Epilepsija su dažnais paroksizmais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37822</w:t>
                    </w:r>
                  </w:p>
                </w:tc>
                <w:tc>
                  <w:tcPr>
                    <w:tcW w:w="2003" w:type="dxa"/>
                    <w:shd w:val="clear" w:color="auto" w:fill="auto"/>
                  </w:tcPr>
                  <w:p>
                    <w:pPr>
                      <w:widowControl w:val="0"/>
                      <w:ind w:left="360"/>
                      <w:rPr>
                        <w:sz w:val="14"/>
                      </w:rPr>
                    </w:pPr>
                    <w:r>
                      <w:rPr>
                        <w:sz w:val="14"/>
                      </w:rPr>
                      <w:t xml:space="preserve">statinis krūvis, darbo poza, judėjimo atstumas,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dėmesys, informacinių signalų priėmimas, klausos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analizatorius, aukšta temperatūra – virėjams</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Miopija daugiau kaip 6,0D. Regos korekcija 07/04</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Ryškūs kalbos defektai (padavėjui, barmenui)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Šizofrenija, esant rezistentiškų gydymui sutrikimų bei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ligai sparčiai progresuojant</w:t>
                    </w:r>
                  </w:p>
                </w:tc>
              </w:tr>
              <w:tr>
                <w:tc>
                  <w:tcPr>
                    <w:tcW w:w="1209" w:type="dxa"/>
                    <w:tcBorders>
                      <w:top w:val="single" w:sz="4" w:space="0" w:color="auto"/>
                    </w:tcBorders>
                    <w:shd w:val="clear" w:color="auto" w:fill="auto"/>
                  </w:tcPr>
                  <w:p>
                    <w:pPr>
                      <w:widowControl w:val="0"/>
                      <w:ind w:left="360"/>
                      <w:rPr>
                        <w:sz w:val="14"/>
                      </w:rPr>
                    </w:pPr>
                    <w:r>
                      <w:rPr>
                        <w:sz w:val="14"/>
                      </w:rPr>
                      <w:t>35.</w:t>
                    </w:r>
                  </w:p>
                </w:tc>
                <w:tc>
                  <w:tcPr>
                    <w:tcW w:w="2442" w:type="dxa"/>
                    <w:tcBorders>
                      <w:top w:val="single" w:sz="4" w:space="0" w:color="auto"/>
                    </w:tcBorders>
                    <w:shd w:val="clear" w:color="auto" w:fill="auto"/>
                  </w:tcPr>
                  <w:p>
                    <w:pPr>
                      <w:widowControl w:val="0"/>
                      <w:ind w:left="360"/>
                      <w:rPr>
                        <w:sz w:val="14"/>
                      </w:rPr>
                    </w:pPr>
                    <w:r>
                      <w:rPr>
                        <w:sz w:val="14"/>
                      </w:rPr>
                      <w:t>Pardavėjų ir prekių žinovų</w:t>
                    </w:r>
                  </w:p>
                </w:tc>
                <w:tc>
                  <w:tcPr>
                    <w:tcW w:w="2003" w:type="dxa"/>
                    <w:tcBorders>
                      <w:top w:val="single" w:sz="4" w:space="0" w:color="auto"/>
                    </w:tcBorders>
                    <w:shd w:val="clear" w:color="auto" w:fill="auto"/>
                  </w:tcPr>
                  <w:p>
                    <w:pPr>
                      <w:widowControl w:val="0"/>
                      <w:ind w:left="360"/>
                      <w:rPr>
                        <w:sz w:val="14"/>
                      </w:rPr>
                    </w:pPr>
                    <w:r>
                      <w:rPr>
                        <w:sz w:val="14"/>
                      </w:rPr>
                      <w:t xml:space="preserve">Judrus darbas, darbo judesiai, dalyvaujant rankos,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 xml:space="preserve">Klausos susilpnėjimas (tiriant šnabždesiu -iki </w:t>
                    </w:r>
                    <w:smartTag w:uri="urn:schemas-microsoft-com:office:smarttags" w:element="metricconverter">
                      <w:smartTagPr>
                        <w:attr w:name="ProductID" w:val="3 m"/>
                      </w:smartTagPr>
                      <w:r>
                        <w:rPr>
                          <w:sz w:val="14"/>
                        </w:rPr>
                        <w:t>3 m</w:t>
                      </w:r>
                    </w:smartTag>
                    <w:r>
                      <w:rPr>
                        <w:sz w:val="14"/>
                      </w:rPr>
                      <w:t>)</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37862</w:t>
                    </w:r>
                  </w:p>
                </w:tc>
                <w:tc>
                  <w:tcPr>
                    <w:tcW w:w="2003" w:type="dxa"/>
                    <w:shd w:val="clear" w:color="auto" w:fill="auto"/>
                  </w:tcPr>
                  <w:p>
                    <w:pPr>
                      <w:widowControl w:val="0"/>
                      <w:ind w:left="360"/>
                      <w:rPr>
                        <w:sz w:val="14"/>
                      </w:rPr>
                    </w:pPr>
                    <w:r>
                      <w:rPr>
                        <w:sz w:val="14"/>
                      </w:rPr>
                      <w:t xml:space="preserve">plaštakos, pirštų raumenims, darbo poza,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Centrinės nervų sistemos ar traumų padariniai su ženkliu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dėmesys, regos, klausos analizatoriai</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judesių sutrikimu, trukdantys 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Šizofrenija, esant rezistentiškų gydymui sutrikimų bei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ligai sparčiai progresuojant</w:t>
                    </w:r>
                  </w:p>
                </w:tc>
              </w:tr>
              <w:tr>
                <w:tc>
                  <w:tcPr>
                    <w:tcW w:w="1209" w:type="dxa"/>
                    <w:tcBorders>
                      <w:top w:val="single" w:sz="4" w:space="0" w:color="auto"/>
                    </w:tcBorders>
                    <w:shd w:val="clear" w:color="auto" w:fill="auto"/>
                  </w:tcPr>
                  <w:p>
                    <w:pPr>
                      <w:widowControl w:val="0"/>
                      <w:ind w:left="360"/>
                      <w:rPr>
                        <w:sz w:val="14"/>
                      </w:rPr>
                    </w:pPr>
                    <w:r>
                      <w:rPr>
                        <w:sz w:val="14"/>
                      </w:rPr>
                      <w:t>36.</w:t>
                    </w:r>
                  </w:p>
                </w:tc>
                <w:tc>
                  <w:tcPr>
                    <w:tcW w:w="2442" w:type="dxa"/>
                    <w:tcBorders>
                      <w:top w:val="single" w:sz="4" w:space="0" w:color="auto"/>
                    </w:tcBorders>
                    <w:shd w:val="clear" w:color="auto" w:fill="auto"/>
                  </w:tcPr>
                  <w:p>
                    <w:pPr>
                      <w:widowControl w:val="0"/>
                      <w:ind w:left="360"/>
                      <w:rPr>
                        <w:sz w:val="14"/>
                      </w:rPr>
                    </w:pPr>
                    <w:r>
                      <w:rPr>
                        <w:sz w:val="14"/>
                      </w:rPr>
                      <w:t>Viešbučių ir turizmo kompleksų</w:t>
                    </w:r>
                  </w:p>
                </w:tc>
                <w:tc>
                  <w:tcPr>
                    <w:tcW w:w="2003" w:type="dxa"/>
                    <w:tcBorders>
                      <w:top w:val="single" w:sz="4" w:space="0" w:color="auto"/>
                    </w:tcBorders>
                    <w:shd w:val="clear" w:color="auto" w:fill="auto"/>
                  </w:tcPr>
                  <w:p>
                    <w:pPr>
                      <w:widowControl w:val="0"/>
                      <w:ind w:left="360"/>
                      <w:rPr>
                        <w:sz w:val="14"/>
                      </w:rPr>
                    </w:pPr>
                    <w:r>
                      <w:rPr>
                        <w:sz w:val="14"/>
                      </w:rPr>
                      <w:t xml:space="preserve">Judrus darbas, judėjimo atstumas, darbo poza,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Šizofrenija, esant rezistentiškų gydymui sutrikimų bei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darbuotojų</w:t>
                    </w:r>
                  </w:p>
                </w:tc>
                <w:tc>
                  <w:tcPr>
                    <w:tcW w:w="2003" w:type="dxa"/>
                    <w:shd w:val="clear" w:color="auto" w:fill="auto"/>
                  </w:tcPr>
                  <w:p>
                    <w:pPr>
                      <w:widowControl w:val="0"/>
                      <w:ind w:left="360"/>
                      <w:rPr>
                        <w:sz w:val="14"/>
                      </w:rPr>
                    </w:pPr>
                    <w:r>
                      <w:rPr>
                        <w:sz w:val="14"/>
                      </w:rPr>
                      <w:t xml:space="preserve">dėmesys, regos, klausos, analizatoriai, darbo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ligai sparčiai progresuojant</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378872</w:t>
                    </w:r>
                  </w:p>
                </w:tc>
                <w:tc>
                  <w:tcPr>
                    <w:tcW w:w="2003" w:type="dxa"/>
                    <w:shd w:val="clear" w:color="auto" w:fill="auto"/>
                  </w:tcPr>
                  <w:p>
                    <w:pPr>
                      <w:widowControl w:val="0"/>
                      <w:ind w:left="360"/>
                      <w:rPr>
                        <w:sz w:val="14"/>
                      </w:rPr>
                    </w:pPr>
                    <w:r>
                      <w:rPr>
                        <w:sz w:val="14"/>
                      </w:rPr>
                      <w:t>judesiai, dalyvaujant rankos, plaštakos, pirštų</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r>
                      <w:rPr>
                        <w:sz w:val="14"/>
                      </w:rPr>
                      <w:t>raumenims</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37.</w:t>
                    </w:r>
                  </w:p>
                </w:tc>
                <w:tc>
                  <w:tcPr>
                    <w:tcW w:w="2442" w:type="dxa"/>
                    <w:tcBorders>
                      <w:top w:val="single" w:sz="4" w:space="0" w:color="auto"/>
                    </w:tcBorders>
                    <w:shd w:val="clear" w:color="auto" w:fill="auto"/>
                  </w:tcPr>
                  <w:p>
                    <w:pPr>
                      <w:widowControl w:val="0"/>
                      <w:ind w:left="360"/>
                      <w:rPr>
                        <w:sz w:val="14"/>
                      </w:rPr>
                    </w:pPr>
                    <w:r>
                      <w:rPr>
                        <w:sz w:val="14"/>
                      </w:rPr>
                      <w:t xml:space="preserve">Drabužių priežiūros </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rankos,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meistrų, floristų</w:t>
                    </w:r>
                  </w:p>
                </w:tc>
                <w:tc>
                  <w:tcPr>
                    <w:tcW w:w="2003" w:type="dxa"/>
                    <w:shd w:val="clear" w:color="auto" w:fill="auto"/>
                  </w:tcPr>
                  <w:p>
                    <w:pPr>
                      <w:widowControl w:val="0"/>
                      <w:ind w:left="360"/>
                      <w:rPr>
                        <w:sz w:val="14"/>
                      </w:rPr>
                    </w:pPr>
                    <w:r>
                      <w:rPr>
                        <w:sz w:val="14"/>
                      </w:rPr>
                      <w:t xml:space="preserve">plaštakos, pirštų raumenims, judrus darbas,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37899</w:t>
                    </w:r>
                  </w:p>
                </w:tc>
                <w:tc>
                  <w:tcPr>
                    <w:tcW w:w="2003" w:type="dxa"/>
                    <w:shd w:val="clear" w:color="auto" w:fill="auto"/>
                  </w:tcPr>
                  <w:p>
                    <w:pPr>
                      <w:widowControl w:val="0"/>
                      <w:ind w:left="360"/>
                      <w:rPr>
                        <w:sz w:val="14"/>
                      </w:rPr>
                    </w:pPr>
                    <w:r>
                      <w:rPr>
                        <w:sz w:val="14"/>
                      </w:rPr>
                      <w:t>darbo poza, dėmesys, regos analizatorius</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Alergija cheminėms medžiagoms arba žiedadulkėms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bl>
            <w:p>
              <w:pPr>
                <w:jc w:val="center"/>
                <w:rPr>
                  <w:color w:val="000000"/>
                </w:rPr>
              </w:pPr>
              <w:r>
                <w:rPr>
                  <w:color w:val="000000"/>
                </w:rPr>
                <w:t>______________</w:t>
              </w:r>
            </w:p>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0f81cd0e33011ed9978886e85107ab2">
                <w:r w:rsidRPr="00532B9F">
                  <w:rPr>
                    <w:rFonts w:ascii="Times New Roman" w:eastAsia="MS Mincho" w:hAnsi="Times New Roman"/>
                    <w:sz w:val="20"/>
                    <w:i/>
                    <w:iCs/>
                    <w:color w:val="0000FF" w:themeColor="hyperlink"/>
                    <w:u w:val="single"/>
                  </w:rPr>
                  <w:t>V-506</w:t>
                </w:r>
              </w:fldSimple>
              <w:r>
                <w:rPr>
                  <w:rFonts w:ascii="Times New Roman" w:eastAsia="MS Mincho" w:hAnsi="Times New Roman"/>
                  <w:sz w:val="20"/>
                  <w:i/>
                  <w:iCs/>
                </w:rPr>
                <w:t>,
2023-04-25,
paskelbta TAR 2023-04-25, i. k. 2023-07901            </w:t>
              </w: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0f81cd0e33011ed9978886e85107ab2">
                <w:r w:rsidRPr="00532B9F">
                  <w:rPr>
                    <w:rFonts w:ascii="Times New Roman" w:eastAsia="MS Mincho" w:hAnsi="Times New Roman"/>
                    <w:sz w:val="20"/>
                    <w:i/>
                    <w:iCs/>
                    <w:color w:val="0000FF" w:themeColor="hyperlink"/>
                    <w:u w:val="single"/>
                  </w:rPr>
                  <w:t>V-506</w:t>
                </w:r>
              </w:fldSimple>
              <w:r>
                <w:rPr>
                  <w:rFonts w:ascii="Times New Roman" w:eastAsia="MS Mincho" w:hAnsi="Times New Roman"/>
                  <w:sz w:val="20"/>
                  <w:i/>
                  <w:iCs/>
                </w:rPr>
                <w:t>,
2023-04-25,
paskelbta TAR 2023-04-25, i. k. 2023-07901        </w:t>
              </w:r>
            </w:p>
            <w:p/>
          </w:sdtContent>
        </w:sdt>
      </w:sdtContent>
    </w:sdt>
    <w:sdt>
      <w:sdtPr>
        <w:alias w:val="5 pr."/>
        <w:tag w:val="part_814e101390974299ae56e37741caef75"/>
        <w:lock w:val="sdtLocked"/>
        <w:richText/>
      </w:sdtPr>
      <w:sdtContent>
        <w:p>
          <w:pPr>
            <w:keepLines/>
            <w:widowControl w:val="0"/>
            <w:suppressAutoHyphens/>
            <w:ind w:left="5102"/>
            <w:sectPr>
              <w:headerReference w:type="even" r:id="rId35"/>
              <w:headerReference w:type="default" r:id="rId36"/>
              <w:footerReference w:type="even" r:id="rId37"/>
              <w:footerReference w:type="default" r:id="rId38"/>
              <w:headerReference w:type="first" r:id="rId39"/>
              <w:footerReference w:type="first" r:id="rId40"/>
              <w:pgSz w:w="11907" w:h="16840" w:code="9"/>
              <w:pgMar w:top="1134" w:right="1134" w:bottom="1134" w:left="1701" w:header="567" w:footer="284" w:gutter="0"/>
              <w:pgNumType w:start="1"/>
              <w:cols w:space="1296"/>
              <w:titlePg/>
              <w:docGrid w:linePitch="360"/>
            </w:sectPr>
          </w:pPr>
        </w:p>
        <w:p>
          <w:pPr>
            <w:keepLines/>
            <w:widowControl w:val="0"/>
            <w:suppressAutoHyphens/>
            <w:ind w:left="5102"/>
            <w:rPr>
              <w:color w:val="000000"/>
            </w:rPr>
          </w:pPr>
          <w:r>
            <w:rPr>
              <w:color w:val="000000"/>
            </w:rPr>
            <w:t>PATVIRTINTA</w:t>
          </w:r>
        </w:p>
        <w:p>
          <w:pPr>
            <w:keepLines/>
            <w:widowControl w:val="0"/>
            <w:suppressAutoHyphens/>
            <w:ind w:firstLine="5102"/>
            <w:rPr>
              <w:color w:val="000000"/>
            </w:rPr>
          </w:pPr>
          <w:r>
            <w:rPr>
              <w:color w:val="000000"/>
            </w:rPr>
            <w:t xml:space="preserve">Lietuvos Respublikos Sveikatos </w:t>
          </w:r>
        </w:p>
        <w:p>
          <w:pPr>
            <w:keepLines/>
            <w:widowControl w:val="0"/>
            <w:suppressAutoHyphens/>
            <w:ind w:firstLine="5102"/>
            <w:rPr>
              <w:color w:val="000000"/>
            </w:rPr>
          </w:pPr>
          <w:r>
            <w:rPr>
              <w:color w:val="000000"/>
            </w:rPr>
            <w:t xml:space="preserve">apsaugos ministro 2000 m. gegužės 31 d. </w:t>
          </w:r>
        </w:p>
        <w:p>
          <w:pPr>
            <w:keepLines/>
            <w:widowControl w:val="0"/>
            <w:suppressAutoHyphens/>
            <w:ind w:firstLine="5102"/>
            <w:rPr>
              <w:color w:val="000000"/>
            </w:rPr>
          </w:pPr>
          <w:r>
            <w:rPr>
              <w:color w:val="000000"/>
            </w:rPr>
            <w:t>įsakymu Nr. 301</w:t>
          </w:r>
        </w:p>
        <w:p>
          <w:pPr>
            <w:keepLines/>
            <w:widowControl w:val="0"/>
            <w:suppressAutoHyphens/>
            <w:ind w:firstLine="5102"/>
            <w:rPr>
              <w:color w:val="000000"/>
            </w:rPr>
          </w:pPr>
          <w:r>
            <w:rPr>
              <w:color w:val="000000"/>
            </w:rPr>
            <w:t xml:space="preserve">(Lietuvos Respublikos sveikatos </w:t>
          </w:r>
        </w:p>
        <w:p>
          <w:pPr>
            <w:keepLines/>
            <w:widowControl w:val="0"/>
            <w:suppressAutoHyphens/>
            <w:ind w:firstLine="5102"/>
            <w:rPr>
              <w:color w:val="000000"/>
            </w:rPr>
          </w:pPr>
          <w:r>
            <w:rPr>
              <w:color w:val="000000"/>
            </w:rPr>
            <w:t xml:space="preserve">apsaugos ministro 2011 m. vasario 28 d. </w:t>
          </w:r>
        </w:p>
        <w:p>
          <w:pPr>
            <w:keepLines/>
            <w:widowControl w:val="0"/>
            <w:suppressAutoHyphens/>
            <w:ind w:firstLine="5102"/>
            <w:rPr>
              <w:color w:val="000000"/>
            </w:rPr>
          </w:pPr>
          <w:r>
            <w:rPr>
              <w:color w:val="000000"/>
            </w:rPr>
            <w:t>įsakymo Nr. V-184 redakcija)</w:t>
          </w:r>
        </w:p>
        <w:p>
          <w:pPr>
            <w:keepLines/>
            <w:widowControl w:val="0"/>
            <w:suppressAutoHyphens/>
            <w:ind w:firstLine="5102"/>
            <w:rPr>
              <w:color w:val="000000"/>
            </w:rPr>
          </w:pPr>
          <w:sdt>
            <w:sdtPr>
              <w:alias w:val="Numeris"/>
              <w:tag w:val="nr_814e101390974299ae56e37741caef75"/>
              <w:lock w:val="sdtLocked"/>
              <w:richText/>
            </w:sdtPr>
            <w:sdtContent>
              <w:r>
                <w:rPr>
                  <w:color w:val="000000"/>
                </w:rPr>
                <w:t>5</w:t>
              </w:r>
            </w:sdtContent>
          </w:sdt>
          <w:r>
            <w:rPr>
              <w:color w:val="000000"/>
            </w:rPr>
            <w:t xml:space="preserve"> priedas</w:t>
          </w:r>
        </w:p>
        <w:p>
          <w:pPr>
            <w:widowControl w:val="0"/>
            <w:suppressAutoHyphens/>
            <w:ind w:firstLine="567"/>
            <w:jc w:val="both"/>
            <w:rPr>
              <w:color w:val="000000"/>
            </w:rPr>
          </w:pPr>
        </w:p>
        <w:p>
          <w:pPr>
            <w:keepLines/>
            <w:widowControl w:val="0"/>
            <w:suppressAutoHyphens/>
            <w:jc w:val="center"/>
            <w:rPr>
              <w:b/>
              <w:bCs/>
              <w:caps/>
              <w:color w:val="000000"/>
            </w:rPr>
          </w:pPr>
          <w:sdt>
            <w:sdtPr>
              <w:alias w:val="Pavadinimas"/>
              <w:tag w:val="title_814e101390974299ae56e37741caef75"/>
              <w:lock w:val="sdtLocked"/>
              <w:richText/>
            </w:sdtPr>
            <w:sdtContent>
              <w:r>
                <w:rPr>
                  <w:b/>
                  <w:bCs/>
                  <w:caps/>
                  <w:color w:val="000000"/>
                </w:rPr>
                <w:t>SPORTUOJANČIŲ ASMENŲ SVEIKATOS TIKRINIMO TVARKA</w:t>
              </w:r>
            </w:sdtContent>
          </w:sdt>
        </w:p>
        <w:p>
          <w:pPr>
            <w:widowControl w:val="0"/>
            <w:suppressAutoHyphens/>
            <w:ind w:firstLine="567"/>
            <w:jc w:val="both"/>
            <w:rPr>
              <w:color w:val="000000"/>
            </w:rPr>
          </w:pPr>
        </w:p>
        <w:sdt>
          <w:sdtPr>
            <w:alias w:val="skyrius"/>
            <w:tag w:val="part_334ec0ffc57247ab9dfa1d4d42ed1311"/>
            <w:lock w:val="sdtLocked"/>
            <w:richText/>
          </w:sdtPr>
          <w:sdtContent>
            <w:p>
              <w:pPr>
                <w:keepLines/>
                <w:widowControl w:val="0"/>
                <w:suppressAutoHyphens/>
                <w:jc w:val="center"/>
                <w:rPr>
                  <w:b/>
                  <w:bCs/>
                  <w:caps/>
                  <w:color w:val="000000"/>
                </w:rPr>
              </w:pPr>
              <w:sdt>
                <w:sdtPr>
                  <w:alias w:val="Numeris"/>
                  <w:tag w:val="nr_334ec0ffc57247ab9dfa1d4d42ed1311"/>
                  <w:lock w:val="sdtLocked"/>
                  <w:richText/>
                </w:sdtPr>
                <w:sdtContent>
                  <w:r>
                    <w:rPr>
                      <w:b/>
                      <w:bCs/>
                      <w:caps/>
                      <w:color w:val="000000"/>
                    </w:rPr>
                    <w:t>I</w:t>
                  </w:r>
                </w:sdtContent>
              </w:sdt>
              <w:r>
                <w:rPr>
                  <w:b/>
                  <w:bCs/>
                  <w:caps/>
                  <w:color w:val="000000"/>
                </w:rPr>
                <w:t xml:space="preserve">. </w:t>
              </w:r>
              <w:sdt>
                <w:sdtPr>
                  <w:alias w:val="Pavadinimas"/>
                  <w:tag w:val="title_334ec0ffc57247ab9dfa1d4d42ed1311"/>
                  <w:lock w:val="sdtLocked"/>
                  <w:richText/>
                </w:sdtPr>
                <w:sdtContent>
                  <w:r>
                    <w:rPr>
                      <w:b/>
                      <w:bCs/>
                      <w:caps/>
                      <w:color w:val="000000"/>
                    </w:rPr>
                    <w:t>BENROSIOS NUOSTATOS</w:t>
                  </w:r>
                </w:sdtContent>
              </w:sdt>
            </w:p>
            <w:p>
              <w:pPr>
                <w:widowControl w:val="0"/>
                <w:suppressAutoHyphens/>
                <w:ind w:firstLine="567"/>
                <w:jc w:val="both"/>
                <w:rPr>
                  <w:color w:val="000000"/>
                </w:rPr>
              </w:pPr>
            </w:p>
            <w:sdt>
              <w:sdtPr>
                <w:alias w:val="5 pr. 1.1 p."/>
                <w:tag w:val="part_6a9c3005e75c4ccc81f8f5eacfca76cb"/>
                <w:lock w:val="sdtLocked"/>
                <w:richText/>
              </w:sdtPr>
              <w:sdtContent>
                <w:p>
                  <w:pPr>
                    <w:widowControl w:val="0"/>
                    <w:suppressAutoHyphens/>
                    <w:ind w:firstLine="567"/>
                    <w:jc w:val="both"/>
                    <w:rPr>
                      <w:color w:val="000000"/>
                    </w:rPr>
                  </w:pPr>
                  <w:sdt>
                    <w:sdtPr>
                      <w:alias w:val="Numeris"/>
                      <w:tag w:val="nr_6a9c3005e75c4ccc81f8f5eacfca76cb"/>
                      <w:lock w:val="sdtLocked"/>
                      <w:richText/>
                    </w:sdtPr>
                    <w:sdtContent>
                      <w:r>
                        <w:rPr>
                          <w:color w:val="000000"/>
                        </w:rPr>
                        <w:t>1.1</w:t>
                      </w:r>
                    </w:sdtContent>
                  </w:sdt>
                  <w:r>
                    <w:rPr>
                      <w:color w:val="000000"/>
                    </w:rPr>
                    <w:t>. Asmenys, lankantys bet kokias organizuotas kūno kultūros ir sporto pratybas bei dalyvaujantys varžybose, privalo reguliariai tikrintis sveikatą.</w:t>
                  </w:r>
                </w:p>
              </w:sdtContent>
            </w:sdt>
            <w:sdt>
              <w:sdtPr>
                <w:alias w:val="5 pr. 1.2 p."/>
                <w:tag w:val="part_cb391d7ee2d84a5190a9ba857d3620f0"/>
                <w:lock w:val="sdtLocked"/>
                <w:richText/>
              </w:sdtPr>
              <w:sdtContent>
                <w:p>
                  <w:pPr>
                    <w:widowControl w:val="0"/>
                    <w:suppressAutoHyphens/>
                    <w:ind w:firstLine="567"/>
                    <w:jc w:val="both"/>
                    <w:rPr>
                      <w:strike/>
                      <w:color w:val="000000"/>
                    </w:rPr>
                  </w:pPr>
                  <w:sdt>
                    <w:sdtPr>
                      <w:alias w:val="Numeris"/>
                      <w:tag w:val="nr_cb391d7ee2d84a5190a9ba857d3620f0"/>
                      <w:lock w:val="sdtLocked"/>
                      <w:richText/>
                    </w:sdtPr>
                    <w:sdtContent>
                      <w:r>
                        <w:rPr>
                          <w:color w:val="000000"/>
                        </w:rPr>
                        <w:t>1.2</w:t>
                      </w:r>
                    </w:sdtContent>
                  </w:sdt>
                  <w:r>
                    <w:rPr>
                      <w:color w:val="000000"/>
                    </w:rPr>
                    <w:t>. Profilaktiškai sveikatą tikrina:</w:t>
                  </w:r>
                </w:p>
                <w:sdt>
                  <w:sdtPr>
                    <w:alias w:val="5 pr. 1.2.1 p."/>
                    <w:tag w:val="part_c027bd23fe8b4a2d803c53924c38c16b"/>
                    <w:lock w:val="sdtLocked"/>
                    <w:richText/>
                  </w:sdtPr>
                  <w:sdtContent>
                    <w:p>
                      <w:pPr>
                        <w:widowControl w:val="0"/>
                        <w:suppressAutoHyphens/>
                        <w:ind w:firstLine="567"/>
                        <w:jc w:val="both"/>
                        <w:rPr>
                          <w:color w:val="000000"/>
                        </w:rPr>
                      </w:pPr>
                      <w:sdt>
                        <w:sdtPr>
                          <w:alias w:val="Numeris"/>
                          <w:tag w:val="nr_c027bd23fe8b4a2d803c53924c38c16b"/>
                          <w:lock w:val="sdtLocked"/>
                          <w:richText/>
                        </w:sdtPr>
                        <w:sdtContent>
                          <w:r>
                            <w:rPr>
                              <w:color w:val="000000"/>
                            </w:rPr>
                            <w:t>1.2.1</w:t>
                          </w:r>
                        </w:sdtContent>
                      </w:sdt>
                      <w:r>
                        <w:rPr>
                          <w:color w:val="000000"/>
                        </w:rPr>
                        <w:t>. sportininkų, kurie sistemingai ir nuolat treniruojasi, dalyvauja sporto varžybose, – sporto medicinos centrų sporto medicinos gydytojai, privalomai arba prireikus konsultuodamiesi su šiame priede nurodytų ir kitų profesinių kvalifikacijų gydytojais ir skiria privalomus arba, esant indikacijų, kitus tyrimus;</w:t>
                      </w:r>
                    </w:p>
                  </w:sdtContent>
                </w:sdt>
                <w:sdt>
                  <w:sdtPr>
                    <w:alias w:val="5 pr. 1.2.2 p."/>
                    <w:tag w:val="part_8cd7689ca6c54aec813cb970fd88d804"/>
                    <w:lock w:val="sdtLocked"/>
                    <w:richText/>
                  </w:sdtPr>
                  <w:sdtContent>
                    <w:p>
                      <w:pPr>
                        <w:widowControl w:val="0"/>
                        <w:suppressAutoHyphens/>
                        <w:ind w:firstLine="567"/>
                        <w:jc w:val="both"/>
                        <w:rPr>
                          <w:color w:val="000000"/>
                        </w:rPr>
                      </w:pPr>
                      <w:sdt>
                        <w:sdtPr>
                          <w:alias w:val="Numeris"/>
                          <w:tag w:val="nr_8cd7689ca6c54aec813cb970fd88d804"/>
                          <w:lock w:val="sdtLocked"/>
                          <w:richText/>
                        </w:sdtPr>
                        <w:sdtContent>
                          <w:r>
                            <w:rPr>
                              <w:color w:val="000000"/>
                            </w:rPr>
                            <w:t>1.2.2</w:t>
                          </w:r>
                        </w:sdtContent>
                      </w:sdt>
                      <w:r>
                        <w:rPr>
                          <w:color w:val="000000"/>
                        </w:rPr>
                        <w:t>. sportuotojų, kurie laikosi sveikos gyvensenos principų, ir sporto mokymo įstaigų pradinio rengimo grupių narių – profilaktinius sveikatos tikrinimus atliekantys šeimos medicinos paslaugas teikiantys gydytojai, privalomai arba prireikus konsultuodamiesi su šiame priede nurodytų ir kitų profesinių kvalifikacijų gydytojais ir skiria privalomus arba, esant indikacijų, kitus tyrimus;</w:t>
                      </w:r>
                    </w:p>
                  </w:sdtContent>
                </w:sdt>
                <w:sdt>
                  <w:sdtPr>
                    <w:alias w:val="5 pr. 1.2.3 p."/>
                    <w:tag w:val="part_5ee490924fb34673b0f4bda2bfc66940"/>
                    <w:lock w:val="sdtLocked"/>
                    <w:richText/>
                  </w:sdtPr>
                  <w:sdtContent>
                    <w:p>
                      <w:pPr>
                        <w:widowControl w:val="0"/>
                        <w:suppressAutoHyphens/>
                        <w:ind w:firstLine="567"/>
                        <w:jc w:val="both"/>
                        <w:rPr>
                          <w:color w:val="000000"/>
                        </w:rPr>
                      </w:pPr>
                      <w:sdt>
                        <w:sdtPr>
                          <w:alias w:val="Numeris"/>
                          <w:tag w:val="nr_5ee490924fb34673b0f4bda2bfc66940"/>
                          <w:lock w:val="sdtLocked"/>
                          <w:richText/>
                        </w:sdtPr>
                        <w:sdtContent>
                          <w:r>
                            <w:rPr>
                              <w:color w:val="000000"/>
                            </w:rPr>
                            <w:t>1.2.3</w:t>
                          </w:r>
                        </w:sdtContent>
                      </w:sdt>
                      <w:r>
                        <w:rPr>
                          <w:color w:val="000000"/>
                        </w:rPr>
                        <w:t>. Lietuvos olimpinės ir atskirų sporto šakų rinktinių narių – sporto medicinos centrų gydytojai, privalomai arba prireikus konsultuodamiesi su šiame priede nurodytų ir kitų profesinių kvalifikacijų gydytojais ir skiria privalomus arba, esant indikacijų, kitus tyrimus;</w:t>
                      </w:r>
                    </w:p>
                  </w:sdtContent>
                </w:sdt>
                <w:sdt>
                  <w:sdtPr>
                    <w:alias w:val="5 pr. 1.2.4 p."/>
                    <w:tag w:val="part_801cade7899849fa9fa2a34696325879"/>
                    <w:lock w:val="sdtLocked"/>
                    <w:richText/>
                  </w:sdtPr>
                  <w:sdtContent>
                    <w:p>
                      <w:pPr>
                        <w:widowControl w:val="0"/>
                        <w:suppressAutoHyphens/>
                        <w:ind w:firstLine="567"/>
                        <w:jc w:val="both"/>
                        <w:rPr>
                          <w:color w:val="000000"/>
                        </w:rPr>
                      </w:pPr>
                      <w:sdt>
                        <w:sdtPr>
                          <w:alias w:val="Numeris"/>
                          <w:tag w:val="nr_801cade7899849fa9fa2a34696325879"/>
                          <w:lock w:val="sdtLocked"/>
                          <w:richText/>
                        </w:sdtPr>
                        <w:sdtContent>
                          <w:r>
                            <w:rPr>
                              <w:color w:val="000000"/>
                            </w:rPr>
                            <w:t>1.2.4</w:t>
                          </w:r>
                        </w:sdtContent>
                      </w:sdt>
                      <w:r>
                        <w:rPr>
                          <w:color w:val="000000"/>
                        </w:rPr>
                        <w:t xml:space="preserve">. neįgalieji sportininkai su amputuotomis galūnėmis, stuburo smegenų pažeidimais ar turintys cerebrinį paralyžių, silpnaregiai ar kurtieji tikrinami bendra tvarka. Papildomai jiems, išskyrus kurčiuosius, vadovaujantis Lietuvos Respublikos sveikatos apsaugos ministro 1996 m. lapkričio 22 d. įsakymu Nr. 598 „Dėl sportuojančių asmenų su negalia medicininio ištyrimo“ (Žin., 1996, Nr. </w:t>
                      </w:r>
                      <w:hyperlink r:id="rId78" w:tgtFrame="_blank" w:history="1">
                        <w:r>
                          <w:rPr>
                            <w:color w:val="0000FF" w:themeColor="hyperlink"/>
                            <w:u w:val="single"/>
                          </w:rPr>
                          <w:t>115-2684</w:t>
                        </w:r>
                      </w:hyperlink>
                      <w:r>
                        <w:rPr>
                          <w:color w:val="000000"/>
                        </w:rPr>
                        <w:t>) bei metodinėmis rekomendacijomis, turi būti nustatyta medicininė ir funkcinė klasifikacija. Medicininei ir funkcinei klasifikacijai tinkamai atlikti neįgaliuosius patartina siųsti į sporto medicinos centrus.</w:t>
                      </w:r>
                    </w:p>
                  </w:sdtContent>
                </w:sdt>
              </w:sdtContent>
            </w:sdt>
            <w:sdt>
              <w:sdtPr>
                <w:alias w:val="5 pr. 1.3 p."/>
                <w:tag w:val="part_5295d6c8c88c45b6bf644d70122a1856"/>
                <w:lock w:val="sdtLocked"/>
                <w:richText/>
              </w:sdtPr>
              <w:sdtContent>
                <w:p>
                  <w:pPr>
                    <w:widowControl w:val="0"/>
                    <w:suppressAutoHyphens/>
                    <w:ind w:firstLine="567"/>
                    <w:jc w:val="both"/>
                    <w:rPr>
                      <w:color w:val="000000"/>
                    </w:rPr>
                  </w:pPr>
                  <w:sdt>
                    <w:sdtPr>
                      <w:alias w:val="Numeris"/>
                      <w:tag w:val="nr_5295d6c8c88c45b6bf644d70122a1856"/>
                      <w:lock w:val="sdtLocked"/>
                      <w:richText/>
                    </w:sdtPr>
                    <w:sdtContent>
                      <w:r>
                        <w:rPr>
                          <w:color w:val="000000"/>
                        </w:rPr>
                        <w:t>1.3</w:t>
                      </w:r>
                    </w:sdtContent>
                  </w:sdt>
                  <w:r>
                    <w:rPr>
                      <w:color w:val="000000"/>
                    </w:rPr>
                    <w:t>. Sportininkų ir sportuotojų sveikatą tikrinantys sporto medicinos centrų sporto medicinos gydytojai arba šeimos medicinos paslaugas teikiantys gydytojai:</w:t>
                  </w:r>
                </w:p>
                <w:sdt>
                  <w:sdtPr>
                    <w:alias w:val="5 pr. 1.3.1 p."/>
                    <w:tag w:val="part_01a5f330ce4849c680df9b673a2c898e"/>
                    <w:lock w:val="sdtLocked"/>
                    <w:richText/>
                  </w:sdtPr>
                  <w:sdtContent>
                    <w:p>
                      <w:pPr>
                        <w:widowControl w:val="0"/>
                        <w:suppressAutoHyphens/>
                        <w:ind w:firstLine="567"/>
                        <w:jc w:val="both"/>
                        <w:rPr>
                          <w:color w:val="000000"/>
                        </w:rPr>
                      </w:pPr>
                      <w:sdt>
                        <w:sdtPr>
                          <w:alias w:val="Numeris"/>
                          <w:tag w:val="nr_01a5f330ce4849c680df9b673a2c898e"/>
                          <w:lock w:val="sdtLocked"/>
                          <w:richText/>
                        </w:sdtPr>
                        <w:sdtContent>
                          <w:r>
                            <w:rPr>
                              <w:color w:val="000000"/>
                            </w:rPr>
                            <w:t>1.3.1</w:t>
                          </w:r>
                        </w:sdtContent>
                      </w:sdt>
                      <w:r>
                        <w:rPr>
                          <w:color w:val="000000"/>
                        </w:rPr>
                        <w:t>. įvertina tiriamojo sveikatos bei funkcinę būkles;</w:t>
                      </w:r>
                    </w:p>
                  </w:sdtContent>
                </w:sdt>
                <w:sdt>
                  <w:sdtPr>
                    <w:alias w:val="5 pr. 1.3.2 p."/>
                    <w:tag w:val="part_82cf3d0588014e788542ec17288b1e4d"/>
                    <w:lock w:val="sdtLocked"/>
                    <w:richText/>
                  </w:sdtPr>
                  <w:sdtContent>
                    <w:p>
                      <w:pPr>
                        <w:widowControl w:val="0"/>
                        <w:suppressAutoHyphens/>
                        <w:ind w:firstLine="567"/>
                        <w:jc w:val="both"/>
                        <w:rPr>
                          <w:color w:val="000000"/>
                        </w:rPr>
                      </w:pPr>
                      <w:sdt>
                        <w:sdtPr>
                          <w:alias w:val="Numeris"/>
                          <w:tag w:val="nr_82cf3d0588014e788542ec17288b1e4d"/>
                          <w:lock w:val="sdtLocked"/>
                          <w:richText/>
                        </w:sdtPr>
                        <w:sdtContent>
                          <w:r>
                            <w:rPr>
                              <w:color w:val="000000"/>
                            </w:rPr>
                            <w:t>1.3.2</w:t>
                          </w:r>
                        </w:sdtContent>
                      </w:sdt>
                      <w:r>
                        <w:rPr>
                          <w:color w:val="000000"/>
                        </w:rPr>
                        <w:t>. siunčia, esant indikacijų, pas kitus specialistus konsultuotis ir tirtis;</w:t>
                      </w:r>
                    </w:p>
                  </w:sdtContent>
                </w:sdt>
                <w:sdt>
                  <w:sdtPr>
                    <w:alias w:val="5 pr. 1.3.3 p."/>
                    <w:tag w:val="part_80e829756878485cb6bea1ac13538c98"/>
                    <w:lock w:val="sdtLocked"/>
                    <w:richText/>
                  </w:sdtPr>
                  <w:sdtContent>
                    <w:p>
                      <w:pPr>
                        <w:widowControl w:val="0"/>
                        <w:suppressAutoHyphens/>
                        <w:ind w:firstLine="567"/>
                        <w:jc w:val="both"/>
                        <w:rPr>
                          <w:color w:val="000000"/>
                        </w:rPr>
                      </w:pPr>
                      <w:sdt>
                        <w:sdtPr>
                          <w:alias w:val="Numeris"/>
                          <w:tag w:val="nr_80e829756878485cb6bea1ac13538c98"/>
                          <w:lock w:val="sdtLocked"/>
                          <w:richText/>
                        </w:sdtPr>
                        <w:sdtContent>
                          <w:r>
                            <w:rPr>
                              <w:color w:val="000000"/>
                            </w:rPr>
                            <w:t>1.3.3</w:t>
                          </w:r>
                        </w:sdtContent>
                      </w:sdt>
                      <w:r>
                        <w:rPr>
                          <w:color w:val="000000"/>
                        </w:rPr>
                        <w:t>. daro išvadą apie tiriamojo asmens galimybes lankyti pasirinktos sportinės veiklos pratybas ir dalyvauti varžybose („sveikas“, „gali dalyvauti pasirinktos sporto šakos treniruotėse ir varžybose“), teikia atitinkamas rekomendacijas dėl fizinio krūvio intensyvumo, traumų profilaktikos, nurodo pakartotinės patikros datą;</w:t>
                      </w:r>
                    </w:p>
                  </w:sdtContent>
                </w:sdt>
                <w:sdt>
                  <w:sdtPr>
                    <w:alias w:val="5 pr. 1.3.4 p."/>
                    <w:tag w:val="part_956e7a0a09e94fcda970c7954ab8fcb1"/>
                    <w:lock w:val="sdtLocked"/>
                    <w:richText/>
                  </w:sdtPr>
                  <w:sdtContent>
                    <w:p>
                      <w:pPr>
                        <w:widowControl w:val="0"/>
                        <w:suppressAutoHyphens/>
                        <w:ind w:firstLine="567"/>
                        <w:jc w:val="both"/>
                        <w:rPr>
                          <w:color w:val="000000"/>
                        </w:rPr>
                      </w:pPr>
                      <w:sdt>
                        <w:sdtPr>
                          <w:alias w:val="Numeris"/>
                          <w:tag w:val="nr_956e7a0a09e94fcda970c7954ab8fcb1"/>
                          <w:lock w:val="sdtLocked"/>
                          <w:richText/>
                        </w:sdtPr>
                        <w:sdtContent>
                          <w:r>
                            <w:rPr>
                              <w:color w:val="000000"/>
                            </w:rPr>
                            <w:t>1.3.4</w:t>
                          </w:r>
                        </w:sdtContent>
                      </w:sdt>
                      <w:r>
                        <w:rPr>
                          <w:color w:val="000000"/>
                        </w:rPr>
                        <w:t>. pagal kompetenciją gydo sportininkus ir sportuotojus;</w:t>
                      </w:r>
                    </w:p>
                  </w:sdtContent>
                </w:sdt>
                <w:sdt>
                  <w:sdtPr>
                    <w:alias w:val="5 pr. 1.3.5 p."/>
                    <w:tag w:val="part_11bed6c7bdac4230a847f60ebbd576a5"/>
                    <w:lock w:val="sdtLocked"/>
                    <w:richText/>
                  </w:sdtPr>
                  <w:sdtContent>
                    <w:p>
                      <w:pPr>
                        <w:widowControl w:val="0"/>
                        <w:suppressAutoHyphens/>
                        <w:ind w:firstLine="567"/>
                        <w:jc w:val="both"/>
                        <w:rPr>
                          <w:color w:val="000000"/>
                        </w:rPr>
                      </w:pPr>
                      <w:sdt>
                        <w:sdtPr>
                          <w:alias w:val="Numeris"/>
                          <w:tag w:val="nr_11bed6c7bdac4230a847f60ebbd576a5"/>
                          <w:lock w:val="sdtLocked"/>
                          <w:richText/>
                        </w:sdtPr>
                        <w:sdtContent>
                          <w:r>
                            <w:rPr>
                              <w:color w:val="000000"/>
                            </w:rPr>
                            <w:t>1.3.5</w:t>
                          </w:r>
                        </w:sdtContent>
                      </w:sdt>
                      <w:r>
                        <w:rPr>
                          <w:color w:val="000000"/>
                        </w:rPr>
                        <w:t>. sudėtingais atvejais pirminės sveikatos priežiūros įstaigos profilaktinę sveikatos patikrą atliekantys šeimos medicinos paslaugas teikiantys gydytojai siunčia sportuojančius asmenis į artimiausius sporto medicinos centrus.</w:t>
                      </w:r>
                    </w:p>
                  </w:sdtContent>
                </w:sdt>
              </w:sdtContent>
            </w:sdt>
            <w:sdt>
              <w:sdtPr>
                <w:alias w:val="5 pr. 1.4 p."/>
                <w:tag w:val="part_d5d464c9996a463080aefee8bd2ff0f0"/>
                <w:lock w:val="sdtLocked"/>
                <w:richText/>
              </w:sdtPr>
              <w:sdtContent>
                <w:p>
                  <w:pPr>
                    <w:widowControl w:val="0"/>
                    <w:suppressAutoHyphens/>
                    <w:ind w:firstLine="567"/>
                    <w:jc w:val="both"/>
                    <w:rPr>
                      <w:color w:val="000000"/>
                    </w:rPr>
                  </w:pPr>
                  <w:sdt>
                    <w:sdtPr>
                      <w:alias w:val="Numeris"/>
                      <w:tag w:val="nr_d5d464c9996a463080aefee8bd2ff0f0"/>
                      <w:lock w:val="sdtLocked"/>
                      <w:richText/>
                    </w:sdtPr>
                    <w:sdtContent>
                      <w:r>
                        <w:rPr>
                          <w:color w:val="000000"/>
                        </w:rPr>
                        <w:t>1.4</w:t>
                      </w:r>
                    </w:sdtContent>
                  </w:sdt>
                  <w:r>
                    <w:rPr>
                      <w:color w:val="000000"/>
                    </w:rPr>
                    <w:t xml:space="preserve">. </w:t>
                  </w:r>
                  <w:r>
                    <w:rPr>
                      <w:caps/>
                      <w:color w:val="000000"/>
                    </w:rPr>
                    <w:t>s</w:t>
                  </w:r>
                  <w:r>
                    <w:rPr>
                      <w:color w:val="000000"/>
                    </w:rPr>
                    <w:t>portininkų, kurie sistemingai ir intensyviai treniruojasi, siekia aukštų sporto rezultatų, sveikatą tikrinantys sporto medicinos centrų sporto medicinos gydytojai papildomai:</w:t>
                  </w:r>
                </w:p>
                <w:sdt>
                  <w:sdtPr>
                    <w:alias w:val="5 pr. 1.4.1 p."/>
                    <w:tag w:val="part_85b65c2e24394014a943166da63498d0"/>
                    <w:lock w:val="sdtLocked"/>
                    <w:richText/>
                  </w:sdtPr>
                  <w:sdtContent>
                    <w:p>
                      <w:pPr>
                        <w:widowControl w:val="0"/>
                        <w:suppressAutoHyphens/>
                        <w:ind w:firstLine="567"/>
                        <w:jc w:val="both"/>
                        <w:rPr>
                          <w:color w:val="000000"/>
                        </w:rPr>
                      </w:pPr>
                      <w:sdt>
                        <w:sdtPr>
                          <w:alias w:val="Numeris"/>
                          <w:tag w:val="nr_85b65c2e24394014a943166da63498d0"/>
                          <w:lock w:val="sdtLocked"/>
                          <w:richText/>
                        </w:sdtPr>
                        <w:sdtContent>
                          <w:r>
                            <w:rPr>
                              <w:color w:val="000000"/>
                            </w:rPr>
                            <w:t>1.4.1</w:t>
                          </w:r>
                        </w:sdtContent>
                      </w:sdt>
                      <w:r>
                        <w:rPr>
                          <w:color w:val="000000"/>
                        </w:rPr>
                        <w:t>. nustato fizinį išsivystymą, funkcinių organizmo rezervų rodiklius, organizmo prisitaikymą prie pasirinktos sportinės veiklos bei fizinių krūvių;</w:t>
                      </w:r>
                    </w:p>
                  </w:sdtContent>
                </w:sdt>
                <w:sdt>
                  <w:sdtPr>
                    <w:alias w:val="5 pr. 1.4.2 p."/>
                    <w:tag w:val="part_a4c36ebe457d4193a36874ea109a7eea"/>
                    <w:lock w:val="sdtLocked"/>
                    <w:richText/>
                  </w:sdtPr>
                  <w:sdtContent>
                    <w:p>
                      <w:pPr>
                        <w:widowControl w:val="0"/>
                        <w:suppressAutoHyphens/>
                        <w:ind w:firstLine="567"/>
                        <w:jc w:val="both"/>
                        <w:rPr>
                          <w:color w:val="000000"/>
                        </w:rPr>
                      </w:pPr>
                      <w:sdt>
                        <w:sdtPr>
                          <w:alias w:val="Numeris"/>
                          <w:tag w:val="nr_a4c36ebe457d4193a36874ea109a7eea"/>
                          <w:lock w:val="sdtLocked"/>
                          <w:richText/>
                        </w:sdtPr>
                        <w:sdtContent>
                          <w:r>
                            <w:rPr>
                              <w:color w:val="000000"/>
                            </w:rPr>
                            <w:t>1.4.2</w:t>
                          </w:r>
                        </w:sdtContent>
                      </w:sdt>
                      <w:r>
                        <w:rPr>
                          <w:color w:val="000000"/>
                        </w:rPr>
                        <w:t>. sudaro ir vykdo sportininkų organizmo atsigavimo po treniruočių krūvių skatinimo programas;</w:t>
                      </w:r>
                    </w:p>
                  </w:sdtContent>
                </w:sdt>
                <w:sdt>
                  <w:sdtPr>
                    <w:alias w:val="5 pr. 1.4.3 p."/>
                    <w:tag w:val="part_1420c54d1f0a41c8a51cb68f58834585"/>
                    <w:lock w:val="sdtLocked"/>
                    <w:richText/>
                  </w:sdtPr>
                  <w:sdtContent>
                    <w:p>
                      <w:pPr>
                        <w:widowControl w:val="0"/>
                        <w:suppressAutoHyphens/>
                        <w:ind w:firstLine="567"/>
                        <w:jc w:val="both"/>
                        <w:rPr>
                          <w:color w:val="000000"/>
                        </w:rPr>
                      </w:pPr>
                      <w:sdt>
                        <w:sdtPr>
                          <w:alias w:val="Numeris"/>
                          <w:tag w:val="nr_1420c54d1f0a41c8a51cb68f58834585"/>
                          <w:lock w:val="sdtLocked"/>
                          <w:richText/>
                        </w:sdtPr>
                        <w:sdtContent>
                          <w:r>
                            <w:rPr>
                              <w:color w:val="000000"/>
                            </w:rPr>
                            <w:t>1.4.3</w:t>
                          </w:r>
                        </w:sdtContent>
                      </w:sdt>
                      <w:r>
                        <w:rPr>
                          <w:color w:val="000000"/>
                        </w:rPr>
                        <w:t>. vykdo sportininkų pratybų ir mokomųjų treniruočių stovyklų specializuotą medicininę priežiūrą (vykdo funkcinį testavimą ir vertina sportininkų organizmo prisitaikymą prie krūvių, registruoja, gydo traumas ir ligas, teikia ataskaitą renginio organizatoriams ir sporto medicinos centro direktoriui ir kt.).</w:t>
                      </w:r>
                    </w:p>
                  </w:sdtContent>
                </w:sdt>
              </w:sdtContent>
            </w:sdt>
            <w:sdt>
              <w:sdtPr>
                <w:alias w:val="5 pr. 1.5 p."/>
                <w:tag w:val="part_a57e46f2427f4fcdb9d3176308bbb82f"/>
                <w:lock w:val="sdtLocked"/>
                <w:richText/>
              </w:sdtPr>
              <w:sdtContent>
                <w:p>
                  <w:pPr>
                    <w:widowControl w:val="0"/>
                    <w:suppressAutoHyphens/>
                    <w:ind w:firstLine="567"/>
                    <w:jc w:val="both"/>
                    <w:rPr>
                      <w:color w:val="000000"/>
                    </w:rPr>
                  </w:pPr>
                  <w:sdt>
                    <w:sdtPr>
                      <w:alias w:val="Numeris"/>
                      <w:tag w:val="nr_a57e46f2427f4fcdb9d3176308bbb82f"/>
                      <w:lock w:val="sdtLocked"/>
                      <w:richText/>
                    </w:sdtPr>
                    <w:sdtContent>
                      <w:r>
                        <w:rPr>
                          <w:color w:val="000000"/>
                          <w:spacing w:val="-4"/>
                        </w:rPr>
                        <w:t>1.5</w:t>
                      </w:r>
                    </w:sdtContent>
                  </w:sdt>
                  <w:r>
                    <w:rPr>
                      <w:color w:val="000000"/>
                      <w:spacing w:val="-4"/>
                    </w:rPr>
                    <w:t>. Profilaktinio sveikatos tikrinimo ir tyrimų duomenys įrašomi į sportuojančio asmens sveikatos tikrinimo kortelę (forma Nr. 061/a) ir pažymimi asmens sveikatos istorijoje (forma Nr. 025a) arba vaiko sveikatos raidos istorijoje (forma Nr. 025-112a).</w:t>
                  </w:r>
                </w:p>
              </w:sdtContent>
            </w:sdt>
            <w:sdt>
              <w:sdtPr>
                <w:alias w:val="5 pr. 1.6 p."/>
                <w:tag w:val="part_ad146f783f8345b485e7c1d444653554"/>
                <w:lock w:val="sdtLocked"/>
                <w:richText/>
              </w:sdtPr>
              <w:sdtContent>
                <w:p>
                  <w:pPr>
                    <w:widowControl w:val="0"/>
                    <w:suppressAutoHyphens/>
                    <w:ind w:firstLine="567"/>
                    <w:jc w:val="both"/>
                    <w:rPr>
                      <w:color w:val="000000"/>
                      <w:spacing w:val="-9"/>
                    </w:rPr>
                  </w:pPr>
                  <w:sdt>
                    <w:sdtPr>
                      <w:alias w:val="Numeris"/>
                      <w:tag w:val="nr_ad146f783f8345b485e7c1d444653554"/>
                      <w:lock w:val="sdtLocked"/>
                      <w:richText/>
                    </w:sdtPr>
                    <w:sdtContent>
                      <w:r>
                        <w:rPr>
                          <w:color w:val="000000"/>
                          <w:spacing w:val="-9"/>
                        </w:rPr>
                        <w:t>1.6</w:t>
                      </w:r>
                    </w:sdtContent>
                  </w:sdt>
                  <w:r>
                    <w:rPr>
                      <w:color w:val="000000"/>
                      <w:spacing w:val="-9"/>
                    </w:rPr>
                    <w:t>. Už sportininkų treniravimąsi ir dalyvavimą sporto varžybose be gydytojo leidimo atsako treneriai, varžybų vyriausieji teisėjai.</w:t>
                  </w:r>
                </w:p>
              </w:sdtContent>
            </w:sdt>
            <w:sdt>
              <w:sdtPr>
                <w:alias w:val="5 pr. 1.7 p."/>
                <w:tag w:val="part_41f80241da66462982c0f03493f67182"/>
                <w:lock w:val="sdtLocked"/>
                <w:richText/>
              </w:sdtPr>
              <w:sdtContent>
                <w:p>
                  <w:pPr>
                    <w:widowControl w:val="0"/>
                    <w:suppressAutoHyphens/>
                    <w:ind w:firstLine="567"/>
                    <w:jc w:val="both"/>
                    <w:rPr>
                      <w:color w:val="000000"/>
                    </w:rPr>
                  </w:pPr>
                  <w:sdt>
                    <w:sdtPr>
                      <w:alias w:val="Numeris"/>
                      <w:tag w:val="nr_41f80241da66462982c0f03493f67182"/>
                      <w:lock w:val="sdtLocked"/>
                      <w:richText/>
                    </w:sdtPr>
                    <w:sdtContent>
                      <w:r>
                        <w:rPr>
                          <w:color w:val="000000"/>
                          <w:spacing w:val="-9"/>
                        </w:rPr>
                        <w:t>1.7</w:t>
                      </w:r>
                    </w:sdtContent>
                  </w:sdt>
                  <w:r>
                    <w:rPr>
                      <w:color w:val="000000"/>
                      <w:spacing w:val="-9"/>
                    </w:rPr>
                    <w:t>. Sportuojančių asmenų sveikatos priežiūros paslaugos, teikiamos sporto medicinos centruose, apmokamos iš valstybės biudžeto.</w:t>
                  </w:r>
                </w:p>
              </w:sdtContent>
            </w:sdt>
            <w:sdt>
              <w:sdtPr>
                <w:alias w:val="5 pr. 1.8 p."/>
                <w:tag w:val="part_57c6a1c4b5b840bcaf27cc6a60096781"/>
                <w:lock w:val="sdtLocked"/>
                <w:richText/>
              </w:sdtPr>
              <w:sdtContent>
                <w:p>
                  <w:pPr>
                    <w:widowControl w:val="0"/>
                    <w:suppressAutoHyphens/>
                    <w:ind w:firstLine="567"/>
                    <w:jc w:val="both"/>
                    <w:rPr>
                      <w:color w:val="000000"/>
                    </w:rPr>
                  </w:pPr>
                  <w:sdt>
                    <w:sdtPr>
                      <w:alias w:val="Numeris"/>
                      <w:tag w:val="nr_57c6a1c4b5b840bcaf27cc6a60096781"/>
                      <w:lock w:val="sdtLocked"/>
                      <w:richText/>
                    </w:sdtPr>
                    <w:sdtContent>
                      <w:r>
                        <w:rPr>
                          <w:color w:val="000000"/>
                        </w:rPr>
                        <w:t>1.8</w:t>
                      </w:r>
                    </w:sdtContent>
                  </w:sdt>
                  <w:r>
                    <w:rPr>
                      <w:color w:val="000000"/>
                    </w:rPr>
                    <w:t>. Sportininkų ir sportuotojų sveikatą tikrinantys sporto medicinos centrų sporto medicinos gydytojai arba šeimos medicinos paslaugas teikiantys pirminės sveikatos priežiūros įstaigų gydytojai vadovaujasi sporto šakų klasifikacija pagal dinaminio ir statinio fizinio krūvio (toliau – SDK klasifikacija) poveikį:</w:t>
                  </w:r>
                </w:p>
                <w:p>
                  <w:pPr>
                    <w:widowControl w:val="0"/>
                    <w:suppressAutoHyphens/>
                    <w:ind w:firstLine="567"/>
                    <w:jc w:val="both"/>
                    <w:rPr>
                      <w:color w:val="000000"/>
                    </w:rPr>
                  </w:pPr>
                </w:p>
                <w:tbl>
                  <w:tblPr>
                    <w:tblW w:w="9070" w:type="dxa"/>
                    <w:tblLook w:val="01E0" w:firstRow="1" w:lastRow="1" w:firstColumn="1" w:lastColumn="1" w:noHBand="0" w:noVBand="0"/>
                  </w:tblPr>
                  <w:tblGrid>
                    <w:gridCol w:w="2258"/>
                    <w:gridCol w:w="2186"/>
                    <w:gridCol w:w="2320"/>
                    <w:gridCol w:w="2306"/>
                  </w:tblGrid>
                  <w:tr>
                    <w:tc>
                      <w:tcPr>
                        <w:tcW w:w="2377" w:type="dxa"/>
                        <w:tcBorders>
                          <w:top w:val="single" w:sz="4" w:space="0" w:color="auto"/>
                          <w:left w:val="single" w:sz="4" w:space="0" w:color="auto"/>
                          <w:bottom w:val="single" w:sz="4" w:space="0" w:color="auto"/>
                          <w:right w:val="single" w:sz="4" w:space="0" w:color="auto"/>
                        </w:tcBorders>
                        <w:shd w:val="clear" w:color="auto" w:fill="auto"/>
                      </w:tcPr>
                      <w:p>
                        <w:pPr>
                          <w:tabs>
                            <w:tab w:val="left" w:pos="1905"/>
                            <w:tab w:val="center" w:pos="4153"/>
                            <w:tab w:val="right" w:pos="8306"/>
                          </w:tabs>
                          <w:rPr>
                            <w:sz w:val="20"/>
                          </w:rPr>
                        </w:pPr>
                      </w:p>
                    </w:tc>
                    <w:tc>
                      <w:tcPr>
                        <w:tcW w:w="2257" w:type="dxa"/>
                        <w:tcBorders>
                          <w:top w:val="single" w:sz="4" w:space="0" w:color="auto"/>
                          <w:left w:val="single" w:sz="4" w:space="0" w:color="auto"/>
                          <w:bottom w:val="single" w:sz="4" w:space="0" w:color="auto"/>
                          <w:right w:val="single" w:sz="4" w:space="0" w:color="auto"/>
                        </w:tcBorders>
                        <w:shd w:val="clear" w:color="auto" w:fill="auto"/>
                      </w:tcPr>
                      <w:p>
                        <w:pPr>
                          <w:tabs>
                            <w:tab w:val="left" w:pos="1905"/>
                            <w:tab w:val="center" w:pos="4153"/>
                            <w:tab w:val="right" w:pos="8306"/>
                          </w:tabs>
                          <w:jc w:val="center"/>
                          <w:rPr>
                            <w:sz w:val="20"/>
                          </w:rPr>
                        </w:pPr>
                        <w:r>
                          <w:rPr>
                            <w:sz w:val="20"/>
                          </w:rPr>
                          <w:t>A</w:t>
                        </w:r>
                      </w:p>
                      <w:p>
                        <w:pPr>
                          <w:tabs>
                            <w:tab w:val="left" w:pos="1905"/>
                            <w:tab w:val="center" w:pos="4153"/>
                            <w:tab w:val="right" w:pos="8306"/>
                          </w:tabs>
                          <w:jc w:val="center"/>
                          <w:rPr>
                            <w:sz w:val="20"/>
                          </w:rPr>
                        </w:pPr>
                        <w:r>
                          <w:rPr>
                            <w:sz w:val="20"/>
                          </w:rPr>
                          <w:t>Žemas dinaminis krūvis</w:t>
                        </w:r>
                      </w:p>
                    </w:tc>
                    <w:tc>
                      <w:tcPr>
                        <w:tcW w:w="2415" w:type="dxa"/>
                        <w:tcBorders>
                          <w:top w:val="single" w:sz="4" w:space="0" w:color="auto"/>
                          <w:left w:val="single" w:sz="4" w:space="0" w:color="auto"/>
                          <w:bottom w:val="single" w:sz="4" w:space="0" w:color="auto"/>
                          <w:right w:val="single" w:sz="4" w:space="0" w:color="auto"/>
                        </w:tcBorders>
                        <w:shd w:val="clear" w:color="auto" w:fill="auto"/>
                      </w:tcPr>
                      <w:p>
                        <w:pPr>
                          <w:tabs>
                            <w:tab w:val="left" w:pos="1905"/>
                            <w:tab w:val="center" w:pos="4153"/>
                            <w:tab w:val="right" w:pos="8306"/>
                          </w:tabs>
                          <w:jc w:val="center"/>
                          <w:rPr>
                            <w:sz w:val="20"/>
                          </w:rPr>
                        </w:pPr>
                        <w:r>
                          <w:rPr>
                            <w:sz w:val="20"/>
                          </w:rPr>
                          <w:t>B</w:t>
                        </w:r>
                      </w:p>
                      <w:p>
                        <w:pPr>
                          <w:tabs>
                            <w:tab w:val="left" w:pos="1905"/>
                            <w:tab w:val="center" w:pos="4153"/>
                            <w:tab w:val="right" w:pos="8306"/>
                          </w:tabs>
                          <w:jc w:val="center"/>
                          <w:rPr>
                            <w:sz w:val="20"/>
                          </w:rPr>
                        </w:pPr>
                        <w:r>
                          <w:rPr>
                            <w:sz w:val="20"/>
                          </w:rPr>
                          <w:t>Vidutinis dinaminis krūvis</w:t>
                        </w:r>
                      </w:p>
                    </w:tc>
                    <w:tc>
                      <w:tcPr>
                        <w:tcW w:w="2401" w:type="dxa"/>
                        <w:tcBorders>
                          <w:top w:val="single" w:sz="4" w:space="0" w:color="auto"/>
                          <w:left w:val="single" w:sz="4" w:space="0" w:color="auto"/>
                          <w:bottom w:val="single" w:sz="4" w:space="0" w:color="auto"/>
                          <w:right w:val="single" w:sz="4" w:space="0" w:color="auto"/>
                        </w:tcBorders>
                        <w:shd w:val="clear" w:color="auto" w:fill="auto"/>
                      </w:tcPr>
                      <w:p>
                        <w:pPr>
                          <w:tabs>
                            <w:tab w:val="left" w:pos="1905"/>
                            <w:tab w:val="center" w:pos="4153"/>
                            <w:tab w:val="right" w:pos="8306"/>
                          </w:tabs>
                          <w:jc w:val="center"/>
                          <w:rPr>
                            <w:sz w:val="20"/>
                          </w:rPr>
                        </w:pPr>
                        <w:r>
                          <w:rPr>
                            <w:sz w:val="20"/>
                          </w:rPr>
                          <w:t>C</w:t>
                        </w:r>
                      </w:p>
                      <w:p>
                        <w:pPr>
                          <w:tabs>
                            <w:tab w:val="left" w:pos="1905"/>
                            <w:tab w:val="center" w:pos="4153"/>
                            <w:tab w:val="right" w:pos="8306"/>
                          </w:tabs>
                          <w:jc w:val="center"/>
                          <w:rPr>
                            <w:sz w:val="20"/>
                          </w:rPr>
                        </w:pPr>
                        <w:r>
                          <w:rPr>
                            <w:sz w:val="20"/>
                          </w:rPr>
                          <w:t>Aukštas dinaminis krūvis</w:t>
                        </w:r>
                      </w:p>
                    </w:tc>
                  </w:tr>
                  <w:tr>
                    <w:tc>
                      <w:tcPr>
                        <w:tcW w:w="2377" w:type="dxa"/>
                        <w:tcBorders>
                          <w:top w:val="single" w:sz="4" w:space="0" w:color="auto"/>
                          <w:left w:val="single" w:sz="4" w:space="0" w:color="auto"/>
                          <w:bottom w:val="single" w:sz="4" w:space="0" w:color="auto"/>
                          <w:right w:val="single" w:sz="4" w:space="0" w:color="auto"/>
                        </w:tcBorders>
                        <w:shd w:val="clear" w:color="auto" w:fill="auto"/>
                      </w:tcPr>
                      <w:p>
                        <w:pPr>
                          <w:tabs>
                            <w:tab w:val="left" w:pos="1905"/>
                            <w:tab w:val="center" w:pos="4153"/>
                            <w:tab w:val="right" w:pos="8306"/>
                          </w:tabs>
                          <w:rPr>
                            <w:caps/>
                            <w:sz w:val="20"/>
                          </w:rPr>
                        </w:pPr>
                        <w:r>
                          <w:rPr>
                            <w:caps/>
                            <w:sz w:val="20"/>
                          </w:rPr>
                          <w:t xml:space="preserve">I. </w:t>
                        </w:r>
                        <w:r>
                          <w:rPr>
                            <w:sz w:val="20"/>
                          </w:rPr>
                          <w:t>Žemas statinis krūvis</w:t>
                        </w:r>
                        <w:r>
                          <w:rPr>
                            <w:caps/>
                            <w:sz w:val="20"/>
                          </w:rPr>
                          <w:t xml:space="preserve"> </w:t>
                        </w:r>
                      </w:p>
                    </w:tc>
                    <w:tc>
                      <w:tcPr>
                        <w:tcW w:w="2257" w:type="dxa"/>
                        <w:tcBorders>
                          <w:top w:val="single" w:sz="4" w:space="0" w:color="auto"/>
                          <w:left w:val="single" w:sz="4" w:space="0" w:color="auto"/>
                          <w:bottom w:val="single" w:sz="4" w:space="0" w:color="auto"/>
                          <w:right w:val="single" w:sz="4" w:space="0" w:color="auto"/>
                        </w:tcBorders>
                        <w:shd w:val="clear" w:color="auto" w:fill="auto"/>
                      </w:tcPr>
                      <w:p>
                        <w:pPr>
                          <w:tabs>
                            <w:tab w:val="center" w:pos="4153"/>
                            <w:tab w:val="right" w:pos="8306"/>
                          </w:tabs>
                          <w:jc w:val="center"/>
                          <w:rPr>
                            <w:sz w:val="20"/>
                          </w:rPr>
                        </w:pPr>
                        <w:r>
                          <w:rPr>
                            <w:sz w:val="20"/>
                          </w:rPr>
                          <w:t>Biliardas</w:t>
                        </w:r>
                      </w:p>
                      <w:p>
                        <w:pPr>
                          <w:tabs>
                            <w:tab w:val="center" w:pos="4153"/>
                            <w:tab w:val="right" w:pos="8306"/>
                          </w:tabs>
                          <w:jc w:val="center"/>
                          <w:rPr>
                            <w:sz w:val="20"/>
                          </w:rPr>
                        </w:pPr>
                        <w:r>
                          <w:rPr>
                            <w:sz w:val="20"/>
                          </w:rPr>
                          <w:t>Boulingas</w:t>
                        </w:r>
                      </w:p>
                      <w:p>
                        <w:pPr>
                          <w:tabs>
                            <w:tab w:val="center" w:pos="4153"/>
                            <w:tab w:val="right" w:pos="8306"/>
                          </w:tabs>
                          <w:jc w:val="center"/>
                          <w:rPr>
                            <w:sz w:val="20"/>
                          </w:rPr>
                        </w:pPr>
                        <w:r>
                          <w:rPr>
                            <w:sz w:val="20"/>
                          </w:rPr>
                          <w:t>Kriketas</w:t>
                        </w:r>
                      </w:p>
                      <w:p>
                        <w:pPr>
                          <w:tabs>
                            <w:tab w:val="left" w:pos="1905"/>
                            <w:tab w:val="center" w:pos="4153"/>
                            <w:tab w:val="right" w:pos="8306"/>
                          </w:tabs>
                          <w:jc w:val="center"/>
                          <w:rPr>
                            <w:sz w:val="20"/>
                          </w:rPr>
                        </w:pPr>
                        <w:r>
                          <w:rPr>
                            <w:sz w:val="20"/>
                          </w:rPr>
                          <w:t>Golfas</w:t>
                        </w:r>
                      </w:p>
                      <w:p>
                        <w:pPr>
                          <w:tabs>
                            <w:tab w:val="left" w:pos="1905"/>
                            <w:tab w:val="center" w:pos="4153"/>
                            <w:tab w:val="right" w:pos="8306"/>
                          </w:tabs>
                          <w:jc w:val="center"/>
                          <w:rPr>
                            <w:sz w:val="20"/>
                          </w:rPr>
                        </w:pPr>
                        <w:r>
                          <w:rPr>
                            <w:sz w:val="20"/>
                          </w:rPr>
                          <w:t>Šaudymas</w:t>
                        </w:r>
                      </w:p>
                      <w:p>
                        <w:pPr>
                          <w:tabs>
                            <w:tab w:val="left" w:pos="1905"/>
                            <w:tab w:val="center" w:pos="4153"/>
                            <w:tab w:val="right" w:pos="8306"/>
                          </w:tabs>
                          <w:jc w:val="center"/>
                          <w:rPr>
                            <w:sz w:val="20"/>
                          </w:rPr>
                        </w:pPr>
                        <w:r>
                          <w:rPr>
                            <w:sz w:val="20"/>
                          </w:rPr>
                          <w:t>Kerlingas</w:t>
                        </w:r>
                      </w:p>
                    </w:tc>
                    <w:tc>
                      <w:tcPr>
                        <w:tcW w:w="2415" w:type="dxa"/>
                        <w:tcBorders>
                          <w:top w:val="single" w:sz="4" w:space="0" w:color="auto"/>
                          <w:left w:val="single" w:sz="4" w:space="0" w:color="auto"/>
                          <w:bottom w:val="single" w:sz="4" w:space="0" w:color="auto"/>
                          <w:right w:val="single" w:sz="4" w:space="0" w:color="auto"/>
                        </w:tcBorders>
                        <w:shd w:val="clear" w:color="auto" w:fill="auto"/>
                      </w:tcPr>
                      <w:p>
                        <w:pPr>
                          <w:tabs>
                            <w:tab w:val="center" w:pos="4153"/>
                            <w:tab w:val="right" w:pos="8306"/>
                          </w:tabs>
                          <w:jc w:val="center"/>
                          <w:rPr>
                            <w:sz w:val="20"/>
                          </w:rPr>
                        </w:pPr>
                        <w:r>
                          <w:rPr>
                            <w:sz w:val="20"/>
                          </w:rPr>
                          <w:t>Fechtavimas</w:t>
                        </w:r>
                      </w:p>
                      <w:p>
                        <w:pPr>
                          <w:tabs>
                            <w:tab w:val="center" w:pos="4153"/>
                            <w:tab w:val="right" w:pos="8306"/>
                          </w:tabs>
                          <w:jc w:val="center"/>
                          <w:rPr>
                            <w:sz w:val="20"/>
                            <w:vertAlign w:val="superscript"/>
                          </w:rPr>
                        </w:pPr>
                        <w:r>
                          <w:rPr>
                            <w:sz w:val="20"/>
                          </w:rPr>
                          <w:t>Beisbolas</w:t>
                        </w:r>
                        <w:r>
                          <w:rPr>
                            <w:sz w:val="20"/>
                            <w:vertAlign w:val="superscript"/>
                          </w:rPr>
                          <w:t>x</w:t>
                        </w:r>
                      </w:p>
                      <w:p>
                        <w:pPr>
                          <w:tabs>
                            <w:tab w:val="center" w:pos="4153"/>
                            <w:tab w:val="right" w:pos="8306"/>
                          </w:tabs>
                          <w:jc w:val="center"/>
                          <w:rPr>
                            <w:sz w:val="20"/>
                          </w:rPr>
                        </w:pPr>
                        <w:r>
                          <w:rPr>
                            <w:sz w:val="20"/>
                          </w:rPr>
                          <w:t>Stalo tenisas</w:t>
                        </w:r>
                      </w:p>
                      <w:p>
                        <w:pPr>
                          <w:tabs>
                            <w:tab w:val="center" w:pos="4153"/>
                            <w:tab w:val="right" w:pos="8306"/>
                          </w:tabs>
                          <w:jc w:val="center"/>
                          <w:rPr>
                            <w:sz w:val="20"/>
                          </w:rPr>
                        </w:pPr>
                        <w:r>
                          <w:rPr>
                            <w:sz w:val="20"/>
                          </w:rPr>
                          <w:t>Tenisas (dvejetas)</w:t>
                        </w:r>
                      </w:p>
                      <w:p>
                        <w:pPr>
                          <w:tabs>
                            <w:tab w:val="left" w:pos="1905"/>
                            <w:tab w:val="center" w:pos="4153"/>
                            <w:tab w:val="right" w:pos="8306"/>
                          </w:tabs>
                          <w:jc w:val="center"/>
                          <w:rPr>
                            <w:sz w:val="20"/>
                          </w:rPr>
                        </w:pPr>
                        <w:r>
                          <w:rPr>
                            <w:sz w:val="20"/>
                          </w:rPr>
                          <w:t>Tinklinis</w:t>
                        </w:r>
                      </w:p>
                    </w:tc>
                    <w:tc>
                      <w:tcPr>
                        <w:tcW w:w="2401" w:type="dxa"/>
                        <w:tcBorders>
                          <w:top w:val="single" w:sz="4" w:space="0" w:color="auto"/>
                          <w:left w:val="single" w:sz="4" w:space="0" w:color="auto"/>
                          <w:bottom w:val="single" w:sz="4" w:space="0" w:color="auto"/>
                          <w:right w:val="single" w:sz="4" w:space="0" w:color="auto"/>
                        </w:tcBorders>
                        <w:shd w:val="clear" w:color="auto" w:fill="auto"/>
                      </w:tcPr>
                      <w:p>
                        <w:pPr>
                          <w:tabs>
                            <w:tab w:val="center" w:pos="4153"/>
                            <w:tab w:val="right" w:pos="8306"/>
                          </w:tabs>
                          <w:jc w:val="center"/>
                          <w:rPr>
                            <w:sz w:val="20"/>
                          </w:rPr>
                        </w:pPr>
                        <w:r>
                          <w:rPr>
                            <w:sz w:val="20"/>
                          </w:rPr>
                          <w:t>Badmintonas</w:t>
                        </w:r>
                      </w:p>
                      <w:p>
                        <w:pPr>
                          <w:tabs>
                            <w:tab w:val="center" w:pos="4153"/>
                            <w:tab w:val="right" w:pos="8306"/>
                          </w:tabs>
                          <w:jc w:val="center"/>
                          <w:rPr>
                            <w:sz w:val="20"/>
                          </w:rPr>
                        </w:pPr>
                        <w:r>
                          <w:rPr>
                            <w:sz w:val="20"/>
                          </w:rPr>
                          <w:t>Sportinis ėjimas</w:t>
                        </w:r>
                      </w:p>
                      <w:p>
                        <w:pPr>
                          <w:tabs>
                            <w:tab w:val="center" w:pos="4153"/>
                            <w:tab w:val="right" w:pos="8306"/>
                          </w:tabs>
                          <w:jc w:val="center"/>
                          <w:rPr>
                            <w:sz w:val="20"/>
                          </w:rPr>
                        </w:pPr>
                        <w:r>
                          <w:rPr>
                            <w:sz w:val="20"/>
                          </w:rPr>
                          <w:t>Slidinėjimas (klasikiniu būdu)</w:t>
                        </w:r>
                      </w:p>
                      <w:p>
                        <w:pPr>
                          <w:tabs>
                            <w:tab w:val="center" w:pos="4153"/>
                            <w:tab w:val="right" w:pos="8306"/>
                          </w:tabs>
                          <w:jc w:val="center"/>
                          <w:rPr>
                            <w:sz w:val="20"/>
                          </w:rPr>
                        </w:pPr>
                        <w:r>
                          <w:rPr>
                            <w:sz w:val="20"/>
                          </w:rPr>
                          <w:t>Orientacinis sportas</w:t>
                        </w:r>
                      </w:p>
                      <w:p>
                        <w:pPr>
                          <w:tabs>
                            <w:tab w:val="center" w:pos="4153"/>
                            <w:tab w:val="right" w:pos="8306"/>
                          </w:tabs>
                          <w:jc w:val="center"/>
                          <w:rPr>
                            <w:sz w:val="20"/>
                          </w:rPr>
                        </w:pPr>
                        <w:r>
                          <w:rPr>
                            <w:sz w:val="20"/>
                          </w:rPr>
                          <w:t>Ilgų distancijų bėgimas</w:t>
                        </w:r>
                      </w:p>
                      <w:p>
                        <w:pPr>
                          <w:tabs>
                            <w:tab w:val="left" w:pos="1905"/>
                            <w:tab w:val="center" w:pos="4153"/>
                            <w:tab w:val="right" w:pos="8306"/>
                          </w:tabs>
                          <w:jc w:val="center"/>
                          <w:rPr>
                            <w:sz w:val="20"/>
                          </w:rPr>
                        </w:pPr>
                        <w:r>
                          <w:rPr>
                            <w:sz w:val="20"/>
                          </w:rPr>
                          <w:t>Skvošas</w:t>
                        </w:r>
                      </w:p>
                    </w:tc>
                  </w:tr>
                  <w:tr>
                    <w:tc>
                      <w:tcPr>
                        <w:tcW w:w="2377" w:type="dxa"/>
                        <w:tcBorders>
                          <w:top w:val="single" w:sz="4" w:space="0" w:color="auto"/>
                          <w:left w:val="single" w:sz="4" w:space="0" w:color="auto"/>
                          <w:bottom w:val="single" w:sz="4" w:space="0" w:color="auto"/>
                          <w:right w:val="single" w:sz="4" w:space="0" w:color="auto"/>
                        </w:tcBorders>
                        <w:shd w:val="clear" w:color="auto" w:fill="auto"/>
                      </w:tcPr>
                      <w:p>
                        <w:pPr>
                          <w:tabs>
                            <w:tab w:val="left" w:pos="1905"/>
                            <w:tab w:val="center" w:pos="4153"/>
                            <w:tab w:val="right" w:pos="8306"/>
                          </w:tabs>
                          <w:rPr>
                            <w:caps/>
                            <w:sz w:val="20"/>
                          </w:rPr>
                        </w:pPr>
                        <w:r>
                          <w:rPr>
                            <w:caps/>
                            <w:sz w:val="20"/>
                          </w:rPr>
                          <w:t xml:space="preserve">II. </w:t>
                        </w:r>
                        <w:r>
                          <w:rPr>
                            <w:sz w:val="20"/>
                          </w:rPr>
                          <w:t>Vidutinis statinis krūvis</w:t>
                        </w:r>
                        <w:r>
                          <w:rPr>
                            <w:caps/>
                            <w:sz w:val="20"/>
                          </w:rPr>
                          <w:t xml:space="preserve"> </w:t>
                        </w:r>
                      </w:p>
                    </w:tc>
                    <w:tc>
                      <w:tcPr>
                        <w:tcW w:w="2257" w:type="dxa"/>
                        <w:tcBorders>
                          <w:top w:val="single" w:sz="4" w:space="0" w:color="auto"/>
                          <w:left w:val="single" w:sz="4" w:space="0" w:color="auto"/>
                          <w:bottom w:val="single" w:sz="4" w:space="0" w:color="auto"/>
                          <w:right w:val="single" w:sz="4" w:space="0" w:color="auto"/>
                        </w:tcBorders>
                        <w:shd w:val="clear" w:color="auto" w:fill="auto"/>
                      </w:tcPr>
                      <w:p>
                        <w:pPr>
                          <w:tabs>
                            <w:tab w:val="center" w:pos="4153"/>
                            <w:tab w:val="right" w:pos="8306"/>
                          </w:tabs>
                          <w:jc w:val="center"/>
                          <w:rPr>
                            <w:sz w:val="20"/>
                          </w:rPr>
                        </w:pPr>
                        <w:r>
                          <w:rPr>
                            <w:sz w:val="20"/>
                          </w:rPr>
                          <w:t>Šaudymas iš lanko</w:t>
                        </w:r>
                      </w:p>
                      <w:p>
                        <w:pPr>
                          <w:tabs>
                            <w:tab w:val="center" w:pos="4153"/>
                            <w:tab w:val="right" w:pos="8306"/>
                          </w:tabs>
                          <w:jc w:val="center"/>
                          <w:rPr>
                            <w:sz w:val="20"/>
                          </w:rPr>
                        </w:pPr>
                        <w:r>
                          <w:rPr>
                            <w:sz w:val="20"/>
                          </w:rPr>
                          <w:t xml:space="preserve">Buriavimas </w:t>
                        </w:r>
                      </w:p>
                      <w:p>
                        <w:pPr>
                          <w:tabs>
                            <w:tab w:val="center" w:pos="4153"/>
                            <w:tab w:val="right" w:pos="8306"/>
                          </w:tabs>
                          <w:jc w:val="center"/>
                          <w:rPr>
                            <w:sz w:val="20"/>
                          </w:rPr>
                        </w:pPr>
                        <w:r>
                          <w:rPr>
                            <w:sz w:val="20"/>
                          </w:rPr>
                          <w:t>Karatė/dziudo!</w:t>
                        </w:r>
                      </w:p>
                      <w:p>
                        <w:pPr>
                          <w:tabs>
                            <w:tab w:val="center" w:pos="4153"/>
                            <w:tab w:val="right" w:pos="8306"/>
                          </w:tabs>
                          <w:jc w:val="center"/>
                          <w:rPr>
                            <w:sz w:val="20"/>
                          </w:rPr>
                        </w:pPr>
                        <w:r>
                          <w:rPr>
                            <w:sz w:val="20"/>
                          </w:rPr>
                          <w:t>Šuoliai į vandenį!</w:t>
                        </w:r>
                      </w:p>
                      <w:p>
                        <w:pPr>
                          <w:tabs>
                            <w:tab w:val="center" w:pos="4153"/>
                            <w:tab w:val="right" w:pos="8306"/>
                          </w:tabs>
                          <w:jc w:val="center"/>
                          <w:rPr>
                            <w:sz w:val="20"/>
                          </w:rPr>
                        </w:pPr>
                        <w:r>
                          <w:rPr>
                            <w:sz w:val="20"/>
                          </w:rPr>
                          <w:t>Žirgų sportas!</w:t>
                        </w:r>
                      </w:p>
                      <w:p>
                        <w:pPr>
                          <w:tabs>
                            <w:tab w:val="center" w:pos="4153"/>
                            <w:tab w:val="right" w:pos="8306"/>
                          </w:tabs>
                          <w:jc w:val="center"/>
                          <w:rPr>
                            <w:sz w:val="20"/>
                          </w:rPr>
                        </w:pPr>
                        <w:r>
                          <w:rPr>
                            <w:sz w:val="20"/>
                          </w:rPr>
                          <w:t>Automobilių sportas!</w:t>
                        </w:r>
                      </w:p>
                      <w:p>
                        <w:pPr>
                          <w:tabs>
                            <w:tab w:val="left" w:pos="1905"/>
                            <w:tab w:val="center" w:pos="4153"/>
                            <w:tab w:val="right" w:pos="8306"/>
                          </w:tabs>
                          <w:jc w:val="center"/>
                          <w:rPr>
                            <w:sz w:val="20"/>
                          </w:rPr>
                        </w:pPr>
                        <w:r>
                          <w:rPr>
                            <w:sz w:val="20"/>
                          </w:rPr>
                          <w:t>Motosportas!</w:t>
                        </w:r>
                      </w:p>
                    </w:tc>
                    <w:tc>
                      <w:tcPr>
                        <w:tcW w:w="2415" w:type="dxa"/>
                        <w:tcBorders>
                          <w:top w:val="single" w:sz="4" w:space="0" w:color="auto"/>
                          <w:left w:val="single" w:sz="4" w:space="0" w:color="auto"/>
                          <w:bottom w:val="single" w:sz="4" w:space="0" w:color="auto"/>
                          <w:right w:val="single" w:sz="4" w:space="0" w:color="auto"/>
                        </w:tcBorders>
                        <w:shd w:val="clear" w:color="auto" w:fill="auto"/>
                      </w:tcPr>
                      <w:p>
                        <w:pPr>
                          <w:tabs>
                            <w:tab w:val="center" w:pos="4153"/>
                            <w:tab w:val="right" w:pos="8306"/>
                          </w:tabs>
                          <w:jc w:val="center"/>
                          <w:rPr>
                            <w:sz w:val="20"/>
                          </w:rPr>
                        </w:pPr>
                        <w:r>
                          <w:rPr>
                            <w:sz w:val="20"/>
                          </w:rPr>
                          <w:t>Lengvoji atletika (šuoliai)</w:t>
                        </w:r>
                      </w:p>
                      <w:p>
                        <w:pPr>
                          <w:tabs>
                            <w:tab w:val="center" w:pos="4153"/>
                            <w:tab w:val="right" w:pos="8306"/>
                          </w:tabs>
                          <w:jc w:val="center"/>
                          <w:rPr>
                            <w:sz w:val="20"/>
                          </w:rPr>
                        </w:pPr>
                        <w:r>
                          <w:rPr>
                            <w:sz w:val="20"/>
                          </w:rPr>
                          <w:t>Lengvoji atletika (sprintas)</w:t>
                        </w:r>
                      </w:p>
                      <w:p>
                        <w:pPr>
                          <w:tabs>
                            <w:tab w:val="center" w:pos="4153"/>
                            <w:tab w:val="right" w:pos="8306"/>
                          </w:tabs>
                          <w:jc w:val="center"/>
                          <w:rPr>
                            <w:sz w:val="20"/>
                            <w:vertAlign w:val="superscript"/>
                          </w:rPr>
                        </w:pPr>
                        <w:r>
                          <w:rPr>
                            <w:sz w:val="20"/>
                          </w:rPr>
                          <w:t>Dailusis čiuožimas</w:t>
                        </w:r>
                        <w:r>
                          <w:rPr>
                            <w:sz w:val="20"/>
                            <w:vertAlign w:val="superscript"/>
                          </w:rPr>
                          <w:t>x</w:t>
                        </w:r>
                      </w:p>
                      <w:p>
                        <w:pPr>
                          <w:tabs>
                            <w:tab w:val="center" w:pos="4153"/>
                            <w:tab w:val="right" w:pos="8306"/>
                          </w:tabs>
                          <w:jc w:val="center"/>
                          <w:rPr>
                            <w:sz w:val="20"/>
                          </w:rPr>
                        </w:pPr>
                        <w:r>
                          <w:rPr>
                            <w:sz w:val="20"/>
                          </w:rPr>
                          <w:t>Šuoliai</w:t>
                        </w:r>
                      </w:p>
                      <w:p>
                        <w:pPr>
                          <w:tabs>
                            <w:tab w:val="center" w:pos="4153"/>
                            <w:tab w:val="right" w:pos="8306"/>
                          </w:tabs>
                          <w:jc w:val="center"/>
                          <w:rPr>
                            <w:sz w:val="20"/>
                          </w:rPr>
                        </w:pPr>
                        <w:r>
                          <w:rPr>
                            <w:sz w:val="20"/>
                          </w:rPr>
                          <w:t>Sprintas</w:t>
                        </w:r>
                      </w:p>
                      <w:p>
                        <w:pPr>
                          <w:tabs>
                            <w:tab w:val="center" w:pos="4153"/>
                            <w:tab w:val="right" w:pos="8306"/>
                          </w:tabs>
                          <w:jc w:val="center"/>
                          <w:rPr>
                            <w:sz w:val="20"/>
                          </w:rPr>
                        </w:pPr>
                        <w:r>
                          <w:rPr>
                            <w:sz w:val="20"/>
                          </w:rPr>
                          <w:t>Regbis</w:t>
                        </w:r>
                        <w:r>
                          <w:rPr>
                            <w:sz w:val="20"/>
                            <w:vertAlign w:val="superscript"/>
                          </w:rPr>
                          <w:t xml:space="preserve">x </w:t>
                        </w:r>
                        <w:r>
                          <w:rPr>
                            <w:sz w:val="20"/>
                          </w:rPr>
                          <w:t>!</w:t>
                        </w:r>
                      </w:p>
                      <w:p>
                        <w:pPr>
                          <w:tabs>
                            <w:tab w:val="center" w:pos="4153"/>
                            <w:tab w:val="right" w:pos="8306"/>
                          </w:tabs>
                          <w:jc w:val="center"/>
                          <w:rPr>
                            <w:sz w:val="20"/>
                          </w:rPr>
                        </w:pPr>
                        <w:r>
                          <w:rPr>
                            <w:sz w:val="20"/>
                          </w:rPr>
                          <w:t>Burlenčių sportas</w:t>
                        </w:r>
                        <w:r>
                          <w:rPr>
                            <w:sz w:val="20"/>
                            <w:vertAlign w:val="superscript"/>
                          </w:rPr>
                          <w:t>x</w:t>
                        </w:r>
                        <w:r>
                          <w:rPr>
                            <w:sz w:val="20"/>
                          </w:rPr>
                          <w:t xml:space="preserve"> !</w:t>
                        </w:r>
                      </w:p>
                      <w:p>
                        <w:pPr>
                          <w:tabs>
                            <w:tab w:val="center" w:pos="4153"/>
                            <w:tab w:val="right" w:pos="8306"/>
                          </w:tabs>
                          <w:jc w:val="center"/>
                          <w:rPr>
                            <w:sz w:val="20"/>
                          </w:rPr>
                        </w:pPr>
                        <w:r>
                          <w:rPr>
                            <w:sz w:val="20"/>
                          </w:rPr>
                          <w:t>Sinchroninis plaukimas</w:t>
                        </w:r>
                      </w:p>
                      <w:p>
                        <w:pPr>
                          <w:tabs>
                            <w:tab w:val="left" w:pos="1905"/>
                            <w:tab w:val="center" w:pos="4153"/>
                            <w:tab w:val="right" w:pos="8306"/>
                          </w:tabs>
                          <w:jc w:val="center"/>
                          <w:rPr>
                            <w:sz w:val="20"/>
                          </w:rPr>
                        </w:pPr>
                        <w:r>
                          <w:rPr>
                            <w:sz w:val="20"/>
                          </w:rPr>
                          <w:t>Povandeninis plaukimas</w:t>
                        </w:r>
                      </w:p>
                    </w:tc>
                    <w:tc>
                      <w:tcPr>
                        <w:tcW w:w="2401" w:type="dxa"/>
                        <w:tcBorders>
                          <w:top w:val="single" w:sz="4" w:space="0" w:color="auto"/>
                          <w:left w:val="single" w:sz="4" w:space="0" w:color="auto"/>
                          <w:bottom w:val="single" w:sz="4" w:space="0" w:color="auto"/>
                          <w:right w:val="single" w:sz="4" w:space="0" w:color="auto"/>
                        </w:tcBorders>
                        <w:shd w:val="clear" w:color="auto" w:fill="auto"/>
                      </w:tcPr>
                      <w:p>
                        <w:pPr>
                          <w:tabs>
                            <w:tab w:val="left" w:pos="1905"/>
                            <w:tab w:val="center" w:pos="4153"/>
                            <w:tab w:val="right" w:pos="8306"/>
                          </w:tabs>
                          <w:jc w:val="center"/>
                          <w:rPr>
                            <w:sz w:val="20"/>
                            <w:vertAlign w:val="superscript"/>
                          </w:rPr>
                        </w:pPr>
                        <w:r>
                          <w:rPr>
                            <w:sz w:val="20"/>
                          </w:rPr>
                          <w:t>Krepšinis</w:t>
                        </w:r>
                        <w:r>
                          <w:rPr>
                            <w:sz w:val="20"/>
                            <w:vertAlign w:val="superscript"/>
                          </w:rPr>
                          <w:t>x</w:t>
                        </w:r>
                      </w:p>
                      <w:p>
                        <w:pPr>
                          <w:tabs>
                            <w:tab w:val="left" w:pos="1905"/>
                            <w:tab w:val="center" w:pos="4153"/>
                            <w:tab w:val="right" w:pos="8306"/>
                          </w:tabs>
                          <w:jc w:val="center"/>
                          <w:rPr>
                            <w:sz w:val="20"/>
                          </w:rPr>
                        </w:pPr>
                        <w:r>
                          <w:rPr>
                            <w:sz w:val="20"/>
                          </w:rPr>
                          <w:t>Biatlonas</w:t>
                        </w:r>
                      </w:p>
                      <w:p>
                        <w:pPr>
                          <w:tabs>
                            <w:tab w:val="left" w:pos="1905"/>
                            <w:tab w:val="center" w:pos="4153"/>
                            <w:tab w:val="right" w:pos="8306"/>
                          </w:tabs>
                          <w:jc w:val="center"/>
                          <w:rPr>
                            <w:sz w:val="20"/>
                            <w:vertAlign w:val="superscript"/>
                          </w:rPr>
                        </w:pPr>
                        <w:r>
                          <w:rPr>
                            <w:sz w:val="20"/>
                          </w:rPr>
                          <w:t>Ledo ritulys</w:t>
                        </w:r>
                        <w:r>
                          <w:rPr>
                            <w:sz w:val="20"/>
                            <w:vertAlign w:val="superscript"/>
                          </w:rPr>
                          <w:t>x</w:t>
                        </w:r>
                      </w:p>
                      <w:p>
                        <w:pPr>
                          <w:tabs>
                            <w:tab w:val="left" w:pos="1905"/>
                            <w:tab w:val="center" w:pos="4153"/>
                            <w:tab w:val="right" w:pos="8306"/>
                          </w:tabs>
                          <w:jc w:val="center"/>
                          <w:rPr>
                            <w:sz w:val="20"/>
                            <w:vertAlign w:val="superscript"/>
                          </w:rPr>
                        </w:pPr>
                        <w:r>
                          <w:rPr>
                            <w:sz w:val="20"/>
                          </w:rPr>
                          <w:t>Žolės riedulys</w:t>
                        </w:r>
                        <w:r>
                          <w:rPr>
                            <w:sz w:val="20"/>
                            <w:vertAlign w:val="superscript"/>
                          </w:rPr>
                          <w:t>x</w:t>
                        </w:r>
                      </w:p>
                      <w:p>
                        <w:pPr>
                          <w:tabs>
                            <w:tab w:val="left" w:pos="1905"/>
                            <w:tab w:val="center" w:pos="4153"/>
                            <w:tab w:val="right" w:pos="8306"/>
                          </w:tabs>
                          <w:jc w:val="center"/>
                          <w:rPr>
                            <w:sz w:val="20"/>
                            <w:vertAlign w:val="superscript"/>
                          </w:rPr>
                        </w:pPr>
                        <w:r>
                          <w:rPr>
                            <w:sz w:val="20"/>
                          </w:rPr>
                          <w:t>Futbolas</w:t>
                        </w:r>
                        <w:r>
                          <w:rPr>
                            <w:sz w:val="20"/>
                            <w:vertAlign w:val="superscript"/>
                          </w:rPr>
                          <w:t>x</w:t>
                        </w:r>
                      </w:p>
                      <w:p>
                        <w:pPr>
                          <w:tabs>
                            <w:tab w:val="left" w:pos="1905"/>
                            <w:tab w:val="center" w:pos="4153"/>
                            <w:tab w:val="right" w:pos="8306"/>
                          </w:tabs>
                          <w:jc w:val="center"/>
                          <w:rPr>
                            <w:sz w:val="20"/>
                          </w:rPr>
                        </w:pPr>
                        <w:r>
                          <w:rPr>
                            <w:sz w:val="20"/>
                          </w:rPr>
                          <w:t>Slidinėjimas (čiuožėjo žingsniu)</w:t>
                        </w:r>
                      </w:p>
                      <w:p>
                        <w:pPr>
                          <w:tabs>
                            <w:tab w:val="left" w:pos="1905"/>
                            <w:tab w:val="center" w:pos="4153"/>
                            <w:tab w:val="right" w:pos="8306"/>
                          </w:tabs>
                          <w:jc w:val="center"/>
                          <w:rPr>
                            <w:sz w:val="20"/>
                          </w:rPr>
                        </w:pPr>
                        <w:r>
                          <w:rPr>
                            <w:sz w:val="20"/>
                          </w:rPr>
                          <w:t>Lengvoji atletika (vidutinių ir ilgų distancijų bėgimas)</w:t>
                        </w:r>
                      </w:p>
                      <w:p>
                        <w:pPr>
                          <w:tabs>
                            <w:tab w:val="left" w:pos="1905"/>
                            <w:tab w:val="center" w:pos="4153"/>
                            <w:tab w:val="right" w:pos="8306"/>
                          </w:tabs>
                          <w:jc w:val="center"/>
                          <w:rPr>
                            <w:sz w:val="20"/>
                          </w:rPr>
                        </w:pPr>
                        <w:r>
                          <w:rPr>
                            <w:sz w:val="20"/>
                          </w:rPr>
                          <w:t>Šiuolaikinė penkiakovė</w:t>
                        </w:r>
                      </w:p>
                      <w:p>
                        <w:pPr>
                          <w:tabs>
                            <w:tab w:val="left" w:pos="1905"/>
                            <w:tab w:val="center" w:pos="4153"/>
                            <w:tab w:val="right" w:pos="8306"/>
                          </w:tabs>
                          <w:jc w:val="center"/>
                          <w:rPr>
                            <w:sz w:val="20"/>
                          </w:rPr>
                        </w:pPr>
                        <w:r>
                          <w:rPr>
                            <w:sz w:val="20"/>
                          </w:rPr>
                          <w:t>Plaukimas</w:t>
                        </w:r>
                      </w:p>
                      <w:p>
                        <w:pPr>
                          <w:tabs>
                            <w:tab w:val="left" w:pos="1905"/>
                            <w:tab w:val="center" w:pos="4153"/>
                            <w:tab w:val="right" w:pos="8306"/>
                          </w:tabs>
                          <w:jc w:val="center"/>
                          <w:rPr>
                            <w:sz w:val="20"/>
                          </w:rPr>
                        </w:pPr>
                        <w:r>
                          <w:rPr>
                            <w:sz w:val="20"/>
                          </w:rPr>
                          <w:t>Tenisas (vienetai)</w:t>
                        </w:r>
                      </w:p>
                      <w:p>
                        <w:pPr>
                          <w:tabs>
                            <w:tab w:val="left" w:pos="1905"/>
                            <w:tab w:val="center" w:pos="4153"/>
                            <w:tab w:val="right" w:pos="8306"/>
                          </w:tabs>
                          <w:jc w:val="center"/>
                          <w:rPr>
                            <w:sz w:val="20"/>
                          </w:rPr>
                        </w:pPr>
                        <w:r>
                          <w:rPr>
                            <w:sz w:val="20"/>
                          </w:rPr>
                          <w:t>Rankinis</w:t>
                        </w:r>
                      </w:p>
                    </w:tc>
                  </w:tr>
                  <w:tr>
                    <w:tc>
                      <w:tcPr>
                        <w:tcW w:w="2377" w:type="dxa"/>
                        <w:tcBorders>
                          <w:top w:val="single" w:sz="4" w:space="0" w:color="auto"/>
                          <w:left w:val="single" w:sz="4" w:space="0" w:color="auto"/>
                          <w:bottom w:val="single" w:sz="4" w:space="0" w:color="auto"/>
                          <w:right w:val="single" w:sz="4" w:space="0" w:color="auto"/>
                        </w:tcBorders>
                        <w:shd w:val="clear" w:color="auto" w:fill="auto"/>
                      </w:tcPr>
                      <w:p>
                        <w:pPr>
                          <w:tabs>
                            <w:tab w:val="left" w:pos="1905"/>
                            <w:tab w:val="center" w:pos="4153"/>
                            <w:tab w:val="right" w:pos="8306"/>
                          </w:tabs>
                          <w:rPr>
                            <w:caps/>
                            <w:sz w:val="20"/>
                          </w:rPr>
                        </w:pPr>
                        <w:r>
                          <w:rPr>
                            <w:caps/>
                            <w:sz w:val="20"/>
                          </w:rPr>
                          <w:t xml:space="preserve">III. </w:t>
                        </w:r>
                        <w:r>
                          <w:rPr>
                            <w:sz w:val="20"/>
                          </w:rPr>
                          <w:t>Aukštas statinis krūvis</w:t>
                        </w:r>
                        <w:r>
                          <w:rPr>
                            <w:caps/>
                            <w:sz w:val="20"/>
                          </w:rPr>
                          <w:t xml:space="preserve"> </w:t>
                        </w:r>
                      </w:p>
                    </w:tc>
                    <w:tc>
                      <w:tcPr>
                        <w:tcW w:w="2257" w:type="dxa"/>
                        <w:tcBorders>
                          <w:top w:val="single" w:sz="4" w:space="0" w:color="auto"/>
                          <w:left w:val="single" w:sz="4" w:space="0" w:color="auto"/>
                          <w:bottom w:val="single" w:sz="4" w:space="0" w:color="auto"/>
                          <w:right w:val="single" w:sz="4" w:space="0" w:color="auto"/>
                        </w:tcBorders>
                        <w:shd w:val="clear" w:color="auto" w:fill="auto"/>
                      </w:tcPr>
                      <w:p>
                        <w:pPr>
                          <w:tabs>
                            <w:tab w:val="center" w:pos="4153"/>
                            <w:tab w:val="right" w:pos="8306"/>
                          </w:tabs>
                          <w:jc w:val="center"/>
                          <w:rPr>
                            <w:sz w:val="20"/>
                          </w:rPr>
                        </w:pPr>
                        <w:r>
                          <w:rPr>
                            <w:sz w:val="20"/>
                          </w:rPr>
                          <w:t>Bobslėjus!</w:t>
                        </w:r>
                      </w:p>
                      <w:p>
                        <w:pPr>
                          <w:tabs>
                            <w:tab w:val="center" w:pos="4153"/>
                            <w:tab w:val="right" w:pos="8306"/>
                          </w:tabs>
                          <w:jc w:val="center"/>
                          <w:rPr>
                            <w:sz w:val="20"/>
                          </w:rPr>
                        </w:pPr>
                        <w:r>
                          <w:rPr>
                            <w:sz w:val="20"/>
                          </w:rPr>
                          <w:t>Alpinizmas</w:t>
                        </w:r>
                      </w:p>
                      <w:p>
                        <w:pPr>
                          <w:tabs>
                            <w:tab w:val="center" w:pos="4153"/>
                            <w:tab w:val="right" w:pos="8306"/>
                          </w:tabs>
                          <w:jc w:val="center"/>
                          <w:rPr>
                            <w:sz w:val="20"/>
                            <w:vertAlign w:val="superscript"/>
                          </w:rPr>
                        </w:pPr>
                        <w:r>
                          <w:rPr>
                            <w:sz w:val="20"/>
                          </w:rPr>
                          <w:t>Kovų menai</w:t>
                        </w:r>
                        <w:r>
                          <w:rPr>
                            <w:sz w:val="20"/>
                            <w:vertAlign w:val="superscript"/>
                          </w:rPr>
                          <w:t>x</w:t>
                        </w:r>
                      </w:p>
                      <w:p>
                        <w:pPr>
                          <w:tabs>
                            <w:tab w:val="center" w:pos="4153"/>
                            <w:tab w:val="right" w:pos="8306"/>
                          </w:tabs>
                          <w:jc w:val="center"/>
                          <w:rPr>
                            <w:sz w:val="20"/>
                          </w:rPr>
                        </w:pPr>
                        <w:r>
                          <w:rPr>
                            <w:sz w:val="20"/>
                          </w:rPr>
                          <w:t>Sunkumų kilnojimas</w:t>
                        </w:r>
                        <w:r>
                          <w:rPr>
                            <w:sz w:val="20"/>
                            <w:vertAlign w:val="superscript"/>
                          </w:rPr>
                          <w:t xml:space="preserve">x </w:t>
                        </w:r>
                        <w:r>
                          <w:rPr>
                            <w:sz w:val="20"/>
                          </w:rPr>
                          <w:t>!</w:t>
                        </w:r>
                      </w:p>
                      <w:p>
                        <w:pPr>
                          <w:tabs>
                            <w:tab w:val="center" w:pos="4153"/>
                            <w:tab w:val="right" w:pos="8306"/>
                          </w:tabs>
                          <w:jc w:val="center"/>
                          <w:rPr>
                            <w:sz w:val="20"/>
                          </w:rPr>
                        </w:pPr>
                        <w:r>
                          <w:rPr>
                            <w:sz w:val="20"/>
                          </w:rPr>
                          <w:t>Burlenčių sportas</w:t>
                        </w:r>
                      </w:p>
                      <w:p>
                        <w:pPr>
                          <w:tabs>
                            <w:tab w:val="left" w:pos="1905"/>
                            <w:tab w:val="center" w:pos="4153"/>
                            <w:tab w:val="right" w:pos="8306"/>
                          </w:tabs>
                          <w:jc w:val="center"/>
                          <w:rPr>
                            <w:sz w:val="20"/>
                          </w:rPr>
                        </w:pPr>
                        <w:r>
                          <w:rPr>
                            <w:sz w:val="20"/>
                          </w:rPr>
                          <w:t>Vandens slidės</w:t>
                        </w:r>
                        <w:r>
                          <w:rPr>
                            <w:sz w:val="20"/>
                            <w:vertAlign w:val="superscript"/>
                          </w:rPr>
                          <w:t xml:space="preserve">x </w:t>
                        </w:r>
                        <w:r>
                          <w:rPr>
                            <w:sz w:val="20"/>
                          </w:rPr>
                          <w:t>!</w:t>
                        </w:r>
                      </w:p>
                      <w:p>
                        <w:pPr>
                          <w:tabs>
                            <w:tab w:val="left" w:pos="1905"/>
                            <w:tab w:val="center" w:pos="4153"/>
                            <w:tab w:val="right" w:pos="8306"/>
                          </w:tabs>
                          <w:jc w:val="center"/>
                          <w:rPr>
                            <w:sz w:val="20"/>
                          </w:rPr>
                        </w:pPr>
                        <w:r>
                          <w:rPr>
                            <w:sz w:val="20"/>
                          </w:rPr>
                          <w:t>Gimnastika</w:t>
                        </w:r>
                        <w:r>
                          <w:rPr>
                            <w:sz w:val="20"/>
                            <w:vertAlign w:val="superscript"/>
                          </w:rPr>
                          <w:t xml:space="preserve">x </w:t>
                        </w:r>
                        <w:r>
                          <w:rPr>
                            <w:sz w:val="20"/>
                          </w:rPr>
                          <w:t xml:space="preserve">! </w:t>
                        </w:r>
                      </w:p>
                      <w:p>
                        <w:pPr>
                          <w:tabs>
                            <w:tab w:val="left" w:pos="1905"/>
                            <w:tab w:val="center" w:pos="4153"/>
                            <w:tab w:val="right" w:pos="8306"/>
                          </w:tabs>
                          <w:jc w:val="center"/>
                          <w:rPr>
                            <w:sz w:val="20"/>
                          </w:rPr>
                        </w:pPr>
                        <w:r>
                          <w:rPr>
                            <w:sz w:val="20"/>
                          </w:rPr>
                          <w:t>Lengvoji atletika (metimai)</w:t>
                        </w:r>
                      </w:p>
                      <w:p>
                        <w:pPr>
                          <w:tabs>
                            <w:tab w:val="left" w:pos="1905"/>
                            <w:tab w:val="center" w:pos="4153"/>
                            <w:tab w:val="right" w:pos="8306"/>
                          </w:tabs>
                          <w:jc w:val="center"/>
                          <w:rPr>
                            <w:sz w:val="20"/>
                          </w:rPr>
                        </w:pPr>
                        <w:r>
                          <w:rPr>
                            <w:sz w:val="20"/>
                          </w:rPr>
                          <w:t>Buriavimas</w:t>
                        </w:r>
                        <w:r>
                          <w:rPr>
                            <w:vertAlign w:val="superscript"/>
                          </w:rPr>
                          <w:t>x</w:t>
                        </w:r>
                        <w:r>
                          <w:rPr>
                            <w:sz w:val="20"/>
                            <w:vertAlign w:val="superscript"/>
                          </w:rPr>
                          <w:t xml:space="preserve"> </w:t>
                        </w:r>
                        <w:r>
                          <w:rPr>
                            <w:sz w:val="20"/>
                          </w:rPr>
                          <w:t>!</w:t>
                        </w:r>
                      </w:p>
                    </w:tc>
                    <w:tc>
                      <w:tcPr>
                        <w:tcW w:w="2415" w:type="dxa"/>
                        <w:tcBorders>
                          <w:top w:val="single" w:sz="4" w:space="0" w:color="auto"/>
                          <w:left w:val="single" w:sz="4" w:space="0" w:color="auto"/>
                          <w:bottom w:val="single" w:sz="4" w:space="0" w:color="auto"/>
                          <w:right w:val="single" w:sz="4" w:space="0" w:color="auto"/>
                        </w:tcBorders>
                        <w:shd w:val="clear" w:color="auto" w:fill="auto"/>
                      </w:tcPr>
                      <w:p>
                        <w:pPr>
                          <w:tabs>
                            <w:tab w:val="center" w:pos="4153"/>
                            <w:tab w:val="right" w:pos="8306"/>
                          </w:tabs>
                          <w:jc w:val="center"/>
                          <w:rPr>
                            <w:sz w:val="20"/>
                          </w:rPr>
                        </w:pPr>
                        <w:r>
                          <w:rPr>
                            <w:sz w:val="20"/>
                          </w:rPr>
                          <w:t>Kultūrizmas</w:t>
                        </w:r>
                        <w:r>
                          <w:rPr>
                            <w:sz w:val="20"/>
                            <w:vertAlign w:val="superscript"/>
                          </w:rPr>
                          <w:t>x</w:t>
                        </w:r>
                        <w:r>
                          <w:rPr>
                            <w:sz w:val="20"/>
                          </w:rPr>
                          <w:t xml:space="preserve"> !</w:t>
                        </w:r>
                      </w:p>
                      <w:p>
                        <w:pPr>
                          <w:tabs>
                            <w:tab w:val="center" w:pos="4153"/>
                            <w:tab w:val="right" w:pos="8306"/>
                          </w:tabs>
                          <w:jc w:val="center"/>
                          <w:rPr>
                            <w:sz w:val="20"/>
                          </w:rPr>
                        </w:pPr>
                        <w:r>
                          <w:rPr>
                            <w:sz w:val="20"/>
                          </w:rPr>
                          <w:t>Kalnų slidinėjimas</w:t>
                        </w:r>
                        <w:r>
                          <w:rPr>
                            <w:sz w:val="20"/>
                            <w:vertAlign w:val="superscript"/>
                          </w:rPr>
                          <w:t>x</w:t>
                        </w:r>
                        <w:r>
                          <w:rPr>
                            <w:sz w:val="20"/>
                          </w:rPr>
                          <w:t xml:space="preserve"> !</w:t>
                        </w:r>
                      </w:p>
                      <w:p>
                        <w:pPr>
                          <w:tabs>
                            <w:tab w:val="center" w:pos="4153"/>
                            <w:tab w:val="right" w:pos="8306"/>
                          </w:tabs>
                          <w:jc w:val="center"/>
                          <w:rPr>
                            <w:sz w:val="20"/>
                            <w:vertAlign w:val="superscript"/>
                          </w:rPr>
                        </w:pPr>
                        <w:r>
                          <w:rPr>
                            <w:sz w:val="20"/>
                          </w:rPr>
                          <w:t>Imtynės</w:t>
                        </w:r>
                        <w:r>
                          <w:rPr>
                            <w:sz w:val="20"/>
                            <w:vertAlign w:val="superscript"/>
                          </w:rPr>
                          <w:t>x</w:t>
                        </w:r>
                      </w:p>
                      <w:p>
                        <w:pPr>
                          <w:tabs>
                            <w:tab w:val="left" w:pos="1905"/>
                            <w:tab w:val="center" w:pos="4153"/>
                            <w:tab w:val="right" w:pos="8306"/>
                          </w:tabs>
                          <w:jc w:val="center"/>
                          <w:rPr>
                            <w:sz w:val="20"/>
                          </w:rPr>
                        </w:pPr>
                        <w:r>
                          <w:rPr>
                            <w:sz w:val="20"/>
                          </w:rPr>
                          <w:t>Snieglentės</w:t>
                        </w:r>
                        <w:r>
                          <w:rPr>
                            <w:sz w:val="20"/>
                            <w:vertAlign w:val="superscript"/>
                          </w:rPr>
                          <w:t xml:space="preserve">x </w:t>
                        </w:r>
                        <w:r>
                          <w:rPr>
                            <w:sz w:val="20"/>
                          </w:rPr>
                          <w:t>!</w:t>
                        </w:r>
                      </w:p>
                      <w:p>
                        <w:pPr>
                          <w:tabs>
                            <w:tab w:val="left" w:pos="1905"/>
                            <w:tab w:val="center" w:pos="4153"/>
                            <w:tab w:val="right" w:pos="8306"/>
                          </w:tabs>
                          <w:jc w:val="center"/>
                          <w:rPr>
                            <w:sz w:val="20"/>
                          </w:rPr>
                        </w:pPr>
                        <w:r>
                          <w:rPr>
                            <w:sz w:val="20"/>
                          </w:rPr>
                          <w:t>Riedlentės</w:t>
                        </w:r>
                        <w:r>
                          <w:rPr>
                            <w:sz w:val="20"/>
                            <w:vertAlign w:val="superscript"/>
                          </w:rPr>
                          <w:t>x</w:t>
                        </w:r>
                        <w:r>
                          <w:rPr>
                            <w:sz w:val="20"/>
                          </w:rPr>
                          <w:t xml:space="preserve"> !</w:t>
                        </w:r>
                      </w:p>
                    </w:tc>
                    <w:tc>
                      <w:tcPr>
                        <w:tcW w:w="2401" w:type="dxa"/>
                        <w:tcBorders>
                          <w:top w:val="single" w:sz="4" w:space="0" w:color="auto"/>
                          <w:left w:val="single" w:sz="4" w:space="0" w:color="auto"/>
                          <w:bottom w:val="single" w:sz="4" w:space="0" w:color="auto"/>
                          <w:right w:val="single" w:sz="4" w:space="0" w:color="auto"/>
                        </w:tcBorders>
                        <w:shd w:val="clear" w:color="auto" w:fill="auto"/>
                      </w:tcPr>
                      <w:p>
                        <w:pPr>
                          <w:tabs>
                            <w:tab w:val="left" w:pos="1905"/>
                            <w:tab w:val="center" w:pos="4153"/>
                            <w:tab w:val="right" w:pos="8306"/>
                          </w:tabs>
                          <w:jc w:val="center"/>
                          <w:rPr>
                            <w:sz w:val="20"/>
                            <w:vertAlign w:val="superscript"/>
                          </w:rPr>
                        </w:pPr>
                        <w:r>
                          <w:rPr>
                            <w:sz w:val="20"/>
                          </w:rPr>
                          <w:t>Boksas</w:t>
                        </w:r>
                        <w:r>
                          <w:rPr>
                            <w:sz w:val="20"/>
                            <w:vertAlign w:val="superscript"/>
                          </w:rPr>
                          <w:t>x</w:t>
                        </w:r>
                      </w:p>
                      <w:p>
                        <w:pPr>
                          <w:tabs>
                            <w:tab w:val="left" w:pos="1905"/>
                            <w:tab w:val="center" w:pos="4153"/>
                            <w:tab w:val="right" w:pos="8306"/>
                          </w:tabs>
                          <w:jc w:val="center"/>
                          <w:rPr>
                            <w:sz w:val="20"/>
                          </w:rPr>
                        </w:pPr>
                        <w:r>
                          <w:rPr>
                            <w:sz w:val="20"/>
                          </w:rPr>
                          <w:t>Baidarių ir kanojų irklavimas</w:t>
                        </w:r>
                      </w:p>
                      <w:p>
                        <w:pPr>
                          <w:tabs>
                            <w:tab w:val="left" w:pos="1905"/>
                            <w:tab w:val="center" w:pos="4153"/>
                            <w:tab w:val="right" w:pos="8306"/>
                          </w:tabs>
                          <w:jc w:val="center"/>
                          <w:rPr>
                            <w:sz w:val="20"/>
                            <w:vertAlign w:val="superscript"/>
                          </w:rPr>
                        </w:pPr>
                        <w:r>
                          <w:rPr>
                            <w:sz w:val="20"/>
                          </w:rPr>
                          <w:t>Dviračių sportas</w:t>
                        </w:r>
                        <w:r>
                          <w:rPr>
                            <w:sz w:val="20"/>
                            <w:vertAlign w:val="superscript"/>
                          </w:rPr>
                          <w:t>x</w:t>
                        </w:r>
                      </w:p>
                      <w:p>
                        <w:pPr>
                          <w:tabs>
                            <w:tab w:val="left" w:pos="1905"/>
                            <w:tab w:val="center" w:pos="4153"/>
                            <w:tab w:val="right" w:pos="8306"/>
                          </w:tabs>
                          <w:jc w:val="center"/>
                          <w:rPr>
                            <w:sz w:val="20"/>
                          </w:rPr>
                        </w:pPr>
                        <w:r>
                          <w:rPr>
                            <w:sz w:val="20"/>
                          </w:rPr>
                          <w:t>Lengvoji atletika (dešimtkovė)</w:t>
                        </w:r>
                      </w:p>
                      <w:p>
                        <w:pPr>
                          <w:tabs>
                            <w:tab w:val="left" w:pos="1905"/>
                            <w:tab w:val="center" w:pos="4153"/>
                            <w:tab w:val="right" w:pos="8306"/>
                          </w:tabs>
                          <w:jc w:val="center"/>
                          <w:rPr>
                            <w:sz w:val="20"/>
                          </w:rPr>
                        </w:pPr>
                        <w:r>
                          <w:rPr>
                            <w:sz w:val="20"/>
                          </w:rPr>
                          <w:t>Irklavimas</w:t>
                        </w:r>
                      </w:p>
                      <w:p>
                        <w:pPr>
                          <w:tabs>
                            <w:tab w:val="center" w:pos="4153"/>
                            <w:tab w:val="right" w:pos="8306"/>
                          </w:tabs>
                          <w:jc w:val="center"/>
                          <w:rPr>
                            <w:sz w:val="20"/>
                          </w:rPr>
                        </w:pPr>
                        <w:r>
                          <w:rPr>
                            <w:sz w:val="20"/>
                          </w:rPr>
                          <w:t>Greitasis čiuožimas</w:t>
                        </w:r>
                        <w:r>
                          <w:rPr>
                            <w:sz w:val="20"/>
                            <w:vertAlign w:val="superscript"/>
                          </w:rPr>
                          <w:t xml:space="preserve">x </w:t>
                        </w:r>
                        <w:r>
                          <w:rPr>
                            <w:sz w:val="20"/>
                          </w:rPr>
                          <w:t>!</w:t>
                        </w:r>
                      </w:p>
                      <w:p>
                        <w:pPr>
                          <w:tabs>
                            <w:tab w:val="left" w:pos="1905"/>
                            <w:tab w:val="center" w:pos="4153"/>
                            <w:tab w:val="right" w:pos="8306"/>
                          </w:tabs>
                          <w:jc w:val="center"/>
                          <w:rPr>
                            <w:sz w:val="20"/>
                          </w:rPr>
                        </w:pPr>
                        <w:r>
                          <w:rPr>
                            <w:sz w:val="20"/>
                          </w:rPr>
                          <w:t>Triatlonas</w:t>
                        </w:r>
                        <w:r>
                          <w:rPr>
                            <w:sz w:val="20"/>
                            <w:vertAlign w:val="superscript"/>
                          </w:rPr>
                          <w:t xml:space="preserve">x </w:t>
                        </w:r>
                        <w:r>
                          <w:rPr>
                            <w:sz w:val="20"/>
                          </w:rPr>
                          <w:t>!</w:t>
                        </w:r>
                      </w:p>
                      <w:p>
                        <w:pPr>
                          <w:tabs>
                            <w:tab w:val="left" w:pos="1905"/>
                            <w:tab w:val="center" w:pos="4153"/>
                            <w:tab w:val="right" w:pos="8306"/>
                          </w:tabs>
                          <w:jc w:val="center"/>
                          <w:rPr>
                            <w:sz w:val="20"/>
                          </w:rPr>
                        </w:pPr>
                        <w:r>
                          <w:rPr>
                            <w:sz w:val="20"/>
                          </w:rPr>
                          <w:t>Dekatlonas</w:t>
                        </w:r>
                        <w:r>
                          <w:rPr>
                            <w:sz w:val="20"/>
                            <w:vertAlign w:val="superscript"/>
                          </w:rPr>
                          <w:t xml:space="preserve"> x </w:t>
                        </w:r>
                        <w:r>
                          <w:rPr>
                            <w:sz w:val="20"/>
                          </w:rPr>
                          <w:t>!</w:t>
                        </w:r>
                      </w:p>
                    </w:tc>
                  </w:tr>
                </w:tbl>
                <w:p>
                  <w:pPr>
                    <w:tabs>
                      <w:tab w:val="left" w:pos="1905"/>
                    </w:tabs>
                    <w:ind w:firstLine="567"/>
                    <w:jc w:val="both"/>
                  </w:pPr>
                </w:p>
                <w:p>
                  <w:pPr>
                    <w:tabs>
                      <w:tab w:val="left" w:pos="1905"/>
                    </w:tabs>
                    <w:ind w:firstLine="634"/>
                    <w:jc w:val="both"/>
                  </w:pPr>
                  <w:r>
                    <w:rPr>
                      <w:vertAlign w:val="superscript"/>
                    </w:rPr>
                    <w:t xml:space="preserve">x </w:t>
                  </w:r>
                  <w:r>
                    <w:t>– didelė su(si)žeidimų rizika; ! – didelė pasikartojančių sinkopių rizika.“</w:t>
                  </w:r>
                </w:p>
                <w:p>
                  <w:pPr>
                    <w:ind w:firstLine="567"/>
                    <w:jc w:val="both"/>
                  </w:pPr>
                </w:p>
              </w:sdtContent>
            </w:sdt>
          </w:sdtContent>
        </w:sdt>
        <w:sdt>
          <w:sdtPr>
            <w:alias w:val="skyrius"/>
            <w:tag w:val="part_445c60dff25a43aa86b618e36ec8bf04"/>
            <w:lock w:val="sdtLocked"/>
            <w:richText/>
          </w:sdtPr>
          <w:sdtContent>
            <w:p>
              <w:pPr>
                <w:jc w:val="center"/>
                <w:rPr>
                  <w:b/>
                  <w:caps/>
                </w:rPr>
              </w:pPr>
              <w:sdt>
                <w:sdtPr>
                  <w:alias w:val="Numeris"/>
                  <w:tag w:val="nr_445c60dff25a43aa86b618e36ec8bf04"/>
                  <w:lock w:val="sdtLocked"/>
                  <w:richText/>
                </w:sdtPr>
                <w:sdtContent>
                  <w:r>
                    <w:rPr>
                      <w:b/>
                    </w:rPr>
                    <w:t>II</w:t>
                  </w:r>
                </w:sdtContent>
              </w:sdt>
              <w:r>
                <w:rPr>
                  <w:b/>
                </w:rPr>
                <w:t xml:space="preserve">. </w:t>
              </w:r>
              <w:sdt>
                <w:sdtPr>
                  <w:alias w:val="Pavadinimas"/>
                  <w:tag w:val="title_445c60dff25a43aa86b618e36ec8bf04"/>
                  <w:lock w:val="sdtLocked"/>
                  <w:richText/>
                </w:sdtPr>
                <w:sdtContent>
                  <w:r>
                    <w:rPr>
                      <w:b/>
                      <w:caps/>
                    </w:rPr>
                    <w:t xml:space="preserve">ligų ir patologinių būsenų SĄRAŠAS, kurioms esant Ribojamas fizinis krŪvis arba nerekomenduojama sportuoti </w:t>
                  </w:r>
                </w:sdtContent>
              </w:sdt>
            </w:p>
            <w:p>
              <w:pPr>
                <w:jc w:val="center"/>
                <w:rPr>
                  <w:caps/>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188"/>
                <w:gridCol w:w="1932"/>
                <w:gridCol w:w="1188"/>
                <w:gridCol w:w="6"/>
                <w:gridCol w:w="37"/>
                <w:gridCol w:w="42"/>
                <w:gridCol w:w="41"/>
                <w:gridCol w:w="754"/>
                <w:gridCol w:w="1554"/>
                <w:gridCol w:w="385"/>
                <w:gridCol w:w="1943"/>
              </w:tblGrid>
              <w:tr>
                <w:trPr>
                  <w:trHeight w:val="20"/>
                  <w:tblHeader/>
                </w:trPr>
                <w:tc>
                  <w:tcPr>
                    <w:tcW w:w="1188" w:type="dxa"/>
                    <w:tcBorders>
                      <w:top w:val="single" w:sz="4" w:space="0" w:color="auto"/>
                      <w:left w:val="single" w:sz="4" w:space="0" w:color="auto"/>
                      <w:bottom w:val="single" w:sz="4" w:space="0" w:color="auto"/>
                      <w:right w:val="single" w:sz="4" w:space="0" w:color="auto"/>
                    </w:tcBorders>
                    <w:shd w:val="clear" w:color="auto" w:fill="auto"/>
                    <w:vAlign w:val="center"/>
                  </w:tcPr>
                  <w:p>
                    <w:pPr>
                      <w:widowControl w:val="0"/>
                      <w:jc w:val="center"/>
                    </w:pPr>
                    <w:r>
                      <w:t>Eil. Nr.</w:t>
                    </w:r>
                  </w:p>
                </w:tc>
                <w:tc>
                  <w:tcPr>
                    <w:tcW w:w="3126" w:type="dxa"/>
                    <w:gridSpan w:val="3"/>
                    <w:tcBorders>
                      <w:top w:val="single" w:sz="4" w:space="0" w:color="auto"/>
                      <w:left w:val="single" w:sz="4" w:space="0" w:color="auto"/>
                      <w:bottom w:val="single" w:sz="4" w:space="0" w:color="auto"/>
                      <w:right w:val="single" w:sz="4" w:space="0" w:color="auto"/>
                    </w:tcBorders>
                    <w:shd w:val="clear" w:color="auto" w:fill="auto"/>
                    <w:vAlign w:val="center"/>
                  </w:tcPr>
                  <w:p>
                    <w:pPr>
                      <w:widowControl w:val="0"/>
                      <w:jc w:val="center"/>
                    </w:pPr>
                    <w:r>
                      <w:t>Ligos ir patologinės būsenos</w:t>
                    </w:r>
                  </w:p>
                </w:tc>
                <w:tc>
                  <w:tcPr>
                    <w:tcW w:w="2428" w:type="dxa"/>
                    <w:gridSpan w:val="5"/>
                    <w:tcBorders>
                      <w:top w:val="single" w:sz="4" w:space="0" w:color="auto"/>
                      <w:left w:val="single" w:sz="4" w:space="0" w:color="auto"/>
                      <w:bottom w:val="single" w:sz="4" w:space="0" w:color="auto"/>
                      <w:right w:val="single" w:sz="4" w:space="0" w:color="auto"/>
                    </w:tcBorders>
                    <w:shd w:val="clear" w:color="auto" w:fill="auto"/>
                    <w:vAlign w:val="center"/>
                  </w:tcPr>
                  <w:p>
                    <w:pPr>
                      <w:widowControl w:val="0"/>
                      <w:jc w:val="center"/>
                    </w:pPr>
                    <w:r>
                      <w:t>Asmenims, lankantiems sporto mokymo įstaigas, sporto klases, sporto gimnazijas; Lietuvos olimpinio sporto centro sportininkams, Lietuvos olimpinės rinktinės kandidatams ir sportininkams, esantiems šios rinktinės rezerve</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vAlign w:val="center"/>
                  </w:tcPr>
                  <w:p>
                    <w:pPr>
                      <w:widowControl w:val="0"/>
                      <w:jc w:val="center"/>
                    </w:pPr>
                    <w:r>
                      <w:t>Sportuotojams, sveikos gyvensenos puoselėtojams, individualiai sportuojantiesiems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w:t>
                    </w:r>
                  </w:p>
                </w:tc>
                <w:tc>
                  <w:tcPr>
                    <w:tcW w:w="3126"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Visos ūmios ligos ir lėtinių ligų paūmėjimo stadijos</w:t>
                    </w:r>
                  </w:p>
                </w:tc>
                <w:tc>
                  <w:tcPr>
                    <w:tcW w:w="2428"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2.2.</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Fizinio išsivystymo ypatybės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2.2.1.</w:t>
                    </w:r>
                  </w:p>
                </w:tc>
                <w:tc>
                  <w:tcPr>
                    <w:tcW w:w="3126"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Ryškus fizinio vystymosi atsilikimas, trukdantis atlikti pratimus ir normatyvus, numatytus ugdymo programose; ryški kūno ir galūnių disproporcija. M95-M99</w:t>
                    </w:r>
                  </w:p>
                </w:tc>
                <w:tc>
                  <w:tcPr>
                    <w:tcW w:w="2428"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2.2.2.</w:t>
                    </w:r>
                  </w:p>
                </w:tc>
                <w:tc>
                  <w:tcPr>
                    <w:tcW w:w="3126"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Visos rankų deformacijos, trukdančios atlikti įvairius fizinius pratimus. M95</w:t>
                    </w:r>
                  </w:p>
                </w:tc>
                <w:tc>
                  <w:tcPr>
                    <w:tcW w:w="2428"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2.2.3.</w:t>
                    </w:r>
                  </w:p>
                </w:tc>
                <w:tc>
                  <w:tcPr>
                    <w:tcW w:w="3126"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Ryški krūtinės ląstos deformacija, trikdanti normalią krūtinės ląstos organų funkciją. M99</w:t>
                    </w:r>
                  </w:p>
                </w:tc>
                <w:tc>
                  <w:tcPr>
                    <w:tcW w:w="2428"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2.2.4.</w:t>
                    </w:r>
                  </w:p>
                </w:tc>
                <w:tc>
                  <w:tcPr>
                    <w:tcW w:w="3126"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Ryški dubens deformacija, turinti įtakos laikysenai bei eisenos biomechanikai. M95, M99</w:t>
                    </w:r>
                  </w:p>
                </w:tc>
                <w:tc>
                  <w:tcPr>
                    <w:tcW w:w="2428"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2.2.5.</w:t>
                    </w:r>
                  </w:p>
                </w:tc>
                <w:tc>
                  <w:tcPr>
                    <w:tcW w:w="3126"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Viena koja trumpesnė daugiau nei 3 cm (net esant visavertei eisenai); kojų deformacijos: iškrypimas į vidų („X“ formos) ar į išorę („O“ formos), kai atstumas tarp vidinių šlaunies krumplių arba vidinių kulkšnelių paviršiaus yra daugiau nei 12 cm. M99</w:t>
                    </w:r>
                  </w:p>
                </w:tc>
                <w:tc>
                  <w:tcPr>
                    <w:tcW w:w="2428"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 atsižvelgiant į sporto šaką</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2.3.</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Nervų ir psichikos ligos. Centrinės ir periferinės nervų sistemos traumos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2.3.1.</w:t>
                    </w:r>
                  </w:p>
                </w:tc>
                <w:tc>
                  <w:tcPr>
                    <w:tcW w:w="3163"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Psichoziniai ir nepsichoziniai psichikos sutrikimai dėl organinio galvos smegenų pakenkimo. Endogeninės psichozės: šizofrenija ir afektinės psichozės. Simptomatinės psichozės ir kiti egzogeninės etiologijos psichikos sutrikimai. G00-G09, F00-F09, F20-F29, F50-F59, F70-79, F99</w:t>
                    </w:r>
                  </w:p>
                </w:tc>
                <w:tc>
                  <w:tcPr>
                    <w:tcW w:w="2391"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2.3.2. </w:t>
                    </w:r>
                  </w:p>
                </w:tc>
                <w:tc>
                  <w:tcPr>
                    <w:tcW w:w="3163"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Reakcinės psichozės ir neurotiniai sutrikimai. F40-48</w:t>
                    </w:r>
                  </w:p>
                </w:tc>
                <w:tc>
                  <w:tcPr>
                    <w:tcW w:w="2391"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2.3.3.</w:t>
                    </w:r>
                  </w:p>
                </w:tc>
                <w:tc>
                  <w:tcPr>
                    <w:tcW w:w="3163"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Protinis atsilikimas. F70-F79</w:t>
                    </w:r>
                  </w:p>
                </w:tc>
                <w:tc>
                  <w:tcPr>
                    <w:tcW w:w="2391"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Tik specialiose grupėse</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2.3.4.</w:t>
                    </w:r>
                  </w:p>
                </w:tc>
                <w:tc>
                  <w:tcPr>
                    <w:tcW w:w="3163"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Epilepsija. G40-47</w:t>
                    </w:r>
                  </w:p>
                </w:tc>
                <w:tc>
                  <w:tcPr>
                    <w:tcW w:w="2391"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Atsižvelgiant į ligos eigą, nerekomenduojamos treniruotės vandenyje, aukštyje, su įrankiais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2.3.5.</w:t>
                    </w:r>
                  </w:p>
                </w:tc>
                <w:tc>
                  <w:tcPr>
                    <w:tcW w:w="3163"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Centrinės nervų sistemos infekcinės, parazitinės, virusinės ligos ir jų padariniai. Galvos ir stuburo smegenų pažeidimai esant bendroms infekcijoms, ūmioms ir lėtinėms intoksikacijoms ir jų padariniai (asteninė, neurocirkuliacinė distonija, nuolatiniai išsėtiniai organiniai požymiai). G00-G09, G10-G13, G35-G37</w:t>
                    </w:r>
                  </w:p>
                </w:tc>
                <w:tc>
                  <w:tcPr>
                    <w:tcW w:w="2391"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Tik specialiose grupėse</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2.3.6.</w:t>
                    </w:r>
                  </w:p>
                </w:tc>
                <w:tc>
                  <w:tcPr>
                    <w:tcW w:w="3163"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Galvos ir stuburo smegenų traumos ir jų padariniai. S00-S09, T90</w:t>
                    </w:r>
                  </w:p>
                </w:tc>
                <w:tc>
                  <w:tcPr>
                    <w:tcW w:w="2391"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Atsižvelgiant į traumos sunkumą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2.3.7.</w:t>
                    </w:r>
                  </w:p>
                </w:tc>
                <w:tc>
                  <w:tcPr>
                    <w:tcW w:w="3163"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Galvos ir stuburo smegenų kraujagyslių ligos ir jų padariniai (subarachnoidiniai, vidiniai smegenų ir kiti intrakranijiniai kraujo išsiliejimai, infarktas, tranzitorinė smegenų išemija ir kt. G00-G09, G44, G45</w:t>
                    </w:r>
                  </w:p>
                </w:tc>
                <w:tc>
                  <w:tcPr>
                    <w:tcW w:w="2391"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Atsižvelgiant į ligos sunkumą</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Vidaus ligos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Įgimtos širdies ydos:</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p>
                </w:tc>
              </w:tr>
              <w:tr>
                <w:trPr>
                  <w:trHeight w:val="421"/>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2.4.1.1.</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Prieširdžių pertvaros defektas (PPD). I51.0 nedidelis PPD, esant normaliam dešiniam skilveliui, be plaučių hipertenzijos;</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w:t>
                    </w:r>
                  </w:p>
                </w:tc>
              </w:tr>
              <w:tr>
                <w:trPr>
                  <w:trHeight w:val="204"/>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didelis PPD ir nepakitęs spaudimas plaučių arterijoje;</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Galimos visos sporto šakos</w:t>
                    </w:r>
                  </w:p>
                </w:tc>
              </w:tr>
              <w:tr>
                <w:trPr>
                  <w:trHeight w:val="447"/>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PPD ir vidutinio laipsnio plaučių arterijos hipertenzija</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 xml:space="preserve">IA klasės sporto šakos pagal statinio ir dinaminio krūvio klasifikaciją (toliau – SDK klasifikacija) </w:t>
                    </w:r>
                  </w:p>
                </w:tc>
              </w:tr>
              <w:tr>
                <w:trPr>
                  <w:trHeight w:val="186"/>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PPD ir vidutinio laipsnio plaučių arterijos hipertenzija, esant plaučių arterijos vožtuvo stenozei, cianozei ir dideliam šuntui iš dešinės į kairę;</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Sportuoti nerekomenduojama</w:t>
                    </w:r>
                  </w:p>
                </w:tc>
              </w:tr>
              <w:tr>
                <w:trPr>
                  <w:trHeight w:val="70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 xml:space="preserve">po PPD uždarymo operacijos </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Sprendžiama individualiai</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Sportuoti gali po 3–6 mėn., jei nėra:</w:t>
                    </w:r>
                  </w:p>
                  <w:p>
                    <w:pPr>
                      <w:widowControl w:val="0"/>
                    </w:pPr>
                    <w:r>
                      <w:t>plaučių hipertenzijos, ritmo ir laidumo sutrikimų, miokardo disfunkcijos</w:t>
                    </w:r>
                  </w:p>
                </w:tc>
              </w:tr>
              <w:tr>
                <w:trPr>
                  <w:trHeight w:val="720"/>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2.4.1.2.</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Skilvelių pertvaros defektas (SPD). I51.0 SPD ir normalus spaudimas plaučių arterijoje;</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w:t>
                    </w:r>
                  </w:p>
                </w:tc>
              </w:tr>
              <w:tr>
                <w:trPr>
                  <w:trHeight w:val="7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didelis SPD;</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Operacinis gydymas</w:t>
                    </w:r>
                  </w:p>
                </w:tc>
              </w:tr>
              <w:tr>
                <w:trPr>
                  <w:trHeight w:val="1635"/>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po SPD operacinio gydymo;</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Po 3–6 mėn. gali sportuoti, jei nėra nusiskundimų, nėra defekto recidyvo, plaučių arterijos hipertenzijos, tachikardijos, miokardo disfunkcijos</w:t>
                    </w:r>
                  </w:p>
                </w:tc>
              </w:tr>
              <w:tr>
                <w:trPr>
                  <w:trHeight w:val="70"/>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 xml:space="preserve">esant vidutinio laipsnio plaučių hipertenzijai </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Nerekomenduojama</w:t>
                    </w:r>
                  </w:p>
                </w:tc>
              </w:tr>
              <w:tr>
                <w:trPr>
                  <w:trHeight w:val="70"/>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2.4.1.3.</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Atviras arterinis latakas (AAL). I70-I79 nedidelis AAL ir normalus kairysis skilvelis;</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w:t>
                    </w:r>
                  </w:p>
                </w:tc>
              </w:tr>
              <w:tr>
                <w:trPr>
                  <w:trHeight w:val="7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vidutinis ar didelis AAL su kairiojo skilvelio padidėjimu;</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 xml:space="preserve">Būtinas operacinis gydymas </w:t>
                    </w:r>
                  </w:p>
                </w:tc>
              </w:tr>
              <w:tr>
                <w:trPr>
                  <w:trHeight w:val="975"/>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3–6 mėn. po operacijos, pacientai be klinikinių simptomų, nesant plaučių hipertenzijos ir kairiojo skilvelio padidėjimo</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Sprendžiama individualiai</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 xml:space="preserve">Galimos visos sporto šakos </w:t>
                    </w:r>
                  </w:p>
                </w:tc>
              </w:tr>
              <w:tr>
                <w:trPr>
                  <w:trHeight w:val="431"/>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2.4.1.4.</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Plaučių arterijos stenozė. I28</w:t>
                    </w:r>
                  </w:p>
                  <w:p>
                    <w:pPr>
                      <w:widowControl w:val="0"/>
                      <w:ind w:firstLine="67"/>
                    </w:pPr>
                    <w:r>
                      <w:t xml:space="preserve">jei maks. sistolinis gradientas per vožtuvą &lt;40 mm Hg ir normali dešiniojo skilvelio funkcija; </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 bet privalo tikrintis kasmet</w:t>
                    </w:r>
                  </w:p>
                </w:tc>
              </w:tr>
              <w:tr>
                <w:trPr>
                  <w:trHeight w:val="1245"/>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ind w:firstLine="67"/>
                    </w:pPr>
                    <w:r>
                      <w:t>jei maks. sistolinis gradientas &gt; 40 mm Hg;</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Gali dalyvauti IA ir IB klasės sporto šakose (pagal SDK klasifikaciją); siūlomas chirurginis gydymas</w:t>
                    </w:r>
                  </w:p>
                </w:tc>
              </w:tr>
              <w:tr>
                <w:trPr>
                  <w:trHeight w:val="810"/>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ind w:firstLine="67"/>
                    </w:pPr>
                    <w:r>
                      <w:t>po operacijos, jei nėra klinikinių simptomų</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Sprendžiama individualiai</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Galimos visos sporto šakos</w:t>
                    </w:r>
                  </w:p>
                </w:tc>
              </w:tr>
              <w:tr>
                <w:trPr>
                  <w:trHeight w:val="1155"/>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2.4.1.5.</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ind w:firstLine="67"/>
                    </w:pPr>
                    <w:r>
                      <w:t>Aortos vožtuvo stenozė (AVS). I35.2</w:t>
                    </w:r>
                  </w:p>
                  <w:p>
                    <w:pPr>
                      <w:widowControl w:val="0"/>
                    </w:pPr>
                    <w:r>
                      <w:t>nedidelė AVS ( jei normali EKG, fizinio krūvio tolerancija, nebuvę krūtinės skausmų, sinkopių, tachiaritmijų anamnezėje);</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w:t>
                    </w:r>
                  </w:p>
                </w:tc>
              </w:tr>
              <w:tr>
                <w:trPr>
                  <w:trHeight w:val="7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 xml:space="preserve">vidutinė AVS; </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 xml:space="preserve">Pagal SDK klasifikaciją rekomenduojamos IA, IB, IIA sporto šakos </w:t>
                    </w:r>
                  </w:p>
                </w:tc>
              </w:tr>
              <w:tr>
                <w:trPr>
                  <w:trHeight w:val="358"/>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 xml:space="preserve">jei echoskopija nerodo KS hipertrofijos, jei krūvio metu nestebima išemijos ar tachiaritmijos epizodų, </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Pagal SDK klasifikaciją rekomenduojamos IA ir IB sporto šakos</w:t>
                    </w:r>
                  </w:p>
                </w:tc>
              </w:tr>
              <w:tr>
                <w:trPr>
                  <w:trHeight w:val="615"/>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 xml:space="preserve">jei normali krūvio trukmė ir kraujospūdžio kitimas; didelė AVS </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Nerekomenduojama</w:t>
                    </w:r>
                  </w:p>
                </w:tc>
              </w:tr>
              <w:tr>
                <w:trPr>
                  <w:trHeight w:val="885"/>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2.4.1.6.</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Dviburis aortos vožtuvas (DAV) ir aortos šaknies dilatacija. I35.8</w:t>
                    </w:r>
                  </w:p>
                  <w:p>
                    <w:pPr>
                      <w:widowControl w:val="0"/>
                    </w:pPr>
                    <w:r>
                      <w:t>DAV + aortos šaknies dilatacija &lt;40 mm;</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w:t>
                    </w:r>
                  </w:p>
                </w:tc>
              </w:tr>
              <w:tr>
                <w:trPr>
                  <w:trHeight w:val="7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 xml:space="preserve">DAV + aortos šaknies dilatacija 40–50 mm; </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Pagal SDK klasifikaciją rekomenduojamos IA, IB, IIA ir IIB, vengti traumų</w:t>
                    </w:r>
                  </w:p>
                </w:tc>
              </w:tr>
              <w:tr>
                <w:trPr>
                  <w:trHeight w:val="70"/>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DAV + aortos šaknies dilatacija &gt;45 mm;</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Pagal SDK klasifikaciją rekomenduojamos IA sporto šakos</w:t>
                    </w:r>
                  </w:p>
                </w:tc>
              </w:tr>
              <w:tr>
                <w:trPr>
                  <w:trHeight w:val="967"/>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2.4.1.7.</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Aortos koarktacija (AK). I35.9</w:t>
                    </w:r>
                  </w:p>
                  <w:p>
                    <w:pPr>
                      <w:widowControl w:val="0"/>
                    </w:pPr>
                    <w:r>
                      <w:t>nedidelė AK, esant geroms kolateralėms, normaliam krūvio testui (AKS&lt;230 mmHg) ir mažam spaudimų gradientui tarp rankų ir kojų (&lt; 20 mm Hg);</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w:t>
                    </w:r>
                  </w:p>
                </w:tc>
              </w:tr>
              <w:tr>
                <w:trPr>
                  <w:trHeight w:val="795"/>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sistolinis gradientas tarp rankų ir kojų &gt;20 mm Hg ir sistolinis kraujospūdis krūvio metu &gt;230 mm Hg ;</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Pagal SDK klasifikaciją rekomenduojamos IA sporto šakos iki gydymo</w:t>
                    </w:r>
                  </w:p>
                </w:tc>
              </w:tr>
              <w:tr>
                <w:trPr>
                  <w:trHeight w:val="7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pirmaisiais metais po operacijos (nesant patologijos);</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Nerekomenduojama IIIA, IIIB ir IIIC sporto šakos</w:t>
                    </w:r>
                  </w:p>
                </w:tc>
              </w:tr>
              <w:tr>
                <w:trPr>
                  <w:trHeight w:val="70"/>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 xml:space="preserve">pirmaisiais metais po operacijos, jei išlieka reikšminga aortos dilatacija </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Pagal SDK klasifikaciją rekomenduojamos IA ir IB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2.4.2.</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Įgytos širdies ligos:</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p>
                </w:tc>
              </w:tr>
              <w:tr>
                <w:trPr>
                  <w:trHeight w:val="915"/>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2.4.2.1.</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Mitralinė stenozė (MS). I34</w:t>
                    </w:r>
                  </w:p>
                  <w:p>
                    <w:pPr>
                      <w:widowControl w:val="0"/>
                    </w:pPr>
                    <w:r>
                      <w:t>nedidelė MS + sinusinis ritmas + maksimalus spaudimas plaučių arterijoje &lt; 50 mm Hg;</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w:t>
                    </w:r>
                  </w:p>
                </w:tc>
              </w:tr>
              <w:tr>
                <w:trPr>
                  <w:trHeight w:val="78"/>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vidutinė MS + sinusinis ritmas ar prieširdžių virpėjimas + maksimalus spaudimas plaučių arterijoje &lt; 50 mmHg;</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Pagal SDK klasifikaciją rekomenduojamos IA, IB ir IIB sporto šakos</w:t>
                    </w:r>
                  </w:p>
                </w:tc>
              </w:tr>
              <w:tr>
                <w:trPr>
                  <w:trHeight w:val="7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didelė MS;</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Nerekomenduojama</w:t>
                    </w:r>
                  </w:p>
                </w:tc>
              </w:tr>
              <w:tr>
                <w:trPr>
                  <w:trHeight w:val="70"/>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tabs>
                        <w:tab w:val="left" w:pos="1095"/>
                      </w:tabs>
                    </w:pPr>
                    <w:r>
                      <w:t>netiesioginio veikimo antikoaguliantus vartojantys pacientai (dėl PV)</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Galimos visos sporto šakos, išskyrus tas, kuriose galimos traumos</w:t>
                    </w:r>
                  </w:p>
                </w:tc>
              </w:tr>
              <w:tr>
                <w:trPr>
                  <w:trHeight w:val="1080"/>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2.4.2.2.</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Mitralinio vožtuvo nesandarumas (MVN). I34</w:t>
                    </w:r>
                  </w:p>
                  <w:p>
                    <w:pPr>
                      <w:widowControl w:val="0"/>
                    </w:pPr>
                    <w:r>
                      <w:t>nedidelis ar vidutinis MVN+sinusinis ritmas+nomalus KS dydis ir funkcija+normalus spaudimas plaučių arterijoje;</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w:t>
                    </w:r>
                  </w:p>
                </w:tc>
              </w:tr>
              <w:tr>
                <w:trPr>
                  <w:trHeight w:val="581"/>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 xml:space="preserve">vidutinis MVN </w:t>
                    </w:r>
                    <w:r>
                      <w:rPr>
                        <w:lang w:val="pt-BR"/>
                      </w:rPr>
                      <w:t xml:space="preserve">+ </w:t>
                    </w:r>
                    <w:r>
                      <w:t>KS nedidelis padidėjimas;</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Pagal SDK klasifikaciją rekomenduojamos IA, IB, IC, IIA, IIB, IIC sporto šakos</w:t>
                    </w:r>
                  </w:p>
                </w:tc>
              </w:tr>
              <w:tr>
                <w:trPr>
                  <w:trHeight w:val="70"/>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didelis MVN</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Nerekomenduojama</w:t>
                    </w:r>
                  </w:p>
                </w:tc>
              </w:tr>
              <w:tr>
                <w:trPr>
                  <w:trHeight w:val="499"/>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2.4.2.3.</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Aortos vožtuvo stenozė (AVS). I35</w:t>
                    </w:r>
                  </w:p>
                  <w:p>
                    <w:pPr>
                      <w:widowControl w:val="0"/>
                    </w:pPr>
                    <w:r>
                      <w:t>nedidelė AVS;</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 xml:space="preserve">Galimos visos sporto šakos, bet sveikatą tikrintis ne rečiau kaip kartą per metus </w:t>
                    </w:r>
                  </w:p>
                </w:tc>
              </w:tr>
              <w:tr>
                <w:trPr>
                  <w:trHeight w:val="75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vidutinė AVS;</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Pagal SDK klasifikaciją rekomenduojamos IA sporto šakos</w:t>
                    </w:r>
                  </w:p>
                </w:tc>
              </w:tr>
              <w:tr>
                <w:trPr>
                  <w:trHeight w:val="72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vidutinė AVS, jei fizinio krūvio testas neigiamas, nėra ST depresijos ir tachiaritmijų, normalus kraujospūdis;</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 xml:space="preserve">Pagal SDK klasifikaciją rekomenduojamos IA, IB, IIA sporto šakos </w:t>
                    </w:r>
                  </w:p>
                </w:tc>
              </w:tr>
              <w:tr>
                <w:trPr>
                  <w:trHeight w:val="70"/>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didelė AVS</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Nerekomenduojama</w:t>
                    </w:r>
                  </w:p>
                </w:tc>
              </w:tr>
              <w:tr>
                <w:trPr>
                  <w:trHeight w:val="539"/>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2.4.2.4.</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Aortos vožtuvo nesandarumas (AVN). I35.2–I35.8 nedidelis ar vidutinis:</w:t>
                    </w:r>
                  </w:p>
                  <w:p>
                    <w:pPr>
                      <w:widowControl w:val="0"/>
                    </w:pPr>
                    <w:r>
                      <w:t>a) jei KS diastolinis diametras (dd) normalus ar nežymiai padidėjęs;</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w:t>
                    </w:r>
                  </w:p>
                </w:tc>
              </w:tr>
              <w:tr>
                <w:trPr>
                  <w:trHeight w:val="224"/>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 xml:space="preserve">b) jei KS diastolinis diametras </w:t>
                    </w:r>
                    <w:r>
                      <w:rPr>
                        <w:lang w:val="pt-BR"/>
                      </w:rPr>
                      <w:t xml:space="preserve">60–65 </w:t>
                    </w:r>
                    <w:r>
                      <w:t>mm;</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Pagal SDK klasifikaciją rekomenduojamos IA, IB, IC, IIA, IIB, IIC sporto šakos</w:t>
                    </w:r>
                  </w:p>
                </w:tc>
              </w:tr>
              <w:tr>
                <w:trPr>
                  <w:trHeight w:val="7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c) jei skilvelinės ekstrasistolės krūvio metu ar ramybėje;</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Pagal SDK klasifikaciją rekomenduojamos IA sporto šakos</w:t>
                    </w:r>
                  </w:p>
                </w:tc>
              </w:tr>
              <w:tr>
                <w:trPr>
                  <w:trHeight w:val="7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vidutinis AVN ir KS diastolinis diametras &gt; 65 mm;</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Nerekomenduojama</w:t>
                    </w:r>
                  </w:p>
                </w:tc>
              </w:tr>
              <w:tr>
                <w:trPr>
                  <w:trHeight w:val="70"/>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nedidelis AVN ir kylančios aortos dilatacija (45 mm), jei nėra Marfano sindromo</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Pagal SDK klasifikaciją rekomenduojamos IA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2.4.2.5.</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Triburio vožtuvo nesandarumas. I36, jei DS funkcija nesutrikusi, spaudimas DP &lt; 20 mm Hg</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Galimos visos sporto šakos</w:t>
                    </w:r>
                  </w:p>
                </w:tc>
              </w:tr>
              <w:tr>
                <w:trPr>
                  <w:trHeight w:val="470"/>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2.4.2.6.</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Protezuoti širdies vožtuvai. T82</w:t>
                    </w:r>
                  </w:p>
                  <w:p>
                    <w:pPr>
                      <w:widowControl w:val="0"/>
                    </w:pPr>
                    <w:r>
                      <w:t>mitralinio vožtuvo bioprotezas (be antikoaguliantų, esant normaliai vožtuvo funkcijai ir KS būklei);</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Pagal SDK klasifikaciją rekomenduojamos IA, IB, IIA sporto šakos</w:t>
                    </w:r>
                  </w:p>
                </w:tc>
              </w:tr>
              <w:tr>
                <w:trPr>
                  <w:trHeight w:val="252"/>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mechaninis ar biologinis aortos protezas (normali funkcija ir KS būklė);</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Pagal SDK klasifikaciją rekomenduojamos IA sporto šakos</w:t>
                    </w:r>
                  </w:p>
                </w:tc>
              </w:tr>
              <w:tr>
                <w:trPr>
                  <w:trHeight w:val="645"/>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nepriklausomai nuo kitų sąlygų, sportininkai su vožtuvų protezais, vartojantys antikoaguliantus</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Pagal SDK klasifikaciją rekomenduojamos IA sporto šakos. Nerekomenduojama, jei yra traumų pavojus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2.4.3.</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Genetinės širdies ligos:</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p>
                </w:tc>
              </w:tr>
              <w:tr>
                <w:trPr>
                  <w:trHeight w:val="2467"/>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2.4.3.1.</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Mitralinio vožtuvo prolapsas (MVP). I34</w:t>
                    </w:r>
                  </w:p>
                  <w:p>
                    <w:pPr>
                      <w:widowControl w:val="0"/>
                    </w:pPr>
                    <w:r>
                      <w:t>MVP, jei nėra:</w:t>
                    </w:r>
                  </w:p>
                  <w:p>
                    <w:pPr>
                      <w:widowControl w:val="0"/>
                    </w:pPr>
                    <w:r>
                      <w:t>a) sinkopių anamnezėje;</w:t>
                    </w:r>
                  </w:p>
                  <w:p>
                    <w:pPr>
                      <w:widowControl w:val="0"/>
                    </w:pPr>
                    <w:r>
                      <w:t xml:space="preserve">b) Holterio tyrime fiksuotų skilvelinių </w:t>
                    </w:r>
                  </w:p>
                  <w:p>
                    <w:pPr>
                      <w:widowControl w:val="0"/>
                    </w:pPr>
                    <w:r>
                      <w:t>ekstrasistolių;</w:t>
                    </w:r>
                  </w:p>
                  <w:p>
                    <w:pPr>
                      <w:widowControl w:val="0"/>
                    </w:pPr>
                    <w:r>
                      <w:t>c) supraventrikulinių paroksizmų;</w:t>
                    </w:r>
                  </w:p>
                  <w:p>
                    <w:pPr>
                      <w:widowControl w:val="0"/>
                    </w:pPr>
                    <w:r>
                      <w:t>d) vidutinio laipsnio miokardo nepakankamumo;</w:t>
                    </w:r>
                  </w:p>
                  <w:p>
                    <w:pPr>
                      <w:widowControl w:val="0"/>
                    </w:pPr>
                    <w:r>
                      <w:t>e) kairiojo skilvelio IF &lt; 50 %;</w:t>
                    </w:r>
                  </w:p>
                  <w:p>
                    <w:pPr>
                      <w:widowControl w:val="0"/>
                    </w:pPr>
                    <w:r>
                      <w:t>f) buvusios embolijos;</w:t>
                    </w:r>
                  </w:p>
                  <w:p>
                    <w:pPr>
                      <w:widowControl w:val="0"/>
                    </w:pPr>
                    <w:r>
                      <w:t>g) staigių mirčių šeimoje dėl MVP.</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Sprendžiama individualiai</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 xml:space="preserve">Galimos visos sporto šakos </w:t>
                    </w:r>
                  </w:p>
                </w:tc>
              </w:tr>
              <w:tr>
                <w:trPr>
                  <w:trHeight w:val="419"/>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MVP ir minėti pakitimai</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Pagal SDK klasifikaciją rekomenduojamos IA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2.4.3.2.</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Marfano sindromas. Q87.4</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Galimos sporto šakos IA ir IIA , jei nėra:</w:t>
                    </w:r>
                  </w:p>
                  <w:p>
                    <w:pPr>
                      <w:widowControl w:val="0"/>
                    </w:pPr>
                    <w:r>
                      <w:t>a) aortos šaknies dilatacijos;</w:t>
                    </w:r>
                  </w:p>
                  <w:p>
                    <w:pPr>
                      <w:widowControl w:val="0"/>
                    </w:pPr>
                    <w:r>
                      <w:t>b) vidutinio ar didelio mitralinio nesandarumo;</w:t>
                    </w:r>
                  </w:p>
                  <w:p>
                    <w:pPr>
                      <w:widowControl w:val="0"/>
                    </w:pPr>
                    <w:r>
                      <w:t xml:space="preserve">c) staigios mirties </w:t>
                    </w:r>
                  </w:p>
                  <w:p>
                    <w:pPr>
                      <w:widowControl w:val="0"/>
                    </w:pPr>
                    <w:r>
                      <w:t>šeimyninės anamnezės dėl Marfano sindromo</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2.4.3.3</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Visos kardiomiopatijos. I42</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2.4.4.</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Reumatas, širdies reumatinės ligos (reumatoidinis perikarditas, miokarditas, reumatinės širdies vožtuvų ydos). I05-I09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ind w:firstLine="67"/>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Praėjus dviem metams po visiško pasveikimo</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2.4.5.</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Nereumatiniai miokarditai, endokarditai. I30-I52</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Asmenys, persirgę ne reumatiniu miokarditu, nesukėlusiu miokardosklerozės, ir neturintys širdies ritmo bei laidumo sutrikimų, gerai toleruojantys fizinį krūvį, gali pradėti sportuoti praėjus 24 mėn. po visiško pasveikimo</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Asmenys, persirgę ne reumatiniu miokarditu, nesulėlusiu miokardosklerozės, ir neturintys širdies ritmo bei laidumo sutrikimų, gerai toleruojantys fizinį krūvį, gali pradėti sportuoti praėjus 24 mėn. po visiško pasveikimo</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Širdies ritmo ir laidumo sutrikimai. I44</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tabs>
                        <w:tab w:val="left" w:pos="0"/>
                        <w:tab w:val="left" w:pos="64"/>
                        <w:tab w:val="left" w:pos="727"/>
                      </w:tabs>
                    </w:pPr>
                    <w:r>
                      <w:t>Sprendžiama individualiai</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2.4.6.1.</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Aritmogeninė dešiniojo skilvelio displazija (monomorfinė kairiosios Hiso pluošto kojytės blokados morfologijos su ašies nuokrypiu į kairę su skilvelių tachikardija). I44</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2.4.6.2.</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Supraventrikulinė tachikardija. I47</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Po kateterinės abliacijos gydymo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2.4.6.3.</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WPW sindromas. I45.6</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Gali sportuoti po 3 mėn. po abliacijos, jei EKG nėra skilvelių preeksitacijos požymių arba po abliacijos per 3 mėn. nesant tachikardijos priepuolių</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 sportuoti po 3 mėn. po abliacijos, jei EKG nėra skilvelių preeksitacijos požymių arba po abliacijos per 3 mėn. nesant tachikardijos priepuolių</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2.4.6.4.</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Prieširdžių virpėjimas. I49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2.4.6.5.</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Dažnos skilvelinės ekstrosistolės, registruojamos EKG fizinio krūvio metu. I49.4</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2.4.6.6.</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Neurokardiogeninės sinkopės. I51</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rPr>
                        <w:lang w:val="en-GB"/>
                      </w:rPr>
                    </w:pPr>
                    <w:r>
                      <w:t>2.4.6.</w:t>
                    </w:r>
                    <w:r>
                      <w:rPr>
                        <w:lang w:val="en-GB"/>
                      </w:rPr>
                      <w:t>7.</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Gyvybei grėsmingos skilvelių tachiaritmijos (visos skilvelių tachikardijos kartu esant struktūrinei širdies ligai, </w:t>
                    </w:r>
                    <w:r>
                      <w:rPr>
                        <w:i/>
                      </w:rPr>
                      <w:t>Torsade de pointes,</w:t>
                    </w:r>
                    <w:r>
                      <w:t xml:space="preserve"> polimorfinė skilvelinė tachikardija, skilvelių virpėjimas). I47</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2.4.6.8.</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Katecholaminerginė skilvelių tachikardija. I47.1</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2.4.6.9.</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Ilgo QT sindromas (II derivacijoje &gt;440 ms vyrams ir &gt;460 ms moterims). I49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2.4.6.10.</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Brugada sindromas (dešinės Hiso pluošto kojytės blokada ir ST pakilimas V</w:t>
                    </w:r>
                    <w:r>
                      <w:rPr>
                        <w:vertAlign w:val="subscript"/>
                      </w:rPr>
                      <w:t>1</w:t>
                    </w:r>
                    <w:r>
                      <w:t>-V</w:t>
                    </w:r>
                    <w:r>
                      <w:rPr>
                        <w:vertAlign w:val="subscript"/>
                      </w:rPr>
                      <w:t>3</w:t>
                    </w:r>
                    <w:r>
                      <w:t>). I44</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2.4.6.11.</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I laipsnio AV blokada bei II laipsnio Venkebacho tipo blokada, išnykstanti krūvio metu. I44</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Galimos visos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2.4.6.12.</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II laipsnio II tipo ar visiška blokada, susijusi su simptomais. I44</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 su implantuotu EKS</w:t>
                    </w:r>
                  </w:p>
                </w:tc>
              </w:tr>
              <w:tr>
                <w:trPr>
                  <w:trHeight w:val="70"/>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2.4.7.</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Hipertoninė liga. I10-I15</w:t>
                    </w:r>
                  </w:p>
                  <w:p>
                    <w:pPr>
                      <w:widowControl w:val="0"/>
                    </w:pPr>
                    <w:r>
                      <w:t>maža rizika širdies-kraujagyslių sistemai;</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Sprendžiama individualiai</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 xml:space="preserve">Rekomenduojami sportiniai žaidimai, jei gerai kontroliuojamas paciento AKS </w:t>
                    </w:r>
                  </w:p>
                </w:tc>
              </w:tr>
              <w:tr>
                <w:trPr>
                  <w:trHeight w:val="1042"/>
                </w:trPr>
                <w:tc>
                  <w:tcPr>
                    <w:tcW w:w="1188" w:type="dxa"/>
                    <w:vMerge/>
                    <w:tcBorders>
                      <w:top w:val="single" w:sz="4" w:space="0" w:color="auto"/>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vidutinė rizika ŠKS;</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 xml:space="preserve">Rekomenduojami sportiniai žaidimai, jei gerai kontroliuojamas paciento AKS ir rizikos veiksniai (išskyrus pacientus, kuriems nustatyta IIIC hipertoninės ligos stadija) </w:t>
                    </w:r>
                  </w:p>
                </w:tc>
              </w:tr>
              <w:tr>
                <w:trPr>
                  <w:trHeight w:val="1525"/>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aukšta rizika ŠKS;</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 xml:space="preserve">Rekomenduojami sportiniai žaidimai, jei gerai kontroliuojamas paciento AKS ir rizikos veiksniai (išskyrus pacientus, kuriems nustatyta IIIA–IIIC hipertoninės ligos stadija) </w:t>
                    </w:r>
                  </w:p>
                </w:tc>
              </w:tr>
              <w:tr>
                <w:trPr>
                  <w:trHeight w:val="765"/>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labai aukšta rizika</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Pagal SDK klasifikaciją rekomenduojami IA, IB klasės sportiniai žaidimai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2.4.8.</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Išeminė širdies liga. I20-I25</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2.4.9.</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Neurocirkuliacinė distonija (hipertenzinio, hipotenzinio, kardialinio ar mišraus tipo). I70-I79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rPr>
                        <w:highlight w:val="yellow"/>
                      </w:rPr>
                    </w:pPr>
                    <w:r>
                      <w:t>Sprendžiama individualiai</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 atsižvelgiant į susirgimo sunkumą ir simptomus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2.4.10</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Lėtinės nespecifinės plaučių ir pleuros ligos, ne tuberkuliozinės kilmės diseminuojančios plaučių ligos (įskaitant ligas su nereikšmingu kvėpavimo funkcijos sutrikimu). I95-I99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susirgimo sunkumą ir simptomus, kvėpavimo funkcijos sutrikimus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2.4.11.</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Bronchinė astma. J45</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Nesant priepuolių paskutinius 5 ir daugiau metų. Nerekomenduojama fizinio krūvio išprovokuotai astmai</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Nesant priepuolių paskutinius 5 ir daugiau metų, bet išlikus bronchų reaktyvumo pokyčiams, galima leisti kultivuoti atskiras sporto šakas, atsižvelgiant į plaučių funkcijos būklę. Nerekomenduojamos sporto šakos, ugdančios ištvermę, žiemos sporto šakos, sporto pratybos salėse, kuriose naudojama daug talko, kanifolijos ir pan.</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2.4.12.</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Skrandžio ir 12-pirštės žarnos opos paūmėjimo, remisijos stadijos, esant virškinimo funkcijos sutrikimų ir dažnų paūmėjimų. K20-K31</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Sergantiems asmenims, esant 6 metų remisijai ir neturintiems virškinimo funkcijos sutrikimų, nerekomenduojamos ištvermę ugdančios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2.4.13.</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Kitos skrandžio ir 12-pirštės žarnos ligos: </w:t>
                    </w:r>
                  </w:p>
                  <w:p>
                    <w:pPr>
                      <w:widowControl w:val="0"/>
                    </w:pPr>
                    <w:r>
                      <w:t>autoimuninis gastritas ir ypatingos gastritų formos (granuliomatozinis, eozinofilinis, hipertrofinis, limfocitinis), tulžies pūslės ir jo latakų, kasos, plonojo ir storojo žarnyno ligos, esant reikšmingiems ir vidutiniams funkcijų sutrikimams ir dažniems paūmėjimams. K80-K87, K90-K93</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Asmenims, sergantiems helikobakteriniu gastritu, galima sportuoti tik po atitinkamo gydymo. Asmenims, sergantiems lėtiniu gastritu ir gastroduodenitu, kai funkcijos sutrikimai nereikšmingi ir reti priepuoliai, taip pat sergantiems tulžies latakų diskinezija su retais priepuoliais, galima sportuoti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2.4.14.</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Lėtinės kepenų ligos (įskaitant nepiktybinę hiperbilirubinemiją, hepatitą A, B, C, kepenų cirozę). K80-K87</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2.4.15.</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Stemplės ligos (ezofagitai, opos) – iki visiško pasveikimo; kardiospazmai, stenozė, divertikulai, esant ryškiems ir vidutiniams funkcijos sutrikimams. K20-K31</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2.4.16.</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Lėtinės inkstų ligos (lėtinis glomerulonefritas, lėtinis pirminis pielonefritas, nefrosklerozė, nefrotinis sindromas, pirminis inkstų susiraukšlėjimas, inkstų amiloidozė, lėtinis intersticinis nefritas ir kitos nefropatijos). N08, N10-N16, N17-N19, N25-N29, N30-N39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2.4.17.</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Pielonefritas (antrinis), hidronefrozė, inkstų akmenligė. N20-N23</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Esant instrumentiniu būdu pašalintam ar savaiminiam vieno akmens išėjimui iš šlapimo takų (geldelės, šlapimtakio, šlapimo pūslės), jei akmenys nebuvo skaldomi šlapimo sistemoje, smulkūs (iki 0,5 cm) pavieniai inkstų ir šlapimo pūslės konkrementai, kurie patvirtinami tik ultragarsiniu ištyrimu, be pakitimų šlapime, vienpusei ar abipusei I stadijos nefroptozei, nėra draudžiama sportuoti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2.4.18.</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Sisteminės jungiamojo audinio ligos. M00-M99, M30-M36</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2.4.19.</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Sąnarių ligos: reumatinis artritas, artritai kartu su spondyloartrozėmis, ankilozuojantis spondyloartritas, osteoartrozės, metaboliniai artritai, infekcinių artritų padariniai. M00-M25</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2.4.20.</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Sisteminiai vaskulitai. I95-I99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2.5.</w:t>
                    </w:r>
                  </w:p>
                </w:tc>
                <w:tc>
                  <w:tcPr>
                    <w:tcW w:w="7882" w:type="dxa"/>
                    <w:gridSpan w:val="10"/>
                    <w:tcBorders>
                      <w:right w:val="single" w:sz="4" w:space="0" w:color="auto"/>
                    </w:tcBorders>
                  </w:tcPr>
                  <w:p>
                    <w:pPr>
                      <w:widowControl w:val="0"/>
                      <w:jc w:val="center"/>
                    </w:pPr>
                    <w:r>
                      <w:t>Kraujo ir kraujodaros organų ligos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Asmenims, turintiems laikinų funkcinių nesisteminių kraujo sutrikimų, galima leisti sportuoti visiškai išgijus</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Asmenims, turintiems laikinų funkcinių nesisteminių kraujo sutrikimų, galima leisti sportuoti visiškai išgijus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2.5.1.</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Patvarūs periferinio kraujo sudėties pakitimai (leukocitų kiekis &lt;4,0x10</w:t>
                    </w:r>
                    <w:r>
                      <w:rPr>
                        <w:vertAlign w:val="superscript"/>
                      </w:rPr>
                      <w:t>9</w:t>
                    </w:r>
                    <w:r>
                      <w:t>/l arba &gt;9,0x10</w:t>
                    </w:r>
                    <w:r>
                      <w:rPr>
                        <w:vertAlign w:val="superscript"/>
                      </w:rPr>
                      <w:t>9</w:t>
                    </w:r>
                    <w:r>
                      <w:t>/l, trombocitų kiekis &lt;180,0x10</w:t>
                    </w:r>
                    <w:r>
                      <w:rPr>
                        <w:vertAlign w:val="superscript"/>
                      </w:rPr>
                      <w:t>9</w:t>
                    </w:r>
                    <w:r>
                      <w:t xml:space="preserve">/l, hemoglobino kiekis </w:t>
                    </w:r>
                    <w:r>
                      <w:rPr>
                        <w:vanish/>
                      </w:rPr>
                      <w:t>&lt;=</w:t>
                    </w:r>
                    <w:r>
                      <w:t>?135–160?</w:t>
                    </w:r>
                    <w:r>
                      <w:rPr>
                        <w:vanish/>
                      </w:rPr>
                      <w:t>&gt;=</w:t>
                    </w:r>
                    <w:r>
                      <w:t xml:space="preserve"> g/l vyrams ir </w:t>
                    </w:r>
                    <w:r>
                      <w:rPr>
                        <w:vanish/>
                      </w:rPr>
                      <w:t>&lt;=</w:t>
                    </w:r>
                    <w:r>
                      <w:t>?120–150</w:t>
                    </w:r>
                    <w:r>
                      <w:rPr>
                        <w:vanish/>
                      </w:rPr>
                      <w:t>&gt;=</w:t>
                    </w:r>
                    <w:r>
                      <w:t>? moterims. R70-R79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ind w:right="-108"/>
                    </w:pPr>
                    <w:r>
                      <w:t>Nerekomenduojama, kol neišaiškinta priežastis</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2.5.2.</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Kitos kraujo ir kraujodaros organų ligos. D70-D77</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2.5.3.</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Ūmi spindulinė bet kokios stadijos liga anamnezėje, taip pat praeityje gautas apspinduliavimas avarijos metu arba atsitiktinio apspinduliavimo dozes, 5 kartus viršijančios metines leistinas normas (tai yra 76/87). D80-D89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2.5.4.</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Endokrininės sistemos ligos, mitybos ir medžiagų apykaitos sutrikimai (paprasta struma, netoksinė struma, tireotoksikozė, tireoiditas, hipotireozė, cukrinis diabetas, akromegalija, podagra, III–IV laipsnio nutukimas. E00-E07, E65-E68, E70-E90</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Esant II–III laipsnio nutukimui spręsti individualiai, atsižvelgiant į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Chirurginės ligos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2.6.1.</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Stuburo ir jo ligų padariniai (spondiliozė ir su ja susijusi būklė, tarpslankstelinių diskų ligos, kitos stuburo ligos, pasireiškiančios stuburo padėties sutrikimais sagitalinėje plokštumoje: rachitinė kifozė, tuberkuliozinė kifozė, Sheuerman-Mau liga, Kalve liga, skoliotinė liga, išreikšto nestabilumo požymiai). M40-M54</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2.6.2.</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Stuburo, krūtinės ląstos, rankų ir kojų, dubens lūžimų padariniai, esant funkcijų sutrikimams. S00-S99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2.6.3.</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Aortos, magistralinių ir periferinių arterijų ir venų, limfagyslių ligos ir jų padariniai: obliteruojantys endarteritai, aneurizmos, flebitai, flebotrombozės, varikozinė ir potrombolitinė liga, limfedema (dramblialigė), varikozinių venų išsiplėtimas (vidutinio ir ryškaus laipsnio), angiotrofoneurozės, hemangiomos. I80-I89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2.6.4.</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Stambių sąnarių, kaulų, kremzlių chirurginės ligos, osteopatijos, įgytos kaulų ir raumenų deformacijos (pažeidimai sąnario viduje, osteomielitai, periostitai, kiti kaulų pažeidimai, deformuojantis osteitas ir osteopatijos, osteochondropatijos, sąnarių patvarios kontraktūros), kitos sąnarių ir kremzlių ligos bei pažeidimai. M30-M79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Šių ligų atveju sprendžiama individualiai, atsižvelgiant į sporto šakos specifiką</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Šių ligų atveju sprendžiama individualiai, atsižvelgiant į sporto šakos specifiką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2.6.5.</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Įsisenėjęs arba įprastas stambių sąnarių išnirimas, įvykstantis esant nedideliems fiziniams krūviams. S00-S99, T90-T98</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2.6.6.</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Plaštakos pirštų nebuvimas arba jų defektai, trukdantys plaštakos funkcijai. S60-S69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2.6.7.</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Pėdos pirštų nebuvimas arba jų defektai, trukdantys visavertiškai atramai, apsunkinantys ėjimą ir avalynės dėvėjimą. S90-S99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2.6.8.</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Plokščia pėda ir kitos pėdos deformacijos, esant reikšmingam ar vidutiniam jos funkcijos sutrikimui. Jei vienos kojos plokščiapėdystė II laipsnio, o kitos I laipsnio, sprendimas priimamas pagal II laipsnio plokščiapėdystę. M90-M99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Asmenims turintiems I laipsnio plokščiapėdystę, arba II laipsnio, jei nėra kulnikaulio artrozės, galima leisti sportuoti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2.6.9.</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Išvaržos (kirkšnies, pilvo, kitos pilvo ertmės išvaržos).Vieno ar abiejų kirkšnies žiedų didėjimas standinantis, išvaržos palpavimo metu per pilvaplėvę čiuopiasi pilvo ertmės turinys. K40-K46</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Esant mažai bambos išvaržai, baltosios linijos lipomai ir kirkšnies žiedų praplatėjimui fizinio krūvio metu ir standinantis (kai pilvo ertmės turinys neužčiuopiamas) nėra draudžiama sportuoti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2.6.10.</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Hemarojus, esant dažniems paūmėjimams ir antrinei anemijai, iškrentant mazgams (II–III stadija). Recidyvuojanti išangės įplėša. I80-I89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 atsižvelgiant į sporto šakos specifiką</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2.6.11.</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Tiesiosios žarnos visų sienelių išsikišimas standinantis. I95-I99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2.6.12.</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Odos ir poodinės ląstelienos sužeidimų padariniai, trikdantys judesių funkcijas arba apsunkinantys drabužių, avalynės ar sportinio inventoriaus dėvėjimą. L80-L99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2.6.13.</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Po operacijų ar sužeidimų nesutvirtėję randai, apsunkinantys fizinių pratimų atlikimą; randai, turintys polinkį išopėti; randai, sulipę su aplinkiniais audiniais ir trukdantys judėti per vieną ar kitą sąnarį fizinių pratimų metu. I95-I99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2.6.14.</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Krūtinės liaukų ligos. C30-C39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2.6.15.</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Piktybiniai augliai bet kokios lokalizacijos. C00-D48</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2.6.16.</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Nepiktybiniai augliai, kol visiškai pasveikstama. D10-D36</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pasveikus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Otorinolaringologiniai susirgimai ir traumos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2.7.1.</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Gerklų, kaklo dalies trachėjos ligos ir pažeidimai, sukeliantys net ir nereikšmingus kvėpavimo ir balso funkcijos sutrikimus. Q30-Q34</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2.7.2.</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Nosies pertvaros defektai su ryškiais nosies kvėpavimo funkcijos sutrikimais (operacijos atliekamos nuo 15 metų). J34, J39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2.7.3.</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Išorinės ausies ligos – iki visiško pasveikimo. H60-H62</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2.7.4.</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Eustachijaus kanalo ligos – iki visiško pasveikimo. H68-H69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2.7.5.</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Vienos ar abiejų ausų pūliniai epitimpanitai arba visų formų ir stadijų mezotimpanitai. H66</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2.7.6.</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Stabilūs persirgto otito padariniai (stabilūs būgnelio randiniai pakitimai, jų perforacija). H72</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pakitimus ir sporto šaką </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pakitimus ir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2.7.7.</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Otosklerozė, labirintopatija, kochlearinio nervo uždegimas ir kiti kurtumo požymiai arba stabilus klausos pablogėjimas viena ar abiem ausimis. H80-H83 </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2.7.8.</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Sutrikęs praeinamumas per Eustachijaus vamzdį ir ausies barofunkcijos sutrikimas. H69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Galimos visos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2.7.9.</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Vestibulinis vegetacinis sutrikimas net ir vidutinio laipsnio. H81</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2.7.10.</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Nosies priedėlių ligos – iki visiško pasveikimo. J00-J99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2.7.11.</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Nosies, burnos ruimo, ryklės, gerklų ir trachėjos audinių lėtiniai pakitimai ir deformacijos. J30-J39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2.7.12.</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Viršutinių kvėpavimo takų ligos (nosies ertmės polipai), adenoidai, lėtinis dekompensuotas tonzilitas – iki visiško pasveikimo. J00-J06</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2.7.13.</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Ozena. J31</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2.7.14.</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Anosmija (kvapo nejutimas). J34</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2.7.15.</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Asmenims, kuriems buvo laikinai sutrikusios funkcijos po LOR lėtinių ligų paūmėjimo, traumų ar chirurginio gydymo. </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Galima leisti sportuoti tik visiškai pasveikus</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Galima leisti sportuoti tik visiškai pasveikus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2.8.</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Infekcinės ligos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2.8.1.</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Infekcinės ir parazitinės ligos: žarnyno infekcijos, bakterinės zoonozės, bakterinės ir virusinės ligos, tarp jų perduodamos nariuotakojų, ligos sukeliamos chlamidijų, riketsiozių ir kitos ligos, nepasiduodančios arba sunkiai pasiduodančios gydymui, įskaitant laikinus funkcinius sutrikimus po ūmių infekcinių ar parazitinių ligų. A00-A99, B00-B99</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Jei serologinės ar alerginės reakcijos teigiamos, bet klinikinių ligos požymių nėra, sportavimo klausimas sprendžiamas individualiai.</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 Jei serologinės ar alerginės reakcijos teigiamos, bet klinikinių ligos požymių nėra, sportavimo klausimas sprendžiamas individualiai.</w:t>
                    </w:r>
                  </w:p>
                  <w:p>
                    <w:pPr>
                      <w:widowControl w:val="0"/>
                    </w:pPr>
                    <w:r>
                      <w:t>b) Asmenims, persirgusiems virusiniu hepatitu, šiltine, paratifu, nesant kepenų ir virškinamojo trakto funkcinių sutrikimų, galima leisti sportuoti, bet ne anksčiau kaip praėjus 6 mėn. po stacionarinio gydymo (nerekomenduojamos ištvermės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2.8.2.</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Kvėpavimo organų tuberkuliozė: plaučių, bronchų, tarpusienio limfmazgių, pleuros, taip pat ir neaktyvi, po persirgtos ligos esant mažiems (nežymiems) liekamiesiems pakitimams, įskaitant išgydytą spontaninę tuberkuliozę. A15-A19</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Esant nedideliems petrifikatams plaučiuose ar tarpusienio limfiniuose mazguose, galima leisti sportuoti.</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Esant nedideliems petrifikatams plaučiuose ar tarpusienio limfiniuose mazguose, galima leisti sportuoti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2.8.3.</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Ne krūtinės ląstos organų tuberkuliozė: periferinių ar pilvaplėvės mazgų, perikardo, žarnyno, kaulų ir sąnarių, šlapimo ir lyties organų, akių, odos, kitų organų. A15-A19</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Asmenims, kuriems yra neaktyvi kvėpavimo organų ir tarpusienio tuberkuliozė, t. y. jei per 5 metus po gydymo nepastebėta jokių suaktyvėjimo reiškinių, po dispanserizacijos nutraukimo ir nesant jokių liekamųjų pakitimų, galima leisti sportuoti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2.9.</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Odos ir venerinės ligos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2.9.1.</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Infekcijos ir kitos odos ir poodžio uždegiminės ligos, sunkiai pasiduodančios gydymui; išplitusios formos lėtinės egzemos, difuzinis neurodermatitas su išplitusia lichenifikacija, pūslelinė, herpinis dermatitas, išplitusi psoriazė, išplitusi absceduojanti ir lėtinė opinė piodermija, ribotos ir dažnos recidyvinės egzemos formos, difuzinis neurodermatitas su odos paviršiaus židinine lichenifikacija, diskoidinė raudonoji vilkligė, fotodermatitai. L00-L99</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2.9.2.</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Kitos odos ir poodžio ligos: lėtinė dilgėlinė, recidyvinė Kvinkės edema, ribota sklerodermija. L50-L75</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2.9.3.</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ŽIV viruso sukeltos ligos, įskaitant ŽIV infekavimą. B20-B24</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2.9.4.</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Dažniausiai lytiškai santykiaujant plintančios infekcijos. A50-A64</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2.9.5.</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Grybelinės ligos. B35-B49</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Asmenims, sergantiems grybelinėmis ligomis, gali būti leidžiama sportuoti visiškai pasveikus ir nutraukus dispanserizaciją. </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Asmenims, sergantiems grybelinėmis ligomis, gali būti leidžiama sportuoti visiškai pasveikus ir nutraukus dispanserizaciją</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2.10.</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Lytinių organų ligos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2.10.1.</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Vyrų lytinių organų ligos (hiperplazijos, priešinės liaukos uždegimai ir kitos ligos, sėklidžių vandenė, orchitas ir epididimitas, fimozė ir apyvarpės perteklius, kitos varpos ligos; sėklidės viržėlio vandenė, kitos vyrų lytinių organų ligos), esant reikšmingiems ir vidutiniams funkcijų sutrikimams. N40-N51</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Jei ligą galima išgydyti konservatyviai arba operaciniu būdu, sportuoti galima tik visiškai pasveikus.</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Jei ligą galima išgydyti konservatyviai arba operaciniu būdu, sportuoti galima tik visiškai pasveikus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2.10.2.</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Moters lytinių organų ligos (vulvos, makšties, Bartolinio liaukos, kiaušidžių, gimdos, dubens organų, pilvaplėvės). N70-N77</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Sportuoti galima tik visiškai pasveikus.</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ind w:firstLine="67"/>
                    </w:pPr>
                    <w:r>
                      <w:t>Sportuoti galima tik visiškai pasveikus.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2.10.3.</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Vulvos venų varikozinis išsiplėtimas. N76</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2.10.4.</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Vulvos kraurozė. N76</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2.10.5.</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Genitalinė ir ekstragenitalinė endometriozė. N80</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2.10.6.</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Ryškiai netaisyklinga moters lytinių organų padėtis. N80-N98</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Galimos visos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2.10.7.</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Išreikšta arba lydima funkcijos sutrikimų moters lyties organų įgimta anomalija, lyties organų neišsivystymas (išreikštas lyties organų infantilizmas), hermofrodizmas. N99, Q50-Q56</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Galimos visos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2.10.8.</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Moters lytinių organų nusileidimas ir iškritimas. N81</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2.11.</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Odontologinės ligos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2.11.1.</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Dantų raidos ir dygimo sutrikimai: 10 ir daugiau dantų nebuvimas vieno žandikaulio lanke arba jų korekcija nuimamais protezais; 8 krūminių dantų nebuvimas vieno žandikaulio lanke arba 4 krūminių dantų nebuvimas viršutinio žandikaulio lanko vienoje pusėje ir 4 krūminių dantų nebuvimas apatinio žandikaulio lanko kitoje pusėje arba korekcija nuimamais protezais. K00-K14</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Galimos visos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2.11.2.</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Kitos dantų ir veido anomalijos, žandikaulių ligos, darančios didelę ir vidutinę įtaką kvėpavimo, uoslės, kramtymo, rijimo bei kalbos funkcijoms. K00-K14</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Galimos visos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2.11.3.</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Nepagydomos kietųjų danties audinių, pulpos ir periapikalinių audinių, dantenų ir periodonto, seilių liaukų, liežuvio ir burnos gleivinės ligos. K00-K14</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Galimos visos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Akių ligos ir traumos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Lagoftalmas, vokų išvirtimas ir blakstienų augimas į akies obuolio pusę (trichiazė), sukeliantis akies dirginimą, trikdantis akies funkciją, vokų suaugimas, voko suaugimas su akies obuoliu, ribojantis arba trikdantis akies judesius ir regėjimą (net vienos akies). H00-H06</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2.12.2.</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Voko ptozė, pažeidžianti, veikianti vienos arba abiejų akių regėjimą. H02</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2.12.3.</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Nuolatinis nepagydomas ašarojimas, esant ašarų sistemos ligoms. H06</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2.12.4.</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Dažnai paūmėjančios lėtinės junginės, ragenos, uvealinio trakto ir tinklainės uždegiminės ir degeneracinės ligos. H10-H13</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 atsižvelgiant į sporto šakos specifiką</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2.12.5.</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Regos nervo ligos. H46-H48</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2.12.6.</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Regos nervo atrofija. H46-H48</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2.12.7.</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Ryški įgimta ir įgyta katarakta (ir trauminė). H15-22, H25-H28</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2.12.8.</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Stiklakūnio drumstumas ir destrukcija. H43-H45</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2.12.9.</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Akies apvalkalų įgimti ir įgyti defektai, trikdantys regėjimą. H30-H36</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2.12.10.</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rPr>
                        <w:highlight w:val="yellow"/>
                        <w:lang w:val="en-US"/>
                      </w:rPr>
                    </w:pPr>
                    <w:r>
                      <w:t>Afakija. H27.0</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rPr>
                        <w:highlight w:val="yellow"/>
                      </w:rPr>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rPr>
                        <w:highlight w:val="yellow"/>
                      </w:rPr>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2.12.11.</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Akies dugno pakitimai. H55-H59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2.12.12.</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Būklė po akies obuolio prasiskverbiančio pažeidimo. H59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2.12.13.</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Svetimkūnis akyje, kurio neįmanoma pašalinti. H59 </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2.12.14.</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Vienos arba abiejų akių regėjimo laukas susiaurėjęs 20</w:t>
                    </w:r>
                    <w:r>
                      <w:rPr>
                        <w:vertAlign w:val="superscript"/>
                      </w:rPr>
                      <w:t>o</w:t>
                    </w:r>
                    <w:r>
                      <w:t xml:space="preserve"> ir daugiau (sprendimas priimamas individualiai). H49-H52</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2.12.15.</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Akies judėjimo aparato sutrikimai. H55-H59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2.12.16.</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Ryškus nistagmas, labai sutrikdantis regėjimą. H46-H48</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2.12.17.</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Bendrakryptis žvairumas daugiau nei 20</w:t>
                    </w:r>
                    <w:r>
                      <w:rPr>
                        <w:vertAlign w:val="superscript"/>
                      </w:rPr>
                      <w:t>o</w:t>
                    </w:r>
                    <w:r>
                      <w:t xml:space="preserve"> (sprendimas priimamas individualiai). H49-H52</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2.12.18.</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Spalvinio matymo trūkumai. H53-H54</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r>
                      <w:rPr>
                        <w:highlight w:val="yellow"/>
                      </w:rPr>
                      <w:t xml:space="preserve"> </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2.12.19.</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Refrakcijos sutrikimai: bendrai visoms sporto šakoms – kai regėjimas: a) abiejų akių mažiau kaip 0,6 (be korekcijos); b) ne mažiau kaip 0,6 vienos (stipresnės ) akies ir 0,3 – kitos (silpnesnės) akies (be korekcijos); kontraindikacijos atskiroms sporto šakoms (lentelėje). H49-H52</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Pr>
                  <w:p>
                    <w:pPr>
                      <w:widowControl w:val="0"/>
                    </w:pPr>
                    <w:r>
                      <w:rPr>
                        <w:caps/>
                      </w:rPr>
                      <w:t>2.13.</w:t>
                    </w:r>
                  </w:p>
                </w:tc>
                <w:tc>
                  <w:tcPr>
                    <w:tcW w:w="7882" w:type="dxa"/>
                    <w:gridSpan w:val="10"/>
                    <w:tcBorders>
                      <w:right w:val="single" w:sz="4" w:space="0" w:color="auto"/>
                    </w:tcBorders>
                  </w:tcPr>
                  <w:p>
                    <w:pPr>
                      <w:widowControl w:val="0"/>
                      <w:jc w:val="center"/>
                    </w:pPr>
                    <w:r>
                      <w:rPr>
                        <w:caps/>
                      </w:rPr>
                      <w:t>refrakcijos anomalijos</w:t>
                    </w:r>
                  </w:p>
                </w:tc>
              </w:tr>
              <w:tr>
                <w:trPr>
                  <w:trHeight w:val="20"/>
                </w:trPr>
                <w:tc>
                  <w:tcPr>
                    <w:tcW w:w="1188" w:type="dxa"/>
                  </w:tcPr>
                  <w:p>
                    <w:pPr>
                      <w:widowControl w:val="0"/>
                    </w:pPr>
                  </w:p>
                </w:tc>
                <w:tc>
                  <w:tcPr>
                    <w:tcW w:w="1932" w:type="dxa"/>
                  </w:tcPr>
                  <w:p>
                    <w:pPr>
                      <w:widowControl w:val="0"/>
                    </w:pPr>
                    <w:r>
                      <w:t xml:space="preserve">Sporto šakos, kurias galima kultivuoti nenaudojant regėjimo korekcijos </w:t>
                    </w:r>
                  </w:p>
                </w:tc>
                <w:tc>
                  <w:tcPr>
                    <w:tcW w:w="2068" w:type="dxa"/>
                    <w:gridSpan w:val="6"/>
                  </w:tcPr>
                  <w:p>
                    <w:pPr>
                      <w:widowControl w:val="0"/>
                    </w:pPr>
                    <w:r>
                      <w:t>Sporto šakos, kurias kultivuojant leidžiama regėjimo korekcija</w:t>
                    </w:r>
                  </w:p>
                </w:tc>
                <w:tc>
                  <w:tcPr>
                    <w:tcW w:w="1939" w:type="dxa"/>
                    <w:gridSpan w:val="2"/>
                  </w:tcPr>
                  <w:p>
                    <w:pPr>
                      <w:widowControl w:val="0"/>
                    </w:pPr>
                    <w:r>
                      <w:t>Sporto šakos, kurias kultivuojant neleidžiama regėjimo korekcija</w:t>
                    </w:r>
                  </w:p>
                </w:tc>
                <w:tc>
                  <w:tcPr>
                    <w:tcW w:w="1943" w:type="dxa"/>
                  </w:tcPr>
                  <w:p>
                    <w:pPr>
                      <w:widowControl w:val="0"/>
                    </w:pPr>
                    <w:r>
                      <w:t>Sporto šakos, kurias kultivuojant sumažėjęs regėjimas pavojingas, o korekcijos naudojimas neleistinas</w:t>
                    </w:r>
                  </w:p>
                </w:tc>
              </w:tr>
              <w:tr>
                <w:trPr>
                  <w:trHeight w:val="20"/>
                </w:trPr>
                <w:tc>
                  <w:tcPr>
                    <w:tcW w:w="1188" w:type="dxa"/>
                  </w:tcPr>
                  <w:p>
                    <w:pPr>
                      <w:widowControl w:val="0"/>
                    </w:pPr>
                    <w:r>
                      <w:t>2.13.1.</w:t>
                    </w:r>
                  </w:p>
                </w:tc>
                <w:tc>
                  <w:tcPr>
                    <w:tcW w:w="1932" w:type="dxa"/>
                  </w:tcPr>
                  <w:p>
                    <w:pPr>
                      <w:widowControl w:val="0"/>
                    </w:pPr>
                    <w:r>
                      <w:t>Lengvosios atletikos rūšys (ėjimas, metimai, krosai, šuoliai su kartimi)</w:t>
                    </w:r>
                  </w:p>
                </w:tc>
                <w:tc>
                  <w:tcPr>
                    <w:tcW w:w="2068" w:type="dxa"/>
                    <w:gridSpan w:val="6"/>
                  </w:tcPr>
                  <w:p>
                    <w:pPr>
                      <w:widowControl w:val="0"/>
                    </w:pPr>
                    <w:r>
                      <w:t>Sportinė ir meninė gimnastika</w:t>
                    </w:r>
                  </w:p>
                </w:tc>
                <w:tc>
                  <w:tcPr>
                    <w:tcW w:w="1939" w:type="dxa"/>
                    <w:gridSpan w:val="2"/>
                  </w:tcPr>
                  <w:p>
                    <w:pPr>
                      <w:widowControl w:val="0"/>
                    </w:pPr>
                    <w:r>
                      <w:t>Visos imtynių rūšys</w:t>
                    </w:r>
                  </w:p>
                </w:tc>
                <w:tc>
                  <w:tcPr>
                    <w:tcW w:w="1943" w:type="dxa"/>
                  </w:tcPr>
                  <w:p>
                    <w:pPr>
                      <w:widowControl w:val="0"/>
                    </w:pPr>
                    <w:r>
                      <w:t>Motosportas</w:t>
                    </w:r>
                  </w:p>
                </w:tc>
              </w:tr>
              <w:tr>
                <w:trPr>
                  <w:trHeight w:val="20"/>
                </w:trPr>
                <w:tc>
                  <w:tcPr>
                    <w:tcW w:w="1188" w:type="dxa"/>
                  </w:tcPr>
                  <w:p>
                    <w:pPr>
                      <w:widowControl w:val="0"/>
                    </w:pPr>
                    <w:r>
                      <w:t>2.13.2.</w:t>
                    </w:r>
                  </w:p>
                </w:tc>
                <w:tc>
                  <w:tcPr>
                    <w:tcW w:w="1932" w:type="dxa"/>
                  </w:tcPr>
                  <w:p>
                    <w:pPr>
                      <w:widowControl w:val="0"/>
                    </w:pPr>
                    <w:r>
                      <w:t>Sunkioji atletika</w:t>
                    </w:r>
                  </w:p>
                </w:tc>
                <w:tc>
                  <w:tcPr>
                    <w:tcW w:w="2068" w:type="dxa"/>
                    <w:gridSpan w:val="6"/>
                  </w:tcPr>
                  <w:p>
                    <w:pPr>
                      <w:widowControl w:val="0"/>
                    </w:pPr>
                    <w:r>
                      <w:t>Lengvoji atletika</w:t>
                    </w:r>
                  </w:p>
                </w:tc>
                <w:tc>
                  <w:tcPr>
                    <w:tcW w:w="1939" w:type="dxa"/>
                    <w:gridSpan w:val="2"/>
                  </w:tcPr>
                  <w:p>
                    <w:pPr>
                      <w:widowControl w:val="0"/>
                    </w:pPr>
                    <w:r>
                      <w:t>Boksas</w:t>
                    </w:r>
                  </w:p>
                </w:tc>
                <w:tc>
                  <w:tcPr>
                    <w:tcW w:w="1943" w:type="dxa"/>
                  </w:tcPr>
                  <w:p>
                    <w:pPr>
                      <w:widowControl w:val="0"/>
                    </w:pPr>
                    <w:r>
                      <w:t>Žirgų sportas</w:t>
                    </w:r>
                  </w:p>
                </w:tc>
              </w:tr>
              <w:tr>
                <w:trPr>
                  <w:trHeight w:val="20"/>
                </w:trPr>
                <w:tc>
                  <w:tcPr>
                    <w:tcW w:w="1188" w:type="dxa"/>
                  </w:tcPr>
                  <w:p>
                    <w:pPr>
                      <w:widowControl w:val="0"/>
                    </w:pPr>
                    <w:r>
                      <w:t>2.13.3.</w:t>
                    </w:r>
                  </w:p>
                </w:tc>
                <w:tc>
                  <w:tcPr>
                    <w:tcW w:w="1932" w:type="dxa"/>
                  </w:tcPr>
                  <w:p>
                    <w:pPr>
                      <w:widowControl w:val="0"/>
                    </w:pPr>
                    <w:r>
                      <w:t>Greitasis čiuožimas</w:t>
                    </w:r>
                  </w:p>
                </w:tc>
                <w:tc>
                  <w:tcPr>
                    <w:tcW w:w="2068" w:type="dxa"/>
                    <w:gridSpan w:val="6"/>
                  </w:tcPr>
                  <w:p>
                    <w:pPr>
                      <w:widowControl w:val="0"/>
                    </w:pPr>
                    <w:r>
                      <w:t>Slidinėjimas</w:t>
                    </w:r>
                  </w:p>
                </w:tc>
                <w:tc>
                  <w:tcPr>
                    <w:tcW w:w="1939" w:type="dxa"/>
                    <w:gridSpan w:val="2"/>
                  </w:tcPr>
                  <w:p>
                    <w:pPr>
                      <w:widowControl w:val="0"/>
                    </w:pPr>
                    <w:r>
                      <w:t>Futbolas</w:t>
                    </w:r>
                  </w:p>
                </w:tc>
                <w:tc>
                  <w:tcPr>
                    <w:tcW w:w="1943" w:type="dxa"/>
                  </w:tcPr>
                  <w:p>
                    <w:pPr>
                      <w:widowControl w:val="0"/>
                    </w:pPr>
                    <w:r>
                      <w:t>Buriavimas</w:t>
                    </w:r>
                  </w:p>
                </w:tc>
              </w:tr>
              <w:tr>
                <w:trPr>
                  <w:trHeight w:val="20"/>
                </w:trPr>
                <w:tc>
                  <w:tcPr>
                    <w:tcW w:w="1188" w:type="dxa"/>
                  </w:tcPr>
                  <w:p>
                    <w:pPr>
                      <w:widowControl w:val="0"/>
                    </w:pPr>
                    <w:r>
                      <w:t>2.13.4.</w:t>
                    </w:r>
                  </w:p>
                </w:tc>
                <w:tc>
                  <w:tcPr>
                    <w:tcW w:w="1932" w:type="dxa"/>
                  </w:tcPr>
                  <w:p>
                    <w:pPr>
                      <w:widowControl w:val="0"/>
                    </w:pPr>
                    <w:r>
                      <w:t>Dailusis čiuožimas</w:t>
                    </w:r>
                  </w:p>
                </w:tc>
                <w:tc>
                  <w:tcPr>
                    <w:tcW w:w="2068" w:type="dxa"/>
                    <w:gridSpan w:val="6"/>
                  </w:tcPr>
                  <w:p>
                    <w:pPr>
                      <w:widowControl w:val="0"/>
                    </w:pPr>
                    <w:r>
                      <w:t>Greitasis čiuožimas</w:t>
                    </w:r>
                  </w:p>
                </w:tc>
                <w:tc>
                  <w:tcPr>
                    <w:tcW w:w="1939" w:type="dxa"/>
                    <w:gridSpan w:val="2"/>
                  </w:tcPr>
                  <w:p>
                    <w:pPr>
                      <w:widowControl w:val="0"/>
                    </w:pPr>
                    <w:r>
                      <w:t>Ledo rutulys</w:t>
                    </w:r>
                  </w:p>
                </w:tc>
                <w:tc>
                  <w:tcPr>
                    <w:tcW w:w="1943" w:type="dxa"/>
                  </w:tcPr>
                  <w:p>
                    <w:pPr>
                      <w:widowControl w:val="0"/>
                    </w:pPr>
                    <w:r>
                      <w:t>Vandens motosportas</w:t>
                    </w:r>
                  </w:p>
                </w:tc>
              </w:tr>
              <w:tr>
                <w:trPr>
                  <w:trHeight w:val="20"/>
                </w:trPr>
                <w:tc>
                  <w:tcPr>
                    <w:tcW w:w="1188" w:type="dxa"/>
                  </w:tcPr>
                  <w:p>
                    <w:pPr>
                      <w:widowControl w:val="0"/>
                    </w:pPr>
                    <w:r>
                      <w:t>2.13.5.</w:t>
                    </w:r>
                  </w:p>
                </w:tc>
                <w:tc>
                  <w:tcPr>
                    <w:tcW w:w="1932" w:type="dxa"/>
                  </w:tcPr>
                  <w:p>
                    <w:pPr>
                      <w:widowControl w:val="0"/>
                    </w:pPr>
                    <w:r>
                      <w:t>Plaukimas</w:t>
                    </w:r>
                  </w:p>
                </w:tc>
                <w:tc>
                  <w:tcPr>
                    <w:tcW w:w="2068" w:type="dxa"/>
                    <w:gridSpan w:val="6"/>
                  </w:tcPr>
                  <w:p>
                    <w:pPr>
                      <w:widowControl w:val="0"/>
                    </w:pPr>
                    <w:r>
                      <w:t>Dailusis čiuožimas</w:t>
                    </w:r>
                  </w:p>
                </w:tc>
                <w:tc>
                  <w:tcPr>
                    <w:tcW w:w="1939" w:type="dxa"/>
                    <w:gridSpan w:val="2"/>
                  </w:tcPr>
                  <w:p>
                    <w:pPr>
                      <w:widowControl w:val="0"/>
                    </w:pPr>
                    <w:r>
                      <w:t>Vandensvydis</w:t>
                    </w:r>
                  </w:p>
                </w:tc>
                <w:tc>
                  <w:tcPr>
                    <w:tcW w:w="1943" w:type="dxa"/>
                  </w:tcPr>
                  <w:p>
                    <w:pPr>
                      <w:widowControl w:val="0"/>
                    </w:pPr>
                    <w:r>
                      <w:t>Kalnų slidinėjimas</w:t>
                    </w:r>
                  </w:p>
                </w:tc>
              </w:tr>
              <w:tr>
                <w:trPr>
                  <w:trHeight w:val="20"/>
                </w:trPr>
                <w:tc>
                  <w:tcPr>
                    <w:tcW w:w="1188" w:type="dxa"/>
                  </w:tcPr>
                  <w:p>
                    <w:pPr>
                      <w:widowControl w:val="0"/>
                    </w:pPr>
                    <w:r>
                      <w:t>2.13.6.</w:t>
                    </w:r>
                  </w:p>
                </w:tc>
                <w:tc>
                  <w:tcPr>
                    <w:tcW w:w="1932" w:type="dxa"/>
                  </w:tcPr>
                  <w:p>
                    <w:pPr>
                      <w:widowControl w:val="0"/>
                    </w:pPr>
                    <w:r>
                      <w:t>Irklavimas</w:t>
                    </w:r>
                  </w:p>
                </w:tc>
                <w:tc>
                  <w:tcPr>
                    <w:tcW w:w="2068" w:type="dxa"/>
                    <w:gridSpan w:val="6"/>
                  </w:tcPr>
                  <w:p>
                    <w:pPr>
                      <w:widowControl w:val="0"/>
                    </w:pPr>
                    <w:r>
                      <w:t>Fechtavimasis</w:t>
                    </w:r>
                  </w:p>
                </w:tc>
                <w:tc>
                  <w:tcPr>
                    <w:tcW w:w="1939" w:type="dxa"/>
                    <w:gridSpan w:val="2"/>
                  </w:tcPr>
                  <w:p>
                    <w:pPr>
                      <w:widowControl w:val="0"/>
                    </w:pPr>
                    <w:r>
                      <w:t>Motosportas</w:t>
                    </w:r>
                  </w:p>
                </w:tc>
                <w:tc>
                  <w:tcPr>
                    <w:tcW w:w="1943" w:type="dxa"/>
                  </w:tcPr>
                  <w:p>
                    <w:pPr>
                      <w:widowControl w:val="0"/>
                    </w:pPr>
                    <w:r>
                      <w:t>Šuoliai į vandenį</w:t>
                    </w:r>
                  </w:p>
                </w:tc>
              </w:tr>
              <w:tr>
                <w:trPr>
                  <w:trHeight w:val="20"/>
                </w:trPr>
                <w:tc>
                  <w:tcPr>
                    <w:tcW w:w="1188" w:type="dxa"/>
                  </w:tcPr>
                  <w:p>
                    <w:pPr>
                      <w:widowControl w:val="0"/>
                    </w:pPr>
                    <w:r>
                      <w:t>2.13.7.</w:t>
                    </w:r>
                  </w:p>
                </w:tc>
                <w:tc>
                  <w:tcPr>
                    <w:tcW w:w="1932" w:type="dxa"/>
                    <w:tcBorders>
                      <w:bottom w:val="single" w:sz="4" w:space="0" w:color="auto"/>
                    </w:tcBorders>
                  </w:tcPr>
                  <w:p>
                    <w:pPr>
                      <w:widowControl w:val="0"/>
                    </w:pPr>
                  </w:p>
                </w:tc>
                <w:tc>
                  <w:tcPr>
                    <w:tcW w:w="2068" w:type="dxa"/>
                    <w:gridSpan w:val="6"/>
                  </w:tcPr>
                  <w:p>
                    <w:pPr>
                      <w:widowControl w:val="0"/>
                    </w:pPr>
                    <w:r>
                      <w:t>Irklavimas</w:t>
                    </w:r>
                  </w:p>
                </w:tc>
                <w:tc>
                  <w:tcPr>
                    <w:tcW w:w="1939" w:type="dxa"/>
                    <w:gridSpan w:val="2"/>
                  </w:tcPr>
                  <w:p>
                    <w:pPr>
                      <w:widowControl w:val="0"/>
                    </w:pPr>
                    <w:r>
                      <w:t>Žirgų sportas</w:t>
                    </w:r>
                  </w:p>
                </w:tc>
                <w:tc>
                  <w:tcPr>
                    <w:tcW w:w="1943" w:type="dxa"/>
                    <w:tcBorders>
                      <w:bottom w:val="single" w:sz="4" w:space="0" w:color="auto"/>
                    </w:tcBorders>
                  </w:tcPr>
                  <w:p>
                    <w:pPr>
                      <w:widowControl w:val="0"/>
                    </w:pPr>
                    <w:r>
                      <w:t>Alpinizmas</w:t>
                    </w:r>
                  </w:p>
                </w:tc>
              </w:tr>
              <w:tr>
                <w:trPr>
                  <w:trHeight w:val="20"/>
                </w:trPr>
                <w:tc>
                  <w:tcPr>
                    <w:tcW w:w="1188" w:type="dxa"/>
                  </w:tcPr>
                  <w:p>
                    <w:pPr>
                      <w:widowControl w:val="0"/>
                    </w:pPr>
                    <w:r>
                      <w:t>2.13.8.</w:t>
                    </w:r>
                  </w:p>
                </w:tc>
                <w:tc>
                  <w:tcPr>
                    <w:tcW w:w="1932" w:type="dxa"/>
                    <w:tcBorders>
                      <w:bottom w:val="nil"/>
                    </w:tcBorders>
                    <w:shd w:val="clear" w:color="auto" w:fill="auto"/>
                  </w:tcPr>
                  <w:p>
                    <w:pPr>
                      <w:widowControl w:val="0"/>
                    </w:pPr>
                  </w:p>
                </w:tc>
                <w:tc>
                  <w:tcPr>
                    <w:tcW w:w="2068" w:type="dxa"/>
                    <w:gridSpan w:val="6"/>
                  </w:tcPr>
                  <w:p>
                    <w:pPr>
                      <w:widowControl w:val="0"/>
                    </w:pPr>
                    <w:r>
                      <w:t>Šaudymas</w:t>
                    </w:r>
                  </w:p>
                </w:tc>
                <w:tc>
                  <w:tcPr>
                    <w:tcW w:w="1939" w:type="dxa"/>
                    <w:gridSpan w:val="2"/>
                  </w:tcPr>
                  <w:p>
                    <w:pPr>
                      <w:widowControl w:val="0"/>
                    </w:pPr>
                    <w:r>
                      <w:t>Šuoliai į vandenį</w:t>
                    </w:r>
                  </w:p>
                </w:tc>
                <w:tc>
                  <w:tcPr>
                    <w:tcW w:w="1943" w:type="dxa"/>
                    <w:tcBorders>
                      <w:bottom w:val="nil"/>
                    </w:tcBorders>
                    <w:shd w:val="clear" w:color="auto" w:fill="auto"/>
                  </w:tcPr>
                  <w:p>
                    <w:pPr>
                      <w:widowControl w:val="0"/>
                    </w:pPr>
                  </w:p>
                </w:tc>
              </w:tr>
              <w:tr>
                <w:trPr>
                  <w:trHeight w:val="20"/>
                </w:trPr>
                <w:tc>
                  <w:tcPr>
                    <w:tcW w:w="1188" w:type="dxa"/>
                  </w:tcPr>
                  <w:p>
                    <w:pPr>
                      <w:widowControl w:val="0"/>
                    </w:pPr>
                    <w:r>
                      <w:t>2.13.9.</w:t>
                    </w:r>
                  </w:p>
                </w:tc>
                <w:tc>
                  <w:tcPr>
                    <w:tcW w:w="1932" w:type="dxa"/>
                    <w:tcBorders>
                      <w:top w:val="nil"/>
                      <w:bottom w:val="nil"/>
                    </w:tcBorders>
                    <w:shd w:val="clear" w:color="auto" w:fill="auto"/>
                  </w:tcPr>
                  <w:p>
                    <w:pPr>
                      <w:widowControl w:val="0"/>
                    </w:pPr>
                  </w:p>
                </w:tc>
                <w:tc>
                  <w:tcPr>
                    <w:tcW w:w="2068" w:type="dxa"/>
                    <w:gridSpan w:val="6"/>
                  </w:tcPr>
                  <w:p>
                    <w:pPr>
                      <w:widowControl w:val="0"/>
                    </w:pPr>
                    <w:r>
                      <w:t>Sunkioji atletika</w:t>
                    </w:r>
                  </w:p>
                </w:tc>
                <w:tc>
                  <w:tcPr>
                    <w:tcW w:w="1939" w:type="dxa"/>
                    <w:gridSpan w:val="2"/>
                  </w:tcPr>
                  <w:p>
                    <w:pPr>
                      <w:widowControl w:val="0"/>
                    </w:pPr>
                    <w:r>
                      <w:t>Šuoliai su slidėmis</w:t>
                    </w:r>
                  </w:p>
                </w:tc>
                <w:tc>
                  <w:tcPr>
                    <w:tcW w:w="1943" w:type="dxa"/>
                    <w:tcBorders>
                      <w:top w:val="nil"/>
                      <w:bottom w:val="nil"/>
                    </w:tcBorders>
                    <w:shd w:val="clear" w:color="auto" w:fill="auto"/>
                  </w:tcPr>
                  <w:p>
                    <w:pPr>
                      <w:widowControl w:val="0"/>
                    </w:pPr>
                  </w:p>
                </w:tc>
              </w:tr>
              <w:tr>
                <w:trPr>
                  <w:trHeight w:val="20"/>
                </w:trPr>
                <w:tc>
                  <w:tcPr>
                    <w:tcW w:w="1188" w:type="dxa"/>
                  </w:tcPr>
                  <w:p>
                    <w:pPr>
                      <w:widowControl w:val="0"/>
                    </w:pPr>
                    <w:r>
                      <w:t>2.13.10.</w:t>
                    </w:r>
                  </w:p>
                </w:tc>
                <w:tc>
                  <w:tcPr>
                    <w:tcW w:w="1932" w:type="dxa"/>
                    <w:tcBorders>
                      <w:top w:val="nil"/>
                      <w:bottom w:val="nil"/>
                    </w:tcBorders>
                    <w:shd w:val="clear" w:color="auto" w:fill="auto"/>
                  </w:tcPr>
                  <w:p>
                    <w:pPr>
                      <w:widowControl w:val="0"/>
                    </w:pPr>
                  </w:p>
                </w:tc>
                <w:tc>
                  <w:tcPr>
                    <w:tcW w:w="2068" w:type="dxa"/>
                    <w:gridSpan w:val="6"/>
                  </w:tcPr>
                  <w:p>
                    <w:pPr>
                      <w:widowControl w:val="0"/>
                    </w:pPr>
                    <w:r>
                      <w:t xml:space="preserve">Tenisas </w:t>
                    </w:r>
                  </w:p>
                </w:tc>
                <w:tc>
                  <w:tcPr>
                    <w:tcW w:w="1939" w:type="dxa"/>
                    <w:gridSpan w:val="2"/>
                    <w:tcBorders>
                      <w:bottom w:val="single" w:sz="4" w:space="0" w:color="auto"/>
                    </w:tcBorders>
                  </w:tcPr>
                  <w:p>
                    <w:pPr>
                      <w:widowControl w:val="0"/>
                    </w:pPr>
                    <w:r>
                      <w:t>Alpinizmas</w:t>
                    </w:r>
                  </w:p>
                </w:tc>
                <w:tc>
                  <w:tcPr>
                    <w:tcW w:w="1943" w:type="dxa"/>
                    <w:tcBorders>
                      <w:top w:val="nil"/>
                      <w:bottom w:val="nil"/>
                    </w:tcBorders>
                    <w:shd w:val="clear" w:color="auto" w:fill="auto"/>
                  </w:tcPr>
                  <w:p>
                    <w:pPr>
                      <w:widowControl w:val="0"/>
                    </w:pPr>
                  </w:p>
                </w:tc>
              </w:tr>
              <w:tr>
                <w:trPr>
                  <w:trHeight w:val="20"/>
                </w:trPr>
                <w:tc>
                  <w:tcPr>
                    <w:tcW w:w="1188" w:type="dxa"/>
                  </w:tcPr>
                  <w:p>
                    <w:pPr>
                      <w:widowControl w:val="0"/>
                    </w:pPr>
                    <w:r>
                      <w:t>2.13.11.</w:t>
                    </w:r>
                  </w:p>
                </w:tc>
                <w:tc>
                  <w:tcPr>
                    <w:tcW w:w="1932" w:type="dxa"/>
                    <w:tcBorders>
                      <w:top w:val="nil"/>
                      <w:bottom w:val="nil"/>
                    </w:tcBorders>
                    <w:shd w:val="clear" w:color="auto" w:fill="auto"/>
                  </w:tcPr>
                  <w:p>
                    <w:pPr>
                      <w:widowControl w:val="0"/>
                    </w:pPr>
                  </w:p>
                </w:tc>
                <w:tc>
                  <w:tcPr>
                    <w:tcW w:w="2068" w:type="dxa"/>
                    <w:gridSpan w:val="6"/>
                  </w:tcPr>
                  <w:p>
                    <w:pPr>
                      <w:widowControl w:val="0"/>
                    </w:pPr>
                    <w:r>
                      <w:t>Krepšinis</w:t>
                    </w:r>
                  </w:p>
                </w:tc>
                <w:tc>
                  <w:tcPr>
                    <w:tcW w:w="1939" w:type="dxa"/>
                    <w:gridSpan w:val="2"/>
                    <w:tcBorders>
                      <w:bottom w:val="nil"/>
                    </w:tcBorders>
                    <w:shd w:val="clear" w:color="auto" w:fill="auto"/>
                  </w:tcPr>
                  <w:p>
                    <w:pPr>
                      <w:widowControl w:val="0"/>
                    </w:pPr>
                  </w:p>
                </w:tc>
                <w:tc>
                  <w:tcPr>
                    <w:tcW w:w="1943" w:type="dxa"/>
                    <w:tcBorders>
                      <w:top w:val="nil"/>
                      <w:bottom w:val="nil"/>
                    </w:tcBorders>
                    <w:shd w:val="clear" w:color="auto" w:fill="auto"/>
                  </w:tcPr>
                  <w:p>
                    <w:pPr>
                      <w:widowControl w:val="0"/>
                    </w:pPr>
                  </w:p>
                </w:tc>
              </w:tr>
              <w:tr>
                <w:trPr>
                  <w:trHeight w:val="20"/>
                </w:trPr>
                <w:tc>
                  <w:tcPr>
                    <w:tcW w:w="1188" w:type="dxa"/>
                  </w:tcPr>
                  <w:p>
                    <w:pPr>
                      <w:widowControl w:val="0"/>
                    </w:pPr>
                    <w:r>
                      <w:t>2.13.12.</w:t>
                    </w:r>
                  </w:p>
                </w:tc>
                <w:tc>
                  <w:tcPr>
                    <w:tcW w:w="1932" w:type="dxa"/>
                    <w:tcBorders>
                      <w:top w:val="nil"/>
                      <w:bottom w:val="nil"/>
                    </w:tcBorders>
                    <w:shd w:val="clear" w:color="auto" w:fill="auto"/>
                  </w:tcPr>
                  <w:p>
                    <w:pPr>
                      <w:widowControl w:val="0"/>
                    </w:pPr>
                  </w:p>
                </w:tc>
                <w:tc>
                  <w:tcPr>
                    <w:tcW w:w="2068" w:type="dxa"/>
                    <w:gridSpan w:val="6"/>
                  </w:tcPr>
                  <w:p>
                    <w:pPr>
                      <w:widowControl w:val="0"/>
                    </w:pPr>
                    <w:r>
                      <w:t>Tinklinis</w:t>
                    </w:r>
                  </w:p>
                </w:tc>
                <w:tc>
                  <w:tcPr>
                    <w:tcW w:w="1939" w:type="dxa"/>
                    <w:gridSpan w:val="2"/>
                    <w:tcBorders>
                      <w:top w:val="nil"/>
                      <w:bottom w:val="nil"/>
                    </w:tcBorders>
                    <w:shd w:val="clear" w:color="auto" w:fill="auto"/>
                  </w:tcPr>
                  <w:p>
                    <w:pPr>
                      <w:widowControl w:val="0"/>
                    </w:pPr>
                  </w:p>
                </w:tc>
                <w:tc>
                  <w:tcPr>
                    <w:tcW w:w="1943" w:type="dxa"/>
                    <w:tcBorders>
                      <w:top w:val="nil"/>
                      <w:bottom w:val="nil"/>
                    </w:tcBorders>
                    <w:shd w:val="clear" w:color="auto" w:fill="auto"/>
                  </w:tcPr>
                  <w:p>
                    <w:pPr>
                      <w:widowControl w:val="0"/>
                    </w:pPr>
                  </w:p>
                </w:tc>
              </w:tr>
              <w:tr>
                <w:trPr>
                  <w:trHeight w:val="20"/>
                </w:trPr>
                <w:tc>
                  <w:tcPr>
                    <w:tcW w:w="1188" w:type="dxa"/>
                  </w:tcPr>
                  <w:p>
                    <w:pPr>
                      <w:widowControl w:val="0"/>
                    </w:pPr>
                    <w:r>
                      <w:t>2.13.13.</w:t>
                    </w:r>
                  </w:p>
                </w:tc>
                <w:tc>
                  <w:tcPr>
                    <w:tcW w:w="1932" w:type="dxa"/>
                    <w:tcBorders>
                      <w:top w:val="nil"/>
                      <w:bottom w:val="nil"/>
                    </w:tcBorders>
                    <w:shd w:val="clear" w:color="auto" w:fill="auto"/>
                  </w:tcPr>
                  <w:p>
                    <w:pPr>
                      <w:widowControl w:val="0"/>
                    </w:pPr>
                  </w:p>
                </w:tc>
                <w:tc>
                  <w:tcPr>
                    <w:tcW w:w="2068" w:type="dxa"/>
                    <w:gridSpan w:val="6"/>
                  </w:tcPr>
                  <w:p>
                    <w:pPr>
                      <w:widowControl w:val="0"/>
                    </w:pPr>
                    <w:r>
                      <w:t>Dviračių sportas</w:t>
                    </w:r>
                  </w:p>
                </w:tc>
                <w:tc>
                  <w:tcPr>
                    <w:tcW w:w="1939" w:type="dxa"/>
                    <w:gridSpan w:val="2"/>
                    <w:tcBorders>
                      <w:top w:val="nil"/>
                      <w:bottom w:val="nil"/>
                    </w:tcBorders>
                    <w:shd w:val="clear" w:color="auto" w:fill="auto"/>
                  </w:tcPr>
                  <w:p>
                    <w:pPr>
                      <w:widowControl w:val="0"/>
                    </w:pPr>
                  </w:p>
                </w:tc>
                <w:tc>
                  <w:tcPr>
                    <w:tcW w:w="1943" w:type="dxa"/>
                    <w:tcBorders>
                      <w:top w:val="nil"/>
                      <w:bottom w:val="nil"/>
                    </w:tcBorders>
                    <w:shd w:val="clear" w:color="auto" w:fill="auto"/>
                  </w:tcPr>
                  <w:p>
                    <w:pPr>
                      <w:widowControl w:val="0"/>
                    </w:pPr>
                  </w:p>
                </w:tc>
              </w:tr>
              <w:tr>
                <w:trPr>
                  <w:trHeight w:val="20"/>
                </w:trPr>
                <w:tc>
                  <w:tcPr>
                    <w:tcW w:w="1188" w:type="dxa"/>
                  </w:tcPr>
                  <w:p>
                    <w:pPr>
                      <w:widowControl w:val="0"/>
                    </w:pPr>
                    <w:r>
                      <w:t>2.13.14.</w:t>
                    </w:r>
                  </w:p>
                </w:tc>
                <w:tc>
                  <w:tcPr>
                    <w:tcW w:w="1932" w:type="dxa"/>
                    <w:tcBorders>
                      <w:top w:val="nil"/>
                    </w:tcBorders>
                    <w:shd w:val="clear" w:color="auto" w:fill="auto"/>
                  </w:tcPr>
                  <w:p>
                    <w:pPr>
                      <w:widowControl w:val="0"/>
                    </w:pPr>
                  </w:p>
                </w:tc>
                <w:tc>
                  <w:tcPr>
                    <w:tcW w:w="2068" w:type="dxa"/>
                    <w:gridSpan w:val="6"/>
                  </w:tcPr>
                  <w:p>
                    <w:pPr>
                      <w:widowControl w:val="0"/>
                    </w:pPr>
                    <w:r>
                      <w:t>Kėgliai</w:t>
                    </w:r>
                  </w:p>
                </w:tc>
                <w:tc>
                  <w:tcPr>
                    <w:tcW w:w="1939" w:type="dxa"/>
                    <w:gridSpan w:val="2"/>
                    <w:tcBorders>
                      <w:top w:val="nil"/>
                    </w:tcBorders>
                    <w:shd w:val="clear" w:color="auto" w:fill="auto"/>
                  </w:tcPr>
                  <w:p>
                    <w:pPr>
                      <w:widowControl w:val="0"/>
                    </w:pPr>
                  </w:p>
                </w:tc>
                <w:tc>
                  <w:tcPr>
                    <w:tcW w:w="1943" w:type="dxa"/>
                    <w:tcBorders>
                      <w:top w:val="nil"/>
                    </w:tcBorders>
                    <w:shd w:val="clear" w:color="auto" w:fill="auto"/>
                  </w:tcPr>
                  <w:p>
                    <w:pPr>
                      <w:widowControl w:val="0"/>
                    </w:pPr>
                  </w:p>
                </w:tc>
              </w:tr>
            </w:tbl>
            <w:p>
              <w:pPr>
                <w:widowControl w:val="0"/>
                <w:suppressAutoHyphens/>
                <w:ind w:firstLine="567"/>
                <w:jc w:val="both"/>
                <w:rPr>
                  <w:color w:val="000000"/>
                </w:rPr>
              </w:pPr>
            </w:p>
            <w:p>
              <w:pPr>
                <w:widowControl w:val="0"/>
                <w:suppressAutoHyphens/>
                <w:ind w:firstLine="567"/>
                <w:jc w:val="both"/>
                <w:rPr>
                  <w:color w:val="000000"/>
                </w:rPr>
                <w:sectPr>
                  <w:pgSz w:w="11907" w:h="16840" w:code="9"/>
                  <w:pgMar w:top="1134" w:right="1134" w:bottom="1134" w:left="1701" w:header="567" w:footer="284" w:gutter="0"/>
                  <w:pgNumType w:start="1"/>
                  <w:cols w:space="1296"/>
                  <w:titlePg/>
                  <w:docGrid w:linePitch="360"/>
                </w:sectPr>
              </w:pPr>
            </w:p>
            <w:p>
              <w:pPr>
                <w:widowControl w:val="0"/>
                <w:suppressAutoHyphens/>
                <w:jc w:val="center"/>
                <w:rPr>
                  <w:color w:val="000000"/>
                </w:rPr>
              </w:pPr>
            </w:p>
          </w:sdtContent>
        </w:sdt>
        <w:sdt>
          <w:sdtPr>
            <w:alias w:val="skyrius"/>
            <w:tag w:val="part_c1a1094e2b3840b590b89d810116cc44"/>
            <w:lock w:val="sdtLocked"/>
            <w:richText/>
          </w:sdtPr>
          <w:sdtContent>
            <w:p>
              <w:pPr>
                <w:jc w:val="center"/>
                <w:rPr>
                  <w:b/>
                </w:rPr>
              </w:pPr>
              <w:sdt>
                <w:sdtPr>
                  <w:alias w:val="Numeris"/>
                  <w:tag w:val="nr_c1a1094e2b3840b590b89d810116cc44"/>
                  <w:lock w:val="sdtLocked"/>
                  <w:richText/>
                </w:sdtPr>
                <w:sdtContent>
                  <w:r>
                    <w:rPr>
                      <w:b/>
                    </w:rPr>
                    <w:t>III</w:t>
                  </w:r>
                </w:sdtContent>
              </w:sdt>
              <w:r>
                <w:rPr>
                  <w:b/>
                </w:rPr>
                <w:t xml:space="preserve">. </w:t>
              </w:r>
              <w:sdt>
                <w:sdtPr>
                  <w:alias w:val="Pavadinimas"/>
                  <w:tag w:val="title_c1a1094e2b3840b590b89d810116cc44"/>
                  <w:lock w:val="sdtLocked"/>
                  <w:richText/>
                </w:sdtPr>
                <w:sdtContent>
                  <w:r>
                    <w:rPr>
                      <w:b/>
                    </w:rPr>
                    <w:t xml:space="preserve">SPORTUOJANČIŲ ASMENŲ SVEIKATOS IŠTYRIMO PERIODIŠKUMAS </w:t>
                  </w:r>
                  <w:r>
                    <w:rPr>
                      <w:b/>
                      <w:caps/>
                    </w:rPr>
                    <w:t>ir PASLAUGŲ MASTAS</w:t>
                  </w:r>
                  <w:r>
                    <w:rPr>
                      <w:b/>
                    </w:rPr>
                    <w:t xml:space="preserve"> </w:t>
                  </w:r>
                </w:sdtContent>
              </w:sdt>
            </w:p>
            <w:p>
              <w:pPr>
                <w:jc w:val="center"/>
                <w:rPr>
                  <w:b/>
                </w:rPr>
              </w:pPr>
            </w:p>
            <w:tbl>
              <w:tblPr>
                <w:tblW w:w="14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38"/>
                <w:gridCol w:w="2280"/>
                <w:gridCol w:w="1459"/>
                <w:gridCol w:w="2644"/>
                <w:gridCol w:w="3465"/>
                <w:gridCol w:w="4254"/>
              </w:tblGrid>
              <w:tr>
                <w:trPr>
                  <w:trHeight w:val="20"/>
                  <w:tblHeader/>
                </w:trPr>
                <w:tc>
                  <w:tcPr>
                    <w:tcW w:w="638" w:type="dxa"/>
                  </w:tcPr>
                  <w:p>
                    <w:pPr>
                      <w:jc w:val="center"/>
                      <w:rPr>
                        <w:bCs/>
                        <w:sz w:val="20"/>
                      </w:rPr>
                    </w:pPr>
                    <w:r>
                      <w:rPr>
                        <w:bCs/>
                        <w:sz w:val="20"/>
                      </w:rPr>
                      <w:t>Eil. Nr.</w:t>
                    </w:r>
                  </w:p>
                </w:tc>
                <w:tc>
                  <w:tcPr>
                    <w:tcW w:w="2280" w:type="dxa"/>
                    <w:shd w:val="clear" w:color="auto" w:fill="auto"/>
                  </w:tcPr>
                  <w:p>
                    <w:pPr>
                      <w:jc w:val="center"/>
                      <w:rPr>
                        <w:bCs/>
                        <w:sz w:val="20"/>
                      </w:rPr>
                    </w:pPr>
                    <w:r>
                      <w:rPr>
                        <w:bCs/>
                        <w:sz w:val="20"/>
                      </w:rPr>
                      <w:t>Sportininkai, sporto šakos</w:t>
                    </w:r>
                  </w:p>
                </w:tc>
                <w:tc>
                  <w:tcPr>
                    <w:tcW w:w="1459" w:type="dxa"/>
                    <w:shd w:val="clear" w:color="auto" w:fill="auto"/>
                  </w:tcPr>
                  <w:p>
                    <w:pPr>
                      <w:jc w:val="center"/>
                      <w:rPr>
                        <w:bCs/>
                        <w:sz w:val="20"/>
                      </w:rPr>
                    </w:pPr>
                    <w:r>
                      <w:rPr>
                        <w:bCs/>
                        <w:sz w:val="20"/>
                      </w:rPr>
                      <w:t>Tikrinimų periodiškumas</w:t>
                    </w:r>
                  </w:p>
                </w:tc>
                <w:tc>
                  <w:tcPr>
                    <w:tcW w:w="2644" w:type="dxa"/>
                  </w:tcPr>
                  <w:p>
                    <w:pPr>
                      <w:jc w:val="center"/>
                      <w:rPr>
                        <w:bCs/>
                        <w:sz w:val="20"/>
                      </w:rPr>
                    </w:pPr>
                    <w:r>
                      <w:rPr>
                        <w:bCs/>
                        <w:sz w:val="20"/>
                      </w:rPr>
                      <w:t>Tikrinantys specialistai</w:t>
                    </w:r>
                  </w:p>
                </w:tc>
                <w:tc>
                  <w:tcPr>
                    <w:tcW w:w="3465" w:type="dxa"/>
                    <w:tcBorders>
                      <w:bottom w:val="single" w:sz="4" w:space="0" w:color="auto"/>
                    </w:tcBorders>
                    <w:shd w:val="clear" w:color="auto" w:fill="auto"/>
                  </w:tcPr>
                  <w:p>
                    <w:pPr>
                      <w:jc w:val="center"/>
                      <w:rPr>
                        <w:bCs/>
                        <w:sz w:val="20"/>
                      </w:rPr>
                    </w:pPr>
                    <w:r>
                      <w:rPr>
                        <w:bCs/>
                        <w:sz w:val="20"/>
                      </w:rPr>
                      <w:t>Tyrimų apimtis</w:t>
                    </w:r>
                  </w:p>
                </w:tc>
                <w:tc>
                  <w:tcPr>
                    <w:tcW w:w="4254" w:type="dxa"/>
                    <w:tcBorders>
                      <w:bottom w:val="single" w:sz="4" w:space="0" w:color="auto"/>
                    </w:tcBorders>
                    <w:shd w:val="clear" w:color="auto" w:fill="auto"/>
                  </w:tcPr>
                  <w:p>
                    <w:pPr>
                      <w:jc w:val="center"/>
                      <w:rPr>
                        <w:bCs/>
                        <w:sz w:val="20"/>
                      </w:rPr>
                    </w:pPr>
                    <w:r>
                      <w:rPr>
                        <w:bCs/>
                        <w:sz w:val="20"/>
                      </w:rPr>
                      <w:t>Pastabos</w:t>
                    </w:r>
                  </w:p>
                </w:tc>
              </w:tr>
              <w:tr>
                <w:trPr>
                  <w:trHeight w:val="510"/>
                </w:trPr>
                <w:tc>
                  <w:tcPr>
                    <w:tcW w:w="638" w:type="dxa"/>
                    <w:vMerge w:val="restart"/>
                  </w:tcPr>
                  <w:p>
                    <w:pPr>
                      <w:rPr>
                        <w:bCs/>
                        <w:sz w:val="20"/>
                        <w:lang w:val="en-US"/>
                      </w:rPr>
                    </w:pPr>
                    <w:r>
                      <w:rPr>
                        <w:bCs/>
                        <w:sz w:val="20"/>
                      </w:rPr>
                      <w:t>3.1.</w:t>
                    </w:r>
                  </w:p>
                </w:tc>
                <w:tc>
                  <w:tcPr>
                    <w:tcW w:w="2280" w:type="dxa"/>
                    <w:vMerge w:val="restart"/>
                    <w:shd w:val="clear" w:color="auto" w:fill="auto"/>
                  </w:tcPr>
                  <w:p>
                    <w:pPr>
                      <w:rPr>
                        <w:bCs/>
                        <w:sz w:val="20"/>
                      </w:rPr>
                    </w:pPr>
                    <w:r>
                      <w:rPr>
                        <w:bCs/>
                        <w:sz w:val="20"/>
                      </w:rPr>
                      <w:t>Sporto mokymo įstaigų pradinio rengimo grupės nariai</w:t>
                    </w:r>
                  </w:p>
                </w:tc>
                <w:tc>
                  <w:tcPr>
                    <w:tcW w:w="1459" w:type="dxa"/>
                    <w:vMerge w:val="restart"/>
                    <w:shd w:val="clear" w:color="auto" w:fill="auto"/>
                  </w:tcPr>
                  <w:p>
                    <w:pPr>
                      <w:rPr>
                        <w:bCs/>
                        <w:sz w:val="20"/>
                      </w:rPr>
                    </w:pPr>
                    <w:r>
                      <w:rPr>
                        <w:bCs/>
                        <w:sz w:val="20"/>
                      </w:rPr>
                      <w:t>1 kartą per 4 mėn.</w:t>
                    </w:r>
                  </w:p>
                </w:tc>
                <w:tc>
                  <w:tcPr>
                    <w:tcW w:w="2644" w:type="dxa"/>
                    <w:vMerge w:val="restart"/>
                  </w:tcPr>
                  <w:p>
                    <w:pPr>
                      <w:rPr>
                        <w:bCs/>
                        <w:sz w:val="20"/>
                        <w:lang w:val="pt-BR"/>
                      </w:rPr>
                    </w:pPr>
                    <w:r>
                      <w:rPr>
                        <w:bCs/>
                        <w:sz w:val="20"/>
                      </w:rPr>
                      <w:t>Šeimos medicinos paslaugas teikiantys gydytojai, oftalmologas, neurologas, otori</w:t>
                    </w:r>
                    <w:r>
                      <w:rPr>
                        <w:bCs/>
                        <w:sz w:val="20"/>
                        <w:lang w:val="pt-BR"/>
                      </w:rPr>
                      <w:t>nolaringologas, traumatologas ortopedas ir kiti specialistai pagal indikacijas</w:t>
                    </w:r>
                  </w:p>
                </w:tc>
                <w:tc>
                  <w:tcPr>
                    <w:tcW w:w="3465" w:type="dxa"/>
                    <w:tcBorders>
                      <w:bottom w:val="nil"/>
                    </w:tcBorders>
                    <w:shd w:val="clear" w:color="auto" w:fill="auto"/>
                  </w:tcPr>
                  <w:p>
                    <w:pPr>
                      <w:rPr>
                        <w:bCs/>
                        <w:sz w:val="20"/>
                        <w:lang w:val="pt-BR"/>
                      </w:rPr>
                    </w:pPr>
                    <w:r>
                      <w:rPr>
                        <w:bCs/>
                        <w:sz w:val="20"/>
                        <w:lang w:val="pt-BR"/>
                      </w:rPr>
                      <w:t>Fizinio išsivystymo ir judamojo aparato funkcinės būklės įvertinimas;</w:t>
                    </w:r>
                  </w:p>
                </w:tc>
                <w:tc>
                  <w:tcPr>
                    <w:tcW w:w="4254" w:type="dxa"/>
                    <w:tcBorders>
                      <w:bottom w:val="nil"/>
                    </w:tcBorders>
                    <w:shd w:val="clear" w:color="auto" w:fill="auto"/>
                  </w:tcPr>
                  <w:p>
                    <w:pPr>
                      <w:rPr>
                        <w:bCs/>
                        <w:sz w:val="20"/>
                        <w:lang w:val="pt-BR"/>
                      </w:rPr>
                    </w:pPr>
                    <w:r>
                      <w:rPr>
                        <w:bCs/>
                        <w:sz w:val="20"/>
                        <w:lang w:val="pt-BR"/>
                      </w:rPr>
                      <w:t>Kiekvienos apžiūros metu</w:t>
                    </w:r>
                  </w:p>
                </w:tc>
              </w:tr>
              <w:tr>
                <w:trPr>
                  <w:trHeight w:val="70"/>
                </w:trPr>
                <w:tc>
                  <w:tcPr>
                    <w:tcW w:w="638" w:type="dxa"/>
                    <w:vMerge/>
                  </w:tcPr>
                  <w:p>
                    <w:pPr>
                      <w:rPr>
                        <w:bCs/>
                        <w:sz w:val="20"/>
                      </w:rPr>
                    </w:pPr>
                  </w:p>
                </w:tc>
                <w:tc>
                  <w:tcPr>
                    <w:tcW w:w="2280" w:type="dxa"/>
                    <w:vMerge/>
                    <w:shd w:val="clear" w:color="auto" w:fill="auto"/>
                  </w:tcPr>
                  <w:p>
                    <w:pPr>
                      <w:rPr>
                        <w:bCs/>
                        <w:sz w:val="20"/>
                      </w:rPr>
                    </w:pPr>
                  </w:p>
                </w:tc>
                <w:tc>
                  <w:tcPr>
                    <w:tcW w:w="1459" w:type="dxa"/>
                    <w:vMerge/>
                    <w:shd w:val="clear" w:color="auto" w:fill="auto"/>
                  </w:tcPr>
                  <w:p>
                    <w:pPr>
                      <w:rPr>
                        <w:bCs/>
                        <w:sz w:val="20"/>
                      </w:rPr>
                    </w:pPr>
                  </w:p>
                </w:tc>
                <w:tc>
                  <w:tcPr>
                    <w:tcW w:w="2644" w:type="dxa"/>
                    <w:vMerge/>
                  </w:tcPr>
                  <w:p>
                    <w:pPr>
                      <w:rPr>
                        <w:bCs/>
                        <w:sz w:val="20"/>
                      </w:rPr>
                    </w:pPr>
                  </w:p>
                </w:tc>
                <w:tc>
                  <w:tcPr>
                    <w:tcW w:w="3465" w:type="dxa"/>
                    <w:tcBorders>
                      <w:top w:val="nil"/>
                      <w:bottom w:val="nil"/>
                    </w:tcBorders>
                    <w:shd w:val="clear" w:color="auto" w:fill="auto"/>
                  </w:tcPr>
                  <w:p>
                    <w:pPr>
                      <w:rPr>
                        <w:bCs/>
                        <w:sz w:val="20"/>
                        <w:lang w:val="pt-BR"/>
                      </w:rPr>
                    </w:pPr>
                    <w:r>
                      <w:rPr>
                        <w:bCs/>
                        <w:sz w:val="20"/>
                        <w:lang w:val="pt-BR"/>
                      </w:rPr>
                      <w:t>regos įvertinimas;</w:t>
                    </w:r>
                  </w:p>
                </w:tc>
                <w:tc>
                  <w:tcPr>
                    <w:tcW w:w="4254" w:type="dxa"/>
                    <w:tcBorders>
                      <w:top w:val="nil"/>
                      <w:bottom w:val="nil"/>
                    </w:tcBorders>
                    <w:shd w:val="clear" w:color="auto" w:fill="auto"/>
                  </w:tcPr>
                  <w:p>
                    <w:pPr>
                      <w:rPr>
                        <w:bCs/>
                        <w:sz w:val="20"/>
                        <w:lang w:val="pt-BR"/>
                      </w:rPr>
                    </w:pPr>
                    <w:r>
                      <w:rPr>
                        <w:bCs/>
                        <w:sz w:val="20"/>
                        <w:lang w:val="pt-BR"/>
                      </w:rPr>
                      <w:t>Kiekvienos apžiūros metu</w:t>
                    </w:r>
                  </w:p>
                </w:tc>
              </w:tr>
              <w:tr>
                <w:trPr>
                  <w:trHeight w:val="70"/>
                </w:trPr>
                <w:tc>
                  <w:tcPr>
                    <w:tcW w:w="638" w:type="dxa"/>
                    <w:vMerge/>
                  </w:tcPr>
                  <w:p>
                    <w:pPr>
                      <w:rPr>
                        <w:bCs/>
                        <w:sz w:val="20"/>
                      </w:rPr>
                    </w:pPr>
                  </w:p>
                </w:tc>
                <w:tc>
                  <w:tcPr>
                    <w:tcW w:w="2280" w:type="dxa"/>
                    <w:vMerge/>
                    <w:shd w:val="clear" w:color="auto" w:fill="auto"/>
                  </w:tcPr>
                  <w:p>
                    <w:pPr>
                      <w:rPr>
                        <w:bCs/>
                        <w:sz w:val="20"/>
                      </w:rPr>
                    </w:pPr>
                  </w:p>
                </w:tc>
                <w:tc>
                  <w:tcPr>
                    <w:tcW w:w="1459" w:type="dxa"/>
                    <w:vMerge/>
                    <w:shd w:val="clear" w:color="auto" w:fill="auto"/>
                  </w:tcPr>
                  <w:p>
                    <w:pPr>
                      <w:rPr>
                        <w:bCs/>
                        <w:sz w:val="20"/>
                      </w:rPr>
                    </w:pPr>
                  </w:p>
                </w:tc>
                <w:tc>
                  <w:tcPr>
                    <w:tcW w:w="2644" w:type="dxa"/>
                    <w:vMerge/>
                  </w:tcPr>
                  <w:p>
                    <w:pPr>
                      <w:rPr>
                        <w:bCs/>
                        <w:sz w:val="20"/>
                      </w:rPr>
                    </w:pPr>
                  </w:p>
                </w:tc>
                <w:tc>
                  <w:tcPr>
                    <w:tcW w:w="3465" w:type="dxa"/>
                    <w:tcBorders>
                      <w:top w:val="nil"/>
                      <w:bottom w:val="nil"/>
                    </w:tcBorders>
                    <w:shd w:val="clear" w:color="auto" w:fill="auto"/>
                  </w:tcPr>
                  <w:p>
                    <w:pPr>
                      <w:rPr>
                        <w:bCs/>
                        <w:sz w:val="20"/>
                        <w:lang w:val="pt-BR"/>
                      </w:rPr>
                    </w:pPr>
                    <w:r>
                      <w:rPr>
                        <w:bCs/>
                        <w:sz w:val="20"/>
                        <w:lang w:val="pt-BR"/>
                      </w:rPr>
                      <w:t>bendri kraujo ir šlapimo tyrimai;</w:t>
                    </w:r>
                  </w:p>
                </w:tc>
                <w:tc>
                  <w:tcPr>
                    <w:tcW w:w="4254" w:type="dxa"/>
                    <w:tcBorders>
                      <w:top w:val="nil"/>
                      <w:bottom w:val="nil"/>
                    </w:tcBorders>
                    <w:shd w:val="clear" w:color="auto" w:fill="auto"/>
                  </w:tcPr>
                  <w:p>
                    <w:pPr>
                      <w:rPr>
                        <w:bCs/>
                        <w:sz w:val="20"/>
                        <w:lang w:val="pt-BR"/>
                      </w:rPr>
                    </w:pPr>
                    <w:r>
                      <w:rPr>
                        <w:bCs/>
                        <w:sz w:val="20"/>
                        <w:lang w:val="pt-BR"/>
                      </w:rPr>
                      <w:t>Kartą per metus, esant indikacijų</w:t>
                    </w:r>
                  </w:p>
                </w:tc>
              </w:tr>
              <w:tr>
                <w:trPr>
                  <w:trHeight w:val="70"/>
                </w:trPr>
                <w:tc>
                  <w:tcPr>
                    <w:tcW w:w="638" w:type="dxa"/>
                    <w:vMerge/>
                  </w:tcPr>
                  <w:p>
                    <w:pPr>
                      <w:rPr>
                        <w:bCs/>
                        <w:sz w:val="20"/>
                      </w:rPr>
                    </w:pPr>
                  </w:p>
                </w:tc>
                <w:tc>
                  <w:tcPr>
                    <w:tcW w:w="2280" w:type="dxa"/>
                    <w:vMerge/>
                    <w:shd w:val="clear" w:color="auto" w:fill="auto"/>
                  </w:tcPr>
                  <w:p>
                    <w:pPr>
                      <w:rPr>
                        <w:bCs/>
                        <w:sz w:val="20"/>
                      </w:rPr>
                    </w:pPr>
                  </w:p>
                </w:tc>
                <w:tc>
                  <w:tcPr>
                    <w:tcW w:w="1459" w:type="dxa"/>
                    <w:vMerge/>
                    <w:shd w:val="clear" w:color="auto" w:fill="auto"/>
                  </w:tcPr>
                  <w:p>
                    <w:pPr>
                      <w:rPr>
                        <w:bCs/>
                        <w:sz w:val="20"/>
                      </w:rPr>
                    </w:pPr>
                  </w:p>
                </w:tc>
                <w:tc>
                  <w:tcPr>
                    <w:tcW w:w="2644" w:type="dxa"/>
                    <w:vMerge/>
                  </w:tcPr>
                  <w:p>
                    <w:pPr>
                      <w:rPr>
                        <w:bCs/>
                        <w:sz w:val="20"/>
                      </w:rPr>
                    </w:pPr>
                  </w:p>
                </w:tc>
                <w:tc>
                  <w:tcPr>
                    <w:tcW w:w="3465" w:type="dxa"/>
                    <w:tcBorders>
                      <w:top w:val="nil"/>
                      <w:bottom w:val="nil"/>
                    </w:tcBorders>
                    <w:shd w:val="clear" w:color="auto" w:fill="auto"/>
                  </w:tcPr>
                  <w:p>
                    <w:pPr>
                      <w:rPr>
                        <w:bCs/>
                        <w:sz w:val="20"/>
                        <w:lang w:val="pt-BR"/>
                      </w:rPr>
                    </w:pPr>
                    <w:r>
                      <w:rPr>
                        <w:bCs/>
                        <w:sz w:val="20"/>
                        <w:lang w:val="pt-BR"/>
                      </w:rPr>
                      <w:t>elektrokardiograma ramybėje;</w:t>
                    </w:r>
                  </w:p>
                </w:tc>
                <w:tc>
                  <w:tcPr>
                    <w:tcW w:w="4254" w:type="dxa"/>
                    <w:tcBorders>
                      <w:top w:val="nil"/>
                      <w:bottom w:val="nil"/>
                    </w:tcBorders>
                    <w:shd w:val="clear" w:color="auto" w:fill="auto"/>
                  </w:tcPr>
                  <w:p>
                    <w:pPr>
                      <w:rPr>
                        <w:bCs/>
                        <w:sz w:val="20"/>
                        <w:lang w:val="pt-BR"/>
                      </w:rPr>
                    </w:pPr>
                    <w:r>
                      <w:rPr>
                        <w:bCs/>
                        <w:sz w:val="20"/>
                        <w:lang w:val="pt-BR"/>
                      </w:rPr>
                      <w:t>Kiekvienos apžiūros metu arba pagal indikacijas</w:t>
                    </w:r>
                  </w:p>
                </w:tc>
              </w:tr>
              <w:tr>
                <w:trPr>
                  <w:trHeight w:val="70"/>
                </w:trPr>
                <w:tc>
                  <w:tcPr>
                    <w:tcW w:w="638" w:type="dxa"/>
                    <w:vMerge/>
                  </w:tcPr>
                  <w:p>
                    <w:pPr>
                      <w:rPr>
                        <w:bCs/>
                        <w:sz w:val="20"/>
                      </w:rPr>
                    </w:pPr>
                  </w:p>
                </w:tc>
                <w:tc>
                  <w:tcPr>
                    <w:tcW w:w="2280" w:type="dxa"/>
                    <w:vMerge/>
                    <w:shd w:val="clear" w:color="auto" w:fill="auto"/>
                  </w:tcPr>
                  <w:p>
                    <w:pPr>
                      <w:rPr>
                        <w:bCs/>
                        <w:sz w:val="20"/>
                      </w:rPr>
                    </w:pPr>
                  </w:p>
                </w:tc>
                <w:tc>
                  <w:tcPr>
                    <w:tcW w:w="1459" w:type="dxa"/>
                    <w:vMerge/>
                    <w:shd w:val="clear" w:color="auto" w:fill="auto"/>
                  </w:tcPr>
                  <w:p>
                    <w:pPr>
                      <w:rPr>
                        <w:bCs/>
                        <w:sz w:val="20"/>
                      </w:rPr>
                    </w:pPr>
                  </w:p>
                </w:tc>
                <w:tc>
                  <w:tcPr>
                    <w:tcW w:w="2644" w:type="dxa"/>
                    <w:vMerge/>
                  </w:tcPr>
                  <w:p>
                    <w:pPr>
                      <w:rPr>
                        <w:bCs/>
                        <w:sz w:val="20"/>
                      </w:rPr>
                    </w:pPr>
                  </w:p>
                </w:tc>
                <w:tc>
                  <w:tcPr>
                    <w:tcW w:w="3465" w:type="dxa"/>
                    <w:tcBorders>
                      <w:top w:val="nil"/>
                      <w:bottom w:val="nil"/>
                    </w:tcBorders>
                    <w:shd w:val="clear" w:color="auto" w:fill="auto"/>
                  </w:tcPr>
                  <w:p>
                    <w:pPr>
                      <w:rPr>
                        <w:bCs/>
                        <w:sz w:val="20"/>
                        <w:lang w:val="pt-BR"/>
                      </w:rPr>
                    </w:pPr>
                    <w:r>
                      <w:rPr>
                        <w:bCs/>
                        <w:sz w:val="20"/>
                        <w:lang w:val="pt-BR"/>
                      </w:rPr>
                      <w:t>kitų specialistų privalomi tyimai pagal indikacijas, tarp jų elektrokardiograma su apkrova;</w:t>
                    </w:r>
                  </w:p>
                </w:tc>
                <w:tc>
                  <w:tcPr>
                    <w:tcW w:w="4254" w:type="dxa"/>
                    <w:tcBorders>
                      <w:top w:val="nil"/>
                      <w:bottom w:val="nil"/>
                    </w:tcBorders>
                    <w:shd w:val="clear" w:color="auto" w:fill="auto"/>
                  </w:tcPr>
                  <w:p>
                    <w:pPr>
                      <w:rPr>
                        <w:bCs/>
                        <w:sz w:val="20"/>
                        <w:lang w:val="pt-BR"/>
                      </w:rPr>
                    </w:pPr>
                    <w:r>
                      <w:rPr>
                        <w:bCs/>
                        <w:sz w:val="20"/>
                        <w:lang w:val="pt-BR"/>
                      </w:rPr>
                      <w:t>Pirmos apžiūros metu</w:t>
                    </w:r>
                  </w:p>
                </w:tc>
              </w:tr>
              <w:tr>
                <w:trPr>
                  <w:trHeight w:val="750"/>
                </w:trPr>
                <w:tc>
                  <w:tcPr>
                    <w:tcW w:w="638" w:type="dxa"/>
                    <w:vMerge/>
                  </w:tcPr>
                  <w:p>
                    <w:pPr>
                      <w:rPr>
                        <w:bCs/>
                        <w:sz w:val="20"/>
                      </w:rPr>
                    </w:pPr>
                  </w:p>
                </w:tc>
                <w:tc>
                  <w:tcPr>
                    <w:tcW w:w="2280" w:type="dxa"/>
                    <w:vMerge/>
                    <w:shd w:val="clear" w:color="auto" w:fill="auto"/>
                  </w:tcPr>
                  <w:p>
                    <w:pPr>
                      <w:rPr>
                        <w:bCs/>
                        <w:sz w:val="20"/>
                      </w:rPr>
                    </w:pPr>
                  </w:p>
                </w:tc>
                <w:tc>
                  <w:tcPr>
                    <w:tcW w:w="1459" w:type="dxa"/>
                    <w:vMerge/>
                    <w:shd w:val="clear" w:color="auto" w:fill="auto"/>
                  </w:tcPr>
                  <w:p>
                    <w:pPr>
                      <w:rPr>
                        <w:bCs/>
                        <w:sz w:val="20"/>
                      </w:rPr>
                    </w:pPr>
                  </w:p>
                </w:tc>
                <w:tc>
                  <w:tcPr>
                    <w:tcW w:w="2644" w:type="dxa"/>
                    <w:vMerge/>
                    <w:tcBorders>
                      <w:bottom w:val="single" w:sz="4" w:space="0" w:color="auto"/>
                    </w:tcBorders>
                  </w:tcPr>
                  <w:p>
                    <w:pPr>
                      <w:rPr>
                        <w:bCs/>
                        <w:sz w:val="20"/>
                      </w:rPr>
                    </w:pPr>
                  </w:p>
                </w:tc>
                <w:tc>
                  <w:tcPr>
                    <w:tcW w:w="3465" w:type="dxa"/>
                    <w:tcBorders>
                      <w:top w:val="nil"/>
                      <w:bottom w:val="single" w:sz="4" w:space="0" w:color="auto"/>
                    </w:tcBorders>
                    <w:shd w:val="clear" w:color="auto" w:fill="auto"/>
                  </w:tcPr>
                  <w:p>
                    <w:pPr>
                      <w:rPr>
                        <w:bCs/>
                        <w:sz w:val="20"/>
                        <w:lang w:val="pt-BR"/>
                      </w:rPr>
                    </w:pPr>
                    <w:r>
                      <w:rPr>
                        <w:bCs/>
                        <w:sz w:val="20"/>
                        <w:lang w:val="pt-BR"/>
                      </w:rPr>
                      <w:t>ergometrija arba fizinio krūvio mėginys, atsižvelgiant į tiriamojo amžių, registruojant atsigavimą 3–5 min.</w:t>
                    </w:r>
                  </w:p>
                </w:tc>
                <w:tc>
                  <w:tcPr>
                    <w:tcW w:w="4254" w:type="dxa"/>
                    <w:tcBorders>
                      <w:top w:val="nil"/>
                      <w:bottom w:val="single" w:sz="4" w:space="0" w:color="auto"/>
                    </w:tcBorders>
                    <w:shd w:val="clear" w:color="auto" w:fill="auto"/>
                  </w:tcPr>
                  <w:p>
                    <w:pPr>
                      <w:rPr>
                        <w:bCs/>
                        <w:sz w:val="20"/>
                        <w:lang w:val="pt-BR"/>
                      </w:rPr>
                    </w:pPr>
                    <w:r>
                      <w:rPr>
                        <w:bCs/>
                        <w:sz w:val="20"/>
                        <w:lang w:val="pt-BR"/>
                      </w:rPr>
                      <w:t>Pagal indikacijas</w:t>
                    </w:r>
                  </w:p>
                </w:tc>
              </w:tr>
              <w:tr>
                <w:trPr>
                  <w:trHeight w:val="495"/>
                </w:trPr>
                <w:tc>
                  <w:tcPr>
                    <w:tcW w:w="638" w:type="dxa"/>
                    <w:vMerge w:val="restart"/>
                  </w:tcPr>
                  <w:p>
                    <w:pPr>
                      <w:rPr>
                        <w:bCs/>
                        <w:sz w:val="20"/>
                        <w:lang w:val="pt-BR"/>
                      </w:rPr>
                    </w:pPr>
                    <w:r>
                      <w:rPr>
                        <w:bCs/>
                        <w:sz w:val="20"/>
                        <w:lang w:val="pt-BR"/>
                      </w:rPr>
                      <w:t>3.2.</w:t>
                    </w:r>
                  </w:p>
                </w:tc>
                <w:tc>
                  <w:tcPr>
                    <w:tcW w:w="2280" w:type="dxa"/>
                    <w:vMerge w:val="restart"/>
                    <w:shd w:val="clear" w:color="auto" w:fill="auto"/>
                  </w:tcPr>
                  <w:p>
                    <w:pPr>
                      <w:rPr>
                        <w:bCs/>
                        <w:sz w:val="20"/>
                        <w:lang w:val="pt-BR"/>
                      </w:rPr>
                    </w:pPr>
                    <w:r>
                      <w:rPr>
                        <w:bCs/>
                        <w:sz w:val="20"/>
                        <w:lang w:val="pt-BR"/>
                      </w:rPr>
                      <w:t>Reguliariai sportuojantys ir dalyvaujantys sporto varžybose (sporto klubų nariai, sporto mokymo įstaigų, sporto centrų auklėtiniai)</w:t>
                    </w:r>
                  </w:p>
                </w:tc>
                <w:tc>
                  <w:tcPr>
                    <w:tcW w:w="1459" w:type="dxa"/>
                    <w:vMerge w:val="restart"/>
                    <w:shd w:val="clear" w:color="auto" w:fill="auto"/>
                  </w:tcPr>
                  <w:p>
                    <w:pPr>
                      <w:rPr>
                        <w:bCs/>
                        <w:sz w:val="20"/>
                      </w:rPr>
                    </w:pPr>
                    <w:r>
                      <w:rPr>
                        <w:bCs/>
                        <w:sz w:val="20"/>
                      </w:rPr>
                      <w:t>1 kartą per 4 mėn.</w:t>
                    </w:r>
                  </w:p>
                </w:tc>
                <w:tc>
                  <w:tcPr>
                    <w:tcW w:w="2644" w:type="dxa"/>
                    <w:tcBorders>
                      <w:bottom w:val="nil"/>
                    </w:tcBorders>
                  </w:tcPr>
                  <w:p>
                    <w:pPr>
                      <w:rPr>
                        <w:bCs/>
                        <w:sz w:val="20"/>
                        <w:lang w:val="pt-BR"/>
                      </w:rPr>
                    </w:pPr>
                    <w:r>
                      <w:rPr>
                        <w:bCs/>
                        <w:sz w:val="20"/>
                        <w:lang w:val="pt-BR"/>
                      </w:rPr>
                      <w:t xml:space="preserve">Sporto medicinos gydytojas </w:t>
                    </w:r>
                  </w:p>
                </w:tc>
                <w:tc>
                  <w:tcPr>
                    <w:tcW w:w="3465" w:type="dxa"/>
                    <w:tcBorders>
                      <w:bottom w:val="nil"/>
                    </w:tcBorders>
                    <w:shd w:val="clear" w:color="auto" w:fill="auto"/>
                  </w:tcPr>
                  <w:p>
                    <w:pPr>
                      <w:rPr>
                        <w:bCs/>
                        <w:sz w:val="20"/>
                        <w:lang w:val="pt-BR"/>
                      </w:rPr>
                    </w:pPr>
                    <w:r>
                      <w:rPr>
                        <w:bCs/>
                        <w:sz w:val="20"/>
                        <w:lang w:val="pt-BR"/>
                      </w:rPr>
                      <w:t>Kaip 3.1 punkte ir papildomai:</w:t>
                    </w:r>
                  </w:p>
                  <w:p>
                    <w:pPr>
                      <w:rPr>
                        <w:bCs/>
                        <w:sz w:val="20"/>
                        <w:lang w:val="pt-BR"/>
                      </w:rPr>
                    </w:pPr>
                    <w:r>
                      <w:rPr>
                        <w:bCs/>
                        <w:sz w:val="20"/>
                        <w:lang w:val="pt-BR"/>
                      </w:rPr>
                      <w:t>plaučių funkcijos mėginiai;</w:t>
                    </w:r>
                  </w:p>
                </w:tc>
                <w:tc>
                  <w:tcPr>
                    <w:tcW w:w="4254" w:type="dxa"/>
                    <w:tcBorders>
                      <w:bottom w:val="nil"/>
                    </w:tcBorders>
                    <w:shd w:val="clear" w:color="auto" w:fill="auto"/>
                  </w:tcPr>
                  <w:p>
                    <w:pPr>
                      <w:tabs>
                        <w:tab w:val="left" w:pos="4572"/>
                        <w:tab w:val="left" w:pos="4662"/>
                        <w:tab w:val="left" w:pos="4842"/>
                      </w:tabs>
                      <w:ind w:right="1006"/>
                      <w:rPr>
                        <w:bCs/>
                        <w:sz w:val="20"/>
                        <w:lang w:val="pt-BR"/>
                      </w:rPr>
                    </w:pPr>
                    <w:r>
                      <w:rPr>
                        <w:bCs/>
                        <w:sz w:val="20"/>
                        <w:lang w:val="pt-BR"/>
                      </w:rPr>
                      <w:t>Pirmos apžiūros metu arba pagal indikacijas</w:t>
                    </w:r>
                  </w:p>
                </w:tc>
              </w:tr>
              <w:tr>
                <w:trPr>
                  <w:trHeight w:val="70"/>
                </w:trPr>
                <w:tc>
                  <w:tcPr>
                    <w:tcW w:w="638" w:type="dxa"/>
                    <w:vMerge/>
                  </w:tcPr>
                  <w:p>
                    <w:pPr>
                      <w:rPr>
                        <w:bCs/>
                        <w:sz w:val="20"/>
                        <w:lang w:val="pt-BR"/>
                      </w:rPr>
                    </w:pPr>
                  </w:p>
                </w:tc>
                <w:tc>
                  <w:tcPr>
                    <w:tcW w:w="2280" w:type="dxa"/>
                    <w:vMerge/>
                    <w:shd w:val="clear" w:color="auto" w:fill="auto"/>
                  </w:tcPr>
                  <w:p>
                    <w:pPr>
                      <w:rPr>
                        <w:bCs/>
                        <w:sz w:val="20"/>
                        <w:lang w:val="pt-BR"/>
                      </w:rPr>
                    </w:pPr>
                  </w:p>
                </w:tc>
                <w:tc>
                  <w:tcPr>
                    <w:tcW w:w="1459" w:type="dxa"/>
                    <w:vMerge/>
                    <w:shd w:val="clear" w:color="auto" w:fill="auto"/>
                  </w:tcPr>
                  <w:p>
                    <w:pPr>
                      <w:rPr>
                        <w:bCs/>
                        <w:sz w:val="20"/>
                      </w:rPr>
                    </w:pPr>
                  </w:p>
                </w:tc>
                <w:tc>
                  <w:tcPr>
                    <w:tcW w:w="2644" w:type="dxa"/>
                    <w:tcBorders>
                      <w:top w:val="nil"/>
                      <w:bottom w:val="nil"/>
                    </w:tcBorders>
                  </w:tcPr>
                  <w:p>
                    <w:pPr>
                      <w:rPr>
                        <w:bCs/>
                        <w:sz w:val="20"/>
                        <w:lang w:val="pt-BR"/>
                      </w:rPr>
                    </w:pPr>
                  </w:p>
                </w:tc>
                <w:tc>
                  <w:tcPr>
                    <w:tcW w:w="3465" w:type="dxa"/>
                    <w:tcBorders>
                      <w:top w:val="nil"/>
                      <w:bottom w:val="nil"/>
                    </w:tcBorders>
                    <w:shd w:val="clear" w:color="auto" w:fill="auto"/>
                  </w:tcPr>
                  <w:p>
                    <w:pPr>
                      <w:rPr>
                        <w:bCs/>
                        <w:sz w:val="20"/>
                        <w:lang w:val="pt-BR"/>
                      </w:rPr>
                    </w:pPr>
                    <w:r>
                      <w:rPr>
                        <w:bCs/>
                        <w:sz w:val="20"/>
                        <w:lang w:val="pt-BR"/>
                      </w:rPr>
                      <w:t xml:space="preserve">EKG su fizine apkrova ir registruojant atsigavimo periode 3–5 min. </w:t>
                    </w:r>
                  </w:p>
                </w:tc>
                <w:tc>
                  <w:tcPr>
                    <w:tcW w:w="4254" w:type="dxa"/>
                    <w:tcBorders>
                      <w:top w:val="nil"/>
                      <w:bottom w:val="nil"/>
                    </w:tcBorders>
                    <w:shd w:val="clear" w:color="auto" w:fill="auto"/>
                  </w:tcPr>
                  <w:p>
                    <w:pPr>
                      <w:tabs>
                        <w:tab w:val="left" w:pos="4572"/>
                        <w:tab w:val="left" w:pos="4662"/>
                        <w:tab w:val="left" w:pos="4842"/>
                      </w:tabs>
                      <w:ind w:right="1006"/>
                      <w:rPr>
                        <w:bCs/>
                        <w:sz w:val="20"/>
                        <w:lang w:val="pt-BR"/>
                      </w:rPr>
                    </w:pPr>
                    <w:r>
                      <w:rPr>
                        <w:bCs/>
                        <w:sz w:val="20"/>
                        <w:lang w:val="nl-NL"/>
                      </w:rPr>
                      <w:t>Kartą per metus arba pagal indikacijas</w:t>
                    </w:r>
                  </w:p>
                </w:tc>
              </w:tr>
              <w:tr>
                <w:trPr>
                  <w:trHeight w:val="70"/>
                </w:trPr>
                <w:tc>
                  <w:tcPr>
                    <w:tcW w:w="638" w:type="dxa"/>
                    <w:vMerge/>
                  </w:tcPr>
                  <w:p>
                    <w:pPr>
                      <w:rPr>
                        <w:bCs/>
                        <w:sz w:val="20"/>
                        <w:lang w:val="pt-BR"/>
                      </w:rPr>
                    </w:pPr>
                  </w:p>
                </w:tc>
                <w:tc>
                  <w:tcPr>
                    <w:tcW w:w="2280" w:type="dxa"/>
                    <w:vMerge/>
                    <w:shd w:val="clear" w:color="auto" w:fill="auto"/>
                  </w:tcPr>
                  <w:p>
                    <w:pPr>
                      <w:rPr>
                        <w:bCs/>
                        <w:sz w:val="20"/>
                        <w:lang w:val="pt-BR"/>
                      </w:rPr>
                    </w:pPr>
                  </w:p>
                </w:tc>
                <w:tc>
                  <w:tcPr>
                    <w:tcW w:w="1459" w:type="dxa"/>
                    <w:vMerge/>
                    <w:shd w:val="clear" w:color="auto" w:fill="auto"/>
                  </w:tcPr>
                  <w:p>
                    <w:pPr>
                      <w:rPr>
                        <w:bCs/>
                        <w:sz w:val="20"/>
                      </w:rPr>
                    </w:pPr>
                  </w:p>
                </w:tc>
                <w:tc>
                  <w:tcPr>
                    <w:tcW w:w="2644" w:type="dxa"/>
                    <w:tcBorders>
                      <w:top w:val="nil"/>
                      <w:bottom w:val="nil"/>
                    </w:tcBorders>
                  </w:tcPr>
                  <w:p>
                    <w:pPr>
                      <w:rPr>
                        <w:bCs/>
                        <w:sz w:val="20"/>
                      </w:rPr>
                    </w:pPr>
                  </w:p>
                </w:tc>
                <w:tc>
                  <w:tcPr>
                    <w:tcW w:w="3465" w:type="dxa"/>
                    <w:tcBorders>
                      <w:top w:val="nil"/>
                      <w:bottom w:val="nil"/>
                    </w:tcBorders>
                    <w:shd w:val="clear" w:color="auto" w:fill="auto"/>
                  </w:tcPr>
                  <w:p>
                    <w:pPr>
                      <w:rPr>
                        <w:bCs/>
                        <w:sz w:val="20"/>
                        <w:lang w:val="pt-BR"/>
                      </w:rPr>
                    </w:pPr>
                    <w:r>
                      <w:rPr>
                        <w:bCs/>
                        <w:sz w:val="20"/>
                      </w:rPr>
                      <w:t>š</w:t>
                    </w:r>
                    <w:r>
                      <w:rPr>
                        <w:bCs/>
                        <w:sz w:val="20"/>
                        <w:lang w:val="pt-BR"/>
                      </w:rPr>
                      <w:t>irdies echoskopija</w:t>
                    </w:r>
                  </w:p>
                </w:tc>
                <w:tc>
                  <w:tcPr>
                    <w:tcW w:w="4254" w:type="dxa"/>
                    <w:tcBorders>
                      <w:top w:val="nil"/>
                      <w:bottom w:val="nil"/>
                    </w:tcBorders>
                    <w:shd w:val="clear" w:color="auto" w:fill="auto"/>
                  </w:tcPr>
                  <w:p>
                    <w:pPr>
                      <w:rPr>
                        <w:bCs/>
                        <w:sz w:val="20"/>
                        <w:lang w:val="pt-BR"/>
                      </w:rPr>
                    </w:pPr>
                    <w:r>
                      <w:rPr>
                        <w:bCs/>
                        <w:sz w:val="20"/>
                        <w:lang w:val="pt-BR"/>
                      </w:rPr>
                      <w:t>Reguliariai sportuojant 1 kartą per metus arba pagal indikacijas</w:t>
                    </w:r>
                  </w:p>
                </w:tc>
              </w:tr>
              <w:tr>
                <w:trPr>
                  <w:trHeight w:val="840"/>
                </w:trPr>
                <w:tc>
                  <w:tcPr>
                    <w:tcW w:w="638" w:type="dxa"/>
                    <w:vMerge/>
                  </w:tcPr>
                  <w:p>
                    <w:pPr>
                      <w:rPr>
                        <w:bCs/>
                        <w:sz w:val="20"/>
                        <w:lang w:val="pt-BR"/>
                      </w:rPr>
                    </w:pPr>
                  </w:p>
                </w:tc>
                <w:tc>
                  <w:tcPr>
                    <w:tcW w:w="2280" w:type="dxa"/>
                    <w:vMerge/>
                    <w:shd w:val="clear" w:color="auto" w:fill="auto"/>
                  </w:tcPr>
                  <w:p>
                    <w:pPr>
                      <w:rPr>
                        <w:bCs/>
                        <w:sz w:val="20"/>
                        <w:lang w:val="pt-BR"/>
                      </w:rPr>
                    </w:pPr>
                  </w:p>
                </w:tc>
                <w:tc>
                  <w:tcPr>
                    <w:tcW w:w="1459" w:type="dxa"/>
                    <w:vMerge/>
                    <w:shd w:val="clear" w:color="auto" w:fill="auto"/>
                  </w:tcPr>
                  <w:p>
                    <w:pPr>
                      <w:rPr>
                        <w:bCs/>
                        <w:sz w:val="20"/>
                      </w:rPr>
                    </w:pPr>
                  </w:p>
                </w:tc>
                <w:tc>
                  <w:tcPr>
                    <w:tcW w:w="2644" w:type="dxa"/>
                    <w:tcBorders>
                      <w:top w:val="nil"/>
                    </w:tcBorders>
                  </w:tcPr>
                  <w:p>
                    <w:pPr>
                      <w:rPr>
                        <w:bCs/>
                        <w:sz w:val="20"/>
                      </w:rPr>
                    </w:pPr>
                    <w:r>
                      <w:rPr>
                        <w:bCs/>
                        <w:sz w:val="20"/>
                      </w:rPr>
                      <w:t>oftalmologas, neurologas, otori</w:t>
                    </w:r>
                    <w:r>
                      <w:rPr>
                        <w:bCs/>
                        <w:sz w:val="20"/>
                        <w:lang w:val="pt-BR"/>
                      </w:rPr>
                      <w:t xml:space="preserve">nolaringologas, traumatologas ortopedas ir kiti specialistai pagal indikacijas </w:t>
                    </w:r>
                  </w:p>
                </w:tc>
                <w:tc>
                  <w:tcPr>
                    <w:tcW w:w="3465" w:type="dxa"/>
                    <w:tcBorders>
                      <w:top w:val="nil"/>
                    </w:tcBorders>
                    <w:shd w:val="clear" w:color="auto" w:fill="auto"/>
                  </w:tcPr>
                  <w:p>
                    <w:pPr>
                      <w:rPr>
                        <w:bCs/>
                        <w:sz w:val="20"/>
                        <w:lang w:val="pt-BR"/>
                      </w:rPr>
                    </w:pPr>
                  </w:p>
                </w:tc>
                <w:tc>
                  <w:tcPr>
                    <w:tcW w:w="4254" w:type="dxa"/>
                    <w:tcBorders>
                      <w:top w:val="nil"/>
                    </w:tcBorders>
                    <w:shd w:val="clear" w:color="auto" w:fill="auto"/>
                  </w:tcPr>
                  <w:p>
                    <w:pPr>
                      <w:tabs>
                        <w:tab w:val="left" w:pos="4572"/>
                        <w:tab w:val="left" w:pos="4662"/>
                        <w:tab w:val="left" w:pos="4842"/>
                      </w:tabs>
                      <w:ind w:right="1006"/>
                      <w:rPr>
                        <w:bCs/>
                        <w:sz w:val="20"/>
                        <w:lang w:val="nl-NL"/>
                      </w:rPr>
                    </w:pPr>
                    <w:r>
                      <w:rPr>
                        <w:bCs/>
                        <w:sz w:val="20"/>
                        <w:lang w:val="pt-BR"/>
                      </w:rPr>
                      <w:t>Pagal indikacijas</w:t>
                    </w:r>
                  </w:p>
                </w:tc>
              </w:tr>
              <w:tr>
                <w:trPr>
                  <w:trHeight w:val="20"/>
                </w:trPr>
                <w:tc>
                  <w:tcPr>
                    <w:tcW w:w="638" w:type="dxa"/>
                  </w:tcPr>
                  <w:p>
                    <w:pPr>
                      <w:widowControl w:val="0"/>
                      <w:rPr>
                        <w:bCs/>
                        <w:sz w:val="20"/>
                        <w:lang w:val="pt-BR"/>
                      </w:rPr>
                    </w:pPr>
                    <w:r>
                      <w:rPr>
                        <w:bCs/>
                        <w:sz w:val="20"/>
                        <w:lang w:val="pt-BR"/>
                      </w:rPr>
                      <w:t>3.3</w:t>
                    </w:r>
                  </w:p>
                </w:tc>
                <w:tc>
                  <w:tcPr>
                    <w:tcW w:w="2280" w:type="dxa"/>
                    <w:shd w:val="clear" w:color="auto" w:fill="auto"/>
                  </w:tcPr>
                  <w:p>
                    <w:pPr>
                      <w:widowControl w:val="0"/>
                      <w:rPr>
                        <w:bCs/>
                        <w:sz w:val="20"/>
                        <w:lang w:val="pt-BR"/>
                      </w:rPr>
                    </w:pPr>
                    <w:r>
                      <w:rPr>
                        <w:bCs/>
                        <w:sz w:val="20"/>
                        <w:lang w:val="pt-BR"/>
                      </w:rPr>
                      <w:t xml:space="preserve">Lietuvos olimpinės rinktinės ir sporto šakų rinktinių nariai </w:t>
                    </w:r>
                  </w:p>
                </w:tc>
                <w:tc>
                  <w:tcPr>
                    <w:tcW w:w="1459" w:type="dxa"/>
                    <w:shd w:val="clear" w:color="auto" w:fill="auto"/>
                  </w:tcPr>
                  <w:p>
                    <w:pPr>
                      <w:widowControl w:val="0"/>
                      <w:rPr>
                        <w:bCs/>
                        <w:sz w:val="20"/>
                      </w:rPr>
                    </w:pPr>
                    <w:r>
                      <w:rPr>
                        <w:bCs/>
                        <w:sz w:val="20"/>
                      </w:rPr>
                      <w:t>1 kartą per 3–4 mėn.</w:t>
                    </w:r>
                  </w:p>
                </w:tc>
                <w:tc>
                  <w:tcPr>
                    <w:tcW w:w="2644" w:type="dxa"/>
                  </w:tcPr>
                  <w:p>
                    <w:pPr>
                      <w:widowControl w:val="0"/>
                      <w:rPr>
                        <w:bCs/>
                        <w:sz w:val="20"/>
                        <w:lang w:val="pt-BR"/>
                      </w:rPr>
                    </w:pPr>
                    <w:r>
                      <w:rPr>
                        <w:bCs/>
                        <w:sz w:val="20"/>
                        <w:lang w:val="pt-BR"/>
                      </w:rPr>
                      <w:t xml:space="preserve">Sporto medicinos gydytojas, </w:t>
                    </w:r>
                    <w:r>
                      <w:rPr>
                        <w:bCs/>
                        <w:sz w:val="20"/>
                      </w:rPr>
                      <w:t>oftalmologas, neurologas, otori</w:t>
                    </w:r>
                    <w:r>
                      <w:rPr>
                        <w:bCs/>
                        <w:sz w:val="20"/>
                        <w:lang w:val="pt-BR"/>
                      </w:rPr>
                      <w:t xml:space="preserve">nolaringologas, traumatologas ortopedas, kiti specialistai pagal indikacijas </w:t>
                    </w:r>
                  </w:p>
                </w:tc>
                <w:tc>
                  <w:tcPr>
                    <w:tcW w:w="3465" w:type="dxa"/>
                    <w:shd w:val="clear" w:color="auto" w:fill="auto"/>
                  </w:tcPr>
                  <w:p>
                    <w:pPr>
                      <w:widowControl w:val="0"/>
                      <w:rPr>
                        <w:bCs/>
                        <w:sz w:val="20"/>
                        <w:lang w:val="pt-BR"/>
                      </w:rPr>
                    </w:pPr>
                    <w:r>
                      <w:rPr>
                        <w:bCs/>
                        <w:sz w:val="20"/>
                        <w:lang w:val="pt-BR"/>
                      </w:rPr>
                      <w:t>Išplėstiniai, etapiniai ir operatyviniai tyrimai pagal atskirą sporto šakų atstovų ištyrimo programą, patvirtintą bendru Kūno kultūros ir sporto departamento generalinio direktoriaus ir sveikatos apsaugos ministro įsakymu.</w:t>
                    </w:r>
                  </w:p>
                </w:tc>
                <w:tc>
                  <w:tcPr>
                    <w:tcW w:w="4254" w:type="dxa"/>
                    <w:shd w:val="clear" w:color="auto" w:fill="auto"/>
                  </w:tcPr>
                  <w:p>
                    <w:pPr>
                      <w:widowControl w:val="0"/>
                      <w:rPr>
                        <w:bCs/>
                        <w:sz w:val="20"/>
                        <w:lang w:val="pt-BR"/>
                      </w:rPr>
                    </w:pPr>
                    <w:r>
                      <w:rPr>
                        <w:bCs/>
                        <w:sz w:val="20"/>
                        <w:lang w:val="pt-BR"/>
                      </w:rPr>
                      <w:t>Olimpinių rinktinių narių išsamūs tyrimai atliekami Vilniaus sporto medicinos centre. Kituose sporto medicinos centruose išsamūs tyrimai olimpiečiams atliekami tik suderinus su LOSC ar VSMC</w:t>
                    </w:r>
                  </w:p>
                </w:tc>
              </w:tr>
              <w:tr>
                <w:trPr>
                  <w:trHeight w:val="20"/>
                </w:trPr>
                <w:tc>
                  <w:tcPr>
                    <w:tcW w:w="638" w:type="dxa"/>
                  </w:tcPr>
                  <w:p>
                    <w:pPr>
                      <w:rPr>
                        <w:bCs/>
                        <w:sz w:val="20"/>
                      </w:rPr>
                    </w:pPr>
                    <w:r>
                      <w:rPr>
                        <w:bCs/>
                        <w:sz w:val="20"/>
                      </w:rPr>
                      <w:t>3.4.</w:t>
                    </w:r>
                  </w:p>
                </w:tc>
                <w:tc>
                  <w:tcPr>
                    <w:tcW w:w="2280" w:type="dxa"/>
                    <w:shd w:val="clear" w:color="auto" w:fill="auto"/>
                  </w:tcPr>
                  <w:p>
                    <w:pPr>
                      <w:rPr>
                        <w:bCs/>
                        <w:sz w:val="20"/>
                      </w:rPr>
                    </w:pPr>
                    <w:r>
                      <w:rPr>
                        <w:bCs/>
                        <w:sz w:val="20"/>
                      </w:rPr>
                      <w:t>Neįgalieji sportininkai</w:t>
                    </w:r>
                  </w:p>
                </w:tc>
                <w:tc>
                  <w:tcPr>
                    <w:tcW w:w="1459" w:type="dxa"/>
                    <w:shd w:val="clear" w:color="auto" w:fill="auto"/>
                  </w:tcPr>
                  <w:p>
                    <w:pPr>
                      <w:rPr>
                        <w:bCs/>
                        <w:sz w:val="20"/>
                      </w:rPr>
                    </w:pPr>
                    <w:r>
                      <w:rPr>
                        <w:bCs/>
                        <w:sz w:val="20"/>
                      </w:rPr>
                      <w:t>1 kartą per 6 mėn.</w:t>
                    </w:r>
                  </w:p>
                </w:tc>
                <w:tc>
                  <w:tcPr>
                    <w:tcW w:w="2644" w:type="dxa"/>
                    <w:tcBorders>
                      <w:bottom w:val="single" w:sz="4" w:space="0" w:color="auto"/>
                    </w:tcBorders>
                  </w:tcPr>
                  <w:p>
                    <w:pPr>
                      <w:rPr>
                        <w:bCs/>
                        <w:sz w:val="20"/>
                      </w:rPr>
                    </w:pPr>
                    <w:r>
                      <w:rPr>
                        <w:bCs/>
                        <w:sz w:val="20"/>
                      </w:rPr>
                      <w:t>Sporto medicinos, fizinės medicinos ir reabilitacijos gydytojas ir kiti specialistai pagal indikacijas</w:t>
                    </w:r>
                  </w:p>
                </w:tc>
                <w:tc>
                  <w:tcPr>
                    <w:tcW w:w="3465" w:type="dxa"/>
                    <w:tcBorders>
                      <w:bottom w:val="single" w:sz="4" w:space="0" w:color="auto"/>
                    </w:tcBorders>
                    <w:shd w:val="clear" w:color="auto" w:fill="auto"/>
                  </w:tcPr>
                  <w:p>
                    <w:pPr>
                      <w:rPr>
                        <w:bCs/>
                        <w:sz w:val="20"/>
                        <w:lang w:val="pt-BR"/>
                      </w:rPr>
                    </w:pPr>
                    <w:r>
                      <w:rPr>
                        <w:bCs/>
                        <w:sz w:val="20"/>
                      </w:rPr>
                      <w:t>Pradedant sportuoti nus</w:t>
                    </w:r>
                    <w:r>
                      <w:rPr>
                        <w:bCs/>
                        <w:sz w:val="20"/>
                        <w:lang w:val="pt-BR"/>
                      </w:rPr>
                      <w:t>tatoma medicininė-funkcinė klasifikacija. Fizinio išsivystymo ir judamojo aparato funkcinės būklės įvertinimas (matuojama be protezų), regos aštrumas. Bendri kraujo ir šlapimo tyrimai. EKG ramybės būsenos (neįgaliesiems su judamojo aparato negalia, su cerebriniu paralyžiumi ir stuburo smegenų pažeidimu). Kurtiesiems ir blogai matantiems – EKG ramybės būsenos ir su apkrova</w:t>
                    </w:r>
                  </w:p>
                </w:tc>
                <w:tc>
                  <w:tcPr>
                    <w:tcW w:w="4254" w:type="dxa"/>
                    <w:tcBorders>
                      <w:bottom w:val="single" w:sz="4" w:space="0" w:color="auto"/>
                    </w:tcBorders>
                    <w:shd w:val="clear" w:color="auto" w:fill="auto"/>
                  </w:tcPr>
                  <w:p>
                    <w:pPr>
                      <w:ind w:firstLine="55"/>
                      <w:rPr>
                        <w:bCs/>
                        <w:sz w:val="20"/>
                        <w:lang w:val="pt-BR"/>
                      </w:rPr>
                    </w:pPr>
                  </w:p>
                </w:tc>
              </w:tr>
              <w:tr>
                <w:trPr>
                  <w:trHeight w:val="184"/>
                </w:trPr>
                <w:tc>
                  <w:tcPr>
                    <w:tcW w:w="638" w:type="dxa"/>
                    <w:vMerge w:val="restart"/>
                  </w:tcPr>
                  <w:p>
                    <w:pPr>
                      <w:rPr>
                        <w:bCs/>
                        <w:sz w:val="20"/>
                        <w:lang w:val="pt-BR"/>
                      </w:rPr>
                    </w:pPr>
                    <w:r>
                      <w:rPr>
                        <w:bCs/>
                        <w:sz w:val="20"/>
                        <w:lang w:val="pt-BR"/>
                      </w:rPr>
                      <w:t>3.5.</w:t>
                    </w:r>
                  </w:p>
                </w:tc>
                <w:tc>
                  <w:tcPr>
                    <w:tcW w:w="2280" w:type="dxa"/>
                    <w:vMerge w:val="restart"/>
                    <w:shd w:val="clear" w:color="auto" w:fill="auto"/>
                  </w:tcPr>
                  <w:p>
                    <w:pPr>
                      <w:rPr>
                        <w:bCs/>
                        <w:sz w:val="20"/>
                      </w:rPr>
                    </w:pPr>
                    <w:r>
                      <w:rPr>
                        <w:bCs/>
                        <w:sz w:val="20"/>
                        <w:lang w:val="pt-BR"/>
                      </w:rPr>
                      <w:t>Bokso, kikbokso, Rytų kovų menų treniruotes lankantys sportininkai</w:t>
                    </w:r>
                  </w:p>
                </w:tc>
                <w:tc>
                  <w:tcPr>
                    <w:tcW w:w="1459" w:type="dxa"/>
                    <w:vMerge w:val="restart"/>
                    <w:shd w:val="clear" w:color="auto" w:fill="auto"/>
                  </w:tcPr>
                  <w:p>
                    <w:pPr>
                      <w:rPr>
                        <w:bCs/>
                        <w:sz w:val="20"/>
                      </w:rPr>
                    </w:pPr>
                    <w:r>
                      <w:rPr>
                        <w:bCs/>
                        <w:sz w:val="20"/>
                      </w:rPr>
                      <w:t>1 kartą per 4 mėn.</w:t>
                    </w:r>
                  </w:p>
                </w:tc>
                <w:tc>
                  <w:tcPr>
                    <w:tcW w:w="2644" w:type="dxa"/>
                    <w:tcBorders>
                      <w:bottom w:val="nil"/>
                    </w:tcBorders>
                    <w:shd w:val="clear" w:color="auto" w:fill="auto"/>
                  </w:tcPr>
                  <w:p>
                    <w:pPr>
                      <w:rPr>
                        <w:bCs/>
                        <w:sz w:val="20"/>
                      </w:rPr>
                    </w:pPr>
                    <w:r>
                      <w:rPr>
                        <w:bCs/>
                        <w:sz w:val="20"/>
                      </w:rPr>
                      <w:t>Sporto medicinos gydytojas</w:t>
                    </w:r>
                  </w:p>
                </w:tc>
                <w:tc>
                  <w:tcPr>
                    <w:tcW w:w="3465" w:type="dxa"/>
                    <w:tcBorders>
                      <w:bottom w:val="nil"/>
                    </w:tcBorders>
                    <w:shd w:val="clear" w:color="auto" w:fill="auto"/>
                  </w:tcPr>
                  <w:p>
                    <w:pPr>
                      <w:rPr>
                        <w:bCs/>
                        <w:sz w:val="20"/>
                      </w:rPr>
                    </w:pPr>
                    <w:r>
                      <w:rPr>
                        <w:bCs/>
                        <w:sz w:val="20"/>
                      </w:rPr>
                      <w:t>Kaip 3.1 punkte ir papildomai:</w:t>
                    </w:r>
                  </w:p>
                  <w:p>
                    <w:pPr>
                      <w:rPr>
                        <w:bCs/>
                        <w:sz w:val="20"/>
                        <w:lang w:val="pt-BR"/>
                      </w:rPr>
                    </w:pPr>
                    <w:r>
                      <w:rPr>
                        <w:bCs/>
                        <w:sz w:val="20"/>
                      </w:rPr>
                      <w:t xml:space="preserve">plaučių funkcijos </w:t>
                    </w:r>
                    <w:r>
                      <w:rPr>
                        <w:bCs/>
                        <w:sz w:val="20"/>
                        <w:lang w:val="pt-BR"/>
                      </w:rPr>
                      <w:t>tyrimai;</w:t>
                    </w:r>
                  </w:p>
                </w:tc>
                <w:tc>
                  <w:tcPr>
                    <w:tcW w:w="4254" w:type="dxa"/>
                    <w:tcBorders>
                      <w:bottom w:val="nil"/>
                    </w:tcBorders>
                    <w:shd w:val="clear" w:color="auto" w:fill="auto"/>
                  </w:tcPr>
                  <w:p>
                    <w:pPr>
                      <w:rPr>
                        <w:bCs/>
                        <w:sz w:val="20"/>
                        <w:lang w:val="pt-BR"/>
                      </w:rPr>
                    </w:pPr>
                    <w:r>
                      <w:rPr>
                        <w:bCs/>
                        <w:sz w:val="20"/>
                        <w:lang w:val="pt-BR"/>
                      </w:rPr>
                      <w:t>Pagal indikacijas</w:t>
                    </w:r>
                  </w:p>
                </w:tc>
              </w:tr>
              <w:tr>
                <w:trPr>
                  <w:trHeight w:val="247"/>
                </w:trPr>
                <w:tc>
                  <w:tcPr>
                    <w:tcW w:w="638" w:type="dxa"/>
                    <w:vMerge/>
                  </w:tcPr>
                  <w:p>
                    <w:pPr>
                      <w:rPr>
                        <w:bCs/>
                        <w:sz w:val="20"/>
                        <w:lang w:val="pt-BR"/>
                      </w:rPr>
                    </w:pPr>
                  </w:p>
                </w:tc>
                <w:tc>
                  <w:tcPr>
                    <w:tcW w:w="2280" w:type="dxa"/>
                    <w:vMerge/>
                    <w:shd w:val="clear" w:color="auto" w:fill="auto"/>
                  </w:tcPr>
                  <w:p>
                    <w:pPr>
                      <w:rPr>
                        <w:bCs/>
                        <w:sz w:val="20"/>
                        <w:lang w:val="pt-BR"/>
                      </w:rPr>
                    </w:pPr>
                  </w:p>
                </w:tc>
                <w:tc>
                  <w:tcPr>
                    <w:tcW w:w="1459" w:type="dxa"/>
                    <w:vMerge/>
                    <w:shd w:val="clear" w:color="auto" w:fill="auto"/>
                  </w:tcPr>
                  <w:p>
                    <w:pPr>
                      <w:rPr>
                        <w:bCs/>
                        <w:sz w:val="20"/>
                      </w:rPr>
                    </w:pPr>
                  </w:p>
                </w:tc>
                <w:tc>
                  <w:tcPr>
                    <w:tcW w:w="2644" w:type="dxa"/>
                    <w:tcBorders>
                      <w:top w:val="nil"/>
                      <w:bottom w:val="nil"/>
                    </w:tcBorders>
                    <w:shd w:val="clear" w:color="auto" w:fill="auto"/>
                  </w:tcPr>
                  <w:p>
                    <w:pPr>
                      <w:rPr>
                        <w:bCs/>
                        <w:sz w:val="20"/>
                      </w:rPr>
                    </w:pPr>
                  </w:p>
                </w:tc>
                <w:tc>
                  <w:tcPr>
                    <w:tcW w:w="3465" w:type="dxa"/>
                    <w:tcBorders>
                      <w:top w:val="nil"/>
                      <w:bottom w:val="nil"/>
                    </w:tcBorders>
                    <w:shd w:val="clear" w:color="auto" w:fill="auto"/>
                  </w:tcPr>
                  <w:p>
                    <w:pPr>
                      <w:rPr>
                        <w:bCs/>
                        <w:sz w:val="20"/>
                      </w:rPr>
                    </w:pPr>
                    <w:r>
                      <w:rPr>
                        <w:bCs/>
                        <w:sz w:val="20"/>
                        <w:lang w:val="pt-BR"/>
                      </w:rPr>
                      <w:t xml:space="preserve">galimi papildomi tyrimai, atsižvelgiant į sporto šakos specifiką </w:t>
                    </w:r>
                  </w:p>
                </w:tc>
                <w:tc>
                  <w:tcPr>
                    <w:tcW w:w="4254" w:type="dxa"/>
                    <w:tcBorders>
                      <w:top w:val="nil"/>
                      <w:bottom w:val="nil"/>
                    </w:tcBorders>
                    <w:shd w:val="clear" w:color="auto" w:fill="auto"/>
                  </w:tcPr>
                  <w:p>
                    <w:pPr>
                      <w:rPr>
                        <w:bCs/>
                        <w:sz w:val="20"/>
                        <w:lang w:val="pt-BR"/>
                      </w:rPr>
                    </w:pPr>
                    <w:r>
                      <w:rPr>
                        <w:bCs/>
                        <w:sz w:val="20"/>
                        <w:lang w:val="pt-BR"/>
                      </w:rPr>
                      <w:t>Pagal indikacijas</w:t>
                    </w:r>
                  </w:p>
                </w:tc>
              </w:tr>
              <w:tr>
                <w:trPr>
                  <w:trHeight w:val="70"/>
                </w:trPr>
                <w:tc>
                  <w:tcPr>
                    <w:tcW w:w="638" w:type="dxa"/>
                    <w:vMerge/>
                  </w:tcPr>
                  <w:p>
                    <w:pPr>
                      <w:rPr>
                        <w:bCs/>
                        <w:sz w:val="20"/>
                        <w:lang w:val="pt-BR"/>
                      </w:rPr>
                    </w:pPr>
                  </w:p>
                </w:tc>
                <w:tc>
                  <w:tcPr>
                    <w:tcW w:w="2280" w:type="dxa"/>
                    <w:vMerge/>
                    <w:shd w:val="clear" w:color="auto" w:fill="auto"/>
                  </w:tcPr>
                  <w:p>
                    <w:pPr>
                      <w:rPr>
                        <w:bCs/>
                        <w:sz w:val="20"/>
                        <w:lang w:val="pt-BR"/>
                      </w:rPr>
                    </w:pPr>
                  </w:p>
                </w:tc>
                <w:tc>
                  <w:tcPr>
                    <w:tcW w:w="1459" w:type="dxa"/>
                    <w:vMerge/>
                    <w:shd w:val="clear" w:color="auto" w:fill="auto"/>
                  </w:tcPr>
                  <w:p>
                    <w:pPr>
                      <w:rPr>
                        <w:bCs/>
                        <w:sz w:val="20"/>
                      </w:rPr>
                    </w:pPr>
                  </w:p>
                </w:tc>
                <w:tc>
                  <w:tcPr>
                    <w:tcW w:w="2644" w:type="dxa"/>
                    <w:tcBorders>
                      <w:top w:val="nil"/>
                    </w:tcBorders>
                    <w:shd w:val="clear" w:color="auto" w:fill="auto"/>
                  </w:tcPr>
                  <w:p>
                    <w:pPr>
                      <w:rPr>
                        <w:bCs/>
                        <w:sz w:val="20"/>
                      </w:rPr>
                    </w:pPr>
                    <w:r>
                      <w:rPr>
                        <w:bCs/>
                        <w:sz w:val="20"/>
                      </w:rPr>
                      <w:t>oftalmologas, neurologas, otorinolaringologas</w:t>
                    </w:r>
                  </w:p>
                </w:tc>
                <w:tc>
                  <w:tcPr>
                    <w:tcW w:w="3465" w:type="dxa"/>
                    <w:tcBorders>
                      <w:top w:val="nil"/>
                    </w:tcBorders>
                    <w:shd w:val="clear" w:color="auto" w:fill="auto"/>
                  </w:tcPr>
                  <w:p>
                    <w:pPr>
                      <w:rPr>
                        <w:bCs/>
                        <w:sz w:val="20"/>
                        <w:lang w:val="pt-BR"/>
                      </w:rPr>
                    </w:pPr>
                  </w:p>
                </w:tc>
                <w:tc>
                  <w:tcPr>
                    <w:tcW w:w="4254" w:type="dxa"/>
                    <w:tcBorders>
                      <w:top w:val="nil"/>
                    </w:tcBorders>
                    <w:shd w:val="clear" w:color="auto" w:fill="auto"/>
                  </w:tcPr>
                  <w:p>
                    <w:pPr>
                      <w:rPr>
                        <w:bCs/>
                        <w:sz w:val="20"/>
                        <w:lang w:val="pt-BR"/>
                      </w:rPr>
                    </w:pPr>
                    <w:r>
                      <w:rPr>
                        <w:bCs/>
                        <w:sz w:val="20"/>
                        <w:lang w:val="pt-BR"/>
                      </w:rPr>
                      <w:t>Kartą per metus arba pagal indikacijas</w:t>
                    </w:r>
                  </w:p>
                </w:tc>
              </w:tr>
              <w:tr>
                <w:trPr>
                  <w:trHeight w:val="20"/>
                </w:trPr>
                <w:tc>
                  <w:tcPr>
                    <w:tcW w:w="638" w:type="dxa"/>
                  </w:tcPr>
                  <w:p>
                    <w:pPr>
                      <w:rPr>
                        <w:bCs/>
                        <w:sz w:val="20"/>
                        <w:lang w:val="pt-BR"/>
                      </w:rPr>
                    </w:pPr>
                    <w:r>
                      <w:rPr>
                        <w:bCs/>
                        <w:sz w:val="20"/>
                        <w:lang w:val="pt-BR"/>
                      </w:rPr>
                      <w:t>3.6.</w:t>
                    </w:r>
                  </w:p>
                </w:tc>
                <w:tc>
                  <w:tcPr>
                    <w:tcW w:w="2280" w:type="dxa"/>
                    <w:shd w:val="clear" w:color="auto" w:fill="auto"/>
                  </w:tcPr>
                  <w:p>
                    <w:pPr>
                      <w:rPr>
                        <w:bCs/>
                        <w:sz w:val="20"/>
                        <w:lang w:val="pt-BR"/>
                      </w:rPr>
                    </w:pPr>
                    <w:r>
                      <w:rPr>
                        <w:bCs/>
                        <w:sz w:val="20"/>
                      </w:rPr>
                      <w:t>Bokso treniruotes lankantys sportininkai</w:t>
                    </w:r>
                  </w:p>
                </w:tc>
                <w:tc>
                  <w:tcPr>
                    <w:tcW w:w="1459" w:type="dxa"/>
                    <w:shd w:val="clear" w:color="auto" w:fill="auto"/>
                  </w:tcPr>
                  <w:p>
                    <w:pPr>
                      <w:rPr>
                        <w:bCs/>
                        <w:sz w:val="20"/>
                      </w:rPr>
                    </w:pPr>
                    <w:r>
                      <w:rPr>
                        <w:bCs/>
                        <w:sz w:val="20"/>
                      </w:rPr>
                      <w:t>Patikrinimas prieš varžybas</w:t>
                    </w:r>
                  </w:p>
                </w:tc>
                <w:tc>
                  <w:tcPr>
                    <w:tcW w:w="2644" w:type="dxa"/>
                    <w:tcBorders>
                      <w:bottom w:val="single" w:sz="4" w:space="0" w:color="auto"/>
                    </w:tcBorders>
                    <w:shd w:val="clear" w:color="auto" w:fill="auto"/>
                  </w:tcPr>
                  <w:p>
                    <w:pPr>
                      <w:rPr>
                        <w:bCs/>
                        <w:sz w:val="20"/>
                        <w:lang w:val="pt-BR"/>
                      </w:rPr>
                    </w:pPr>
                    <w:r>
                      <w:rPr>
                        <w:bCs/>
                        <w:sz w:val="20"/>
                        <w:lang w:val="pt-BR"/>
                      </w:rPr>
                      <w:t>Sporto medicinos gydytojas, oftalmologas, neurologas, otorinolaringologas</w:t>
                    </w:r>
                  </w:p>
                </w:tc>
                <w:tc>
                  <w:tcPr>
                    <w:tcW w:w="3465" w:type="dxa"/>
                    <w:tcBorders>
                      <w:bottom w:val="single" w:sz="4" w:space="0" w:color="auto"/>
                    </w:tcBorders>
                    <w:shd w:val="clear" w:color="auto" w:fill="auto"/>
                  </w:tcPr>
                  <w:p>
                    <w:pPr>
                      <w:rPr>
                        <w:bCs/>
                        <w:sz w:val="20"/>
                        <w:lang w:val="pt-BR"/>
                      </w:rPr>
                    </w:pPr>
                  </w:p>
                </w:tc>
                <w:tc>
                  <w:tcPr>
                    <w:tcW w:w="4254" w:type="dxa"/>
                    <w:tcBorders>
                      <w:bottom w:val="single" w:sz="4" w:space="0" w:color="auto"/>
                    </w:tcBorders>
                    <w:shd w:val="clear" w:color="auto" w:fill="auto"/>
                  </w:tcPr>
                  <w:p>
                    <w:pPr>
                      <w:rPr>
                        <w:bCs/>
                        <w:sz w:val="20"/>
                        <w:lang w:val="pt-BR"/>
                      </w:rPr>
                    </w:pPr>
                    <w:r>
                      <w:rPr>
                        <w:bCs/>
                        <w:sz w:val="20"/>
                        <w:lang w:val="pt-BR"/>
                      </w:rPr>
                      <w:t>Tikrinama likus 10–14 dienų iki varžybų</w:t>
                    </w:r>
                  </w:p>
                </w:tc>
              </w:tr>
              <w:tr>
                <w:trPr>
                  <w:trHeight w:val="70"/>
                </w:trPr>
                <w:tc>
                  <w:tcPr>
                    <w:tcW w:w="638" w:type="dxa"/>
                    <w:vMerge w:val="restart"/>
                  </w:tcPr>
                  <w:p>
                    <w:pPr>
                      <w:rPr>
                        <w:bCs/>
                        <w:sz w:val="20"/>
                        <w:lang w:val="pt-BR"/>
                      </w:rPr>
                    </w:pPr>
                    <w:r>
                      <w:rPr>
                        <w:bCs/>
                        <w:sz w:val="20"/>
                        <w:lang w:val="pt-BR"/>
                      </w:rPr>
                      <w:t>3.7.</w:t>
                    </w:r>
                  </w:p>
                </w:tc>
                <w:tc>
                  <w:tcPr>
                    <w:tcW w:w="2280" w:type="dxa"/>
                    <w:vMerge w:val="restart"/>
                    <w:shd w:val="clear" w:color="auto" w:fill="auto"/>
                  </w:tcPr>
                  <w:p>
                    <w:pPr>
                      <w:rPr>
                        <w:bCs/>
                        <w:sz w:val="20"/>
                      </w:rPr>
                    </w:pPr>
                    <w:r>
                      <w:rPr>
                        <w:bCs/>
                        <w:sz w:val="20"/>
                        <w:lang w:val="pt-BR"/>
                      </w:rPr>
                      <w:t>Pova</w:t>
                    </w:r>
                    <w:r>
                      <w:rPr>
                        <w:bCs/>
                        <w:sz w:val="20"/>
                      </w:rPr>
                      <w:t>ndeninis sportas</w:t>
                    </w:r>
                  </w:p>
                </w:tc>
                <w:tc>
                  <w:tcPr>
                    <w:tcW w:w="1459" w:type="dxa"/>
                    <w:vMerge w:val="restart"/>
                    <w:shd w:val="clear" w:color="auto" w:fill="auto"/>
                  </w:tcPr>
                  <w:p>
                    <w:pPr>
                      <w:rPr>
                        <w:bCs/>
                        <w:sz w:val="20"/>
                      </w:rPr>
                    </w:pPr>
                    <w:r>
                      <w:rPr>
                        <w:bCs/>
                        <w:sz w:val="20"/>
                      </w:rPr>
                      <w:t>1 kartą per 4 mėn.</w:t>
                    </w:r>
                  </w:p>
                </w:tc>
                <w:tc>
                  <w:tcPr>
                    <w:tcW w:w="2644" w:type="dxa"/>
                    <w:tcBorders>
                      <w:bottom w:val="nil"/>
                    </w:tcBorders>
                  </w:tcPr>
                  <w:p>
                    <w:pPr>
                      <w:rPr>
                        <w:bCs/>
                        <w:sz w:val="20"/>
                      </w:rPr>
                    </w:pPr>
                    <w:r>
                      <w:rPr>
                        <w:bCs/>
                        <w:sz w:val="20"/>
                      </w:rPr>
                      <w:t>Sporto medicinos gydytojas</w:t>
                    </w:r>
                  </w:p>
                </w:tc>
                <w:tc>
                  <w:tcPr>
                    <w:tcW w:w="3465" w:type="dxa"/>
                    <w:tcBorders>
                      <w:bottom w:val="nil"/>
                    </w:tcBorders>
                    <w:shd w:val="clear" w:color="auto" w:fill="auto"/>
                  </w:tcPr>
                  <w:p>
                    <w:pPr>
                      <w:rPr>
                        <w:bCs/>
                        <w:sz w:val="20"/>
                      </w:rPr>
                    </w:pPr>
                    <w:r>
                      <w:rPr>
                        <w:bCs/>
                        <w:sz w:val="20"/>
                      </w:rPr>
                      <w:t>Kaip 3.1 punkte ir papildomai:</w:t>
                    </w:r>
                  </w:p>
                  <w:p>
                    <w:pPr>
                      <w:rPr>
                        <w:bCs/>
                        <w:sz w:val="20"/>
                      </w:rPr>
                    </w:pPr>
                    <w:r>
                      <w:rPr>
                        <w:bCs/>
                        <w:sz w:val="20"/>
                      </w:rPr>
                      <w:t>plaučių funkcijos rodikliai;</w:t>
                    </w:r>
                  </w:p>
                </w:tc>
                <w:tc>
                  <w:tcPr>
                    <w:tcW w:w="4254" w:type="dxa"/>
                    <w:tcBorders>
                      <w:bottom w:val="nil"/>
                    </w:tcBorders>
                    <w:shd w:val="clear" w:color="auto" w:fill="auto"/>
                  </w:tcPr>
                  <w:p>
                    <w:pPr>
                      <w:ind w:right="196"/>
                      <w:rPr>
                        <w:bCs/>
                        <w:sz w:val="20"/>
                      </w:rPr>
                    </w:pPr>
                    <w:r>
                      <w:rPr>
                        <w:bCs/>
                        <w:sz w:val="20"/>
                      </w:rPr>
                      <w:t>Kiekvienos apžiūros metu</w:t>
                    </w:r>
                  </w:p>
                </w:tc>
              </w:tr>
              <w:tr>
                <w:trPr>
                  <w:trHeight w:val="70"/>
                </w:trPr>
                <w:tc>
                  <w:tcPr>
                    <w:tcW w:w="638" w:type="dxa"/>
                    <w:vMerge/>
                  </w:tcPr>
                  <w:p>
                    <w:pPr>
                      <w:rPr>
                        <w:bCs/>
                        <w:sz w:val="20"/>
                        <w:lang w:val="pt-BR"/>
                      </w:rPr>
                    </w:pPr>
                  </w:p>
                </w:tc>
                <w:tc>
                  <w:tcPr>
                    <w:tcW w:w="2280" w:type="dxa"/>
                    <w:vMerge/>
                    <w:shd w:val="clear" w:color="auto" w:fill="auto"/>
                  </w:tcPr>
                  <w:p>
                    <w:pPr>
                      <w:rPr>
                        <w:bCs/>
                        <w:sz w:val="20"/>
                        <w:lang w:val="pt-BR"/>
                      </w:rPr>
                    </w:pPr>
                  </w:p>
                </w:tc>
                <w:tc>
                  <w:tcPr>
                    <w:tcW w:w="1459" w:type="dxa"/>
                    <w:vMerge/>
                    <w:shd w:val="clear" w:color="auto" w:fill="auto"/>
                  </w:tcPr>
                  <w:p>
                    <w:pPr>
                      <w:rPr>
                        <w:bCs/>
                        <w:sz w:val="20"/>
                      </w:rPr>
                    </w:pPr>
                  </w:p>
                </w:tc>
                <w:tc>
                  <w:tcPr>
                    <w:tcW w:w="2644" w:type="dxa"/>
                    <w:tcBorders>
                      <w:top w:val="nil"/>
                      <w:bottom w:val="nil"/>
                    </w:tcBorders>
                  </w:tcPr>
                  <w:p>
                    <w:pPr>
                      <w:rPr>
                        <w:bCs/>
                        <w:sz w:val="20"/>
                      </w:rPr>
                    </w:pPr>
                  </w:p>
                </w:tc>
                <w:tc>
                  <w:tcPr>
                    <w:tcW w:w="3465" w:type="dxa"/>
                    <w:tcBorders>
                      <w:top w:val="nil"/>
                      <w:bottom w:val="nil"/>
                    </w:tcBorders>
                    <w:shd w:val="clear" w:color="auto" w:fill="auto"/>
                  </w:tcPr>
                  <w:p>
                    <w:pPr>
                      <w:rPr>
                        <w:bCs/>
                        <w:sz w:val="20"/>
                      </w:rPr>
                    </w:pPr>
                    <w:r>
                      <w:rPr>
                        <w:bCs/>
                        <w:sz w:val="20"/>
                      </w:rPr>
                      <w:t>ortostatinis mėginys;</w:t>
                    </w:r>
                  </w:p>
                </w:tc>
                <w:tc>
                  <w:tcPr>
                    <w:tcW w:w="4254" w:type="dxa"/>
                    <w:tcBorders>
                      <w:top w:val="nil"/>
                      <w:bottom w:val="nil"/>
                    </w:tcBorders>
                    <w:shd w:val="clear" w:color="auto" w:fill="auto"/>
                  </w:tcPr>
                  <w:p>
                    <w:pPr>
                      <w:ind w:right="196"/>
                      <w:rPr>
                        <w:bCs/>
                        <w:sz w:val="20"/>
                      </w:rPr>
                    </w:pPr>
                    <w:r>
                      <w:rPr>
                        <w:bCs/>
                        <w:sz w:val="20"/>
                      </w:rPr>
                      <w:t>Kiekvienos apžiūros metu</w:t>
                    </w:r>
                  </w:p>
                </w:tc>
              </w:tr>
              <w:tr>
                <w:trPr>
                  <w:trHeight w:val="345"/>
                </w:trPr>
                <w:tc>
                  <w:tcPr>
                    <w:tcW w:w="638" w:type="dxa"/>
                    <w:vMerge/>
                  </w:tcPr>
                  <w:p>
                    <w:pPr>
                      <w:rPr>
                        <w:bCs/>
                        <w:sz w:val="20"/>
                        <w:lang w:val="pt-BR"/>
                      </w:rPr>
                    </w:pPr>
                  </w:p>
                </w:tc>
                <w:tc>
                  <w:tcPr>
                    <w:tcW w:w="2280" w:type="dxa"/>
                    <w:vMerge/>
                    <w:shd w:val="clear" w:color="auto" w:fill="auto"/>
                  </w:tcPr>
                  <w:p>
                    <w:pPr>
                      <w:rPr>
                        <w:bCs/>
                        <w:sz w:val="20"/>
                        <w:lang w:val="pt-BR"/>
                      </w:rPr>
                    </w:pPr>
                  </w:p>
                </w:tc>
                <w:tc>
                  <w:tcPr>
                    <w:tcW w:w="1459" w:type="dxa"/>
                    <w:vMerge/>
                    <w:shd w:val="clear" w:color="auto" w:fill="auto"/>
                  </w:tcPr>
                  <w:p>
                    <w:pPr>
                      <w:rPr>
                        <w:bCs/>
                        <w:sz w:val="20"/>
                      </w:rPr>
                    </w:pPr>
                  </w:p>
                </w:tc>
                <w:tc>
                  <w:tcPr>
                    <w:tcW w:w="2644" w:type="dxa"/>
                    <w:tcBorders>
                      <w:top w:val="nil"/>
                      <w:bottom w:val="nil"/>
                    </w:tcBorders>
                  </w:tcPr>
                  <w:p>
                    <w:pPr>
                      <w:rPr>
                        <w:bCs/>
                        <w:sz w:val="20"/>
                      </w:rPr>
                    </w:pPr>
                  </w:p>
                </w:tc>
                <w:tc>
                  <w:tcPr>
                    <w:tcW w:w="3465" w:type="dxa"/>
                    <w:tcBorders>
                      <w:top w:val="nil"/>
                      <w:bottom w:val="nil"/>
                    </w:tcBorders>
                    <w:shd w:val="clear" w:color="auto" w:fill="auto"/>
                  </w:tcPr>
                  <w:p>
                    <w:pPr>
                      <w:rPr>
                        <w:bCs/>
                        <w:sz w:val="20"/>
                      </w:rPr>
                    </w:pPr>
                    <w:r>
                      <w:rPr>
                        <w:bCs/>
                        <w:sz w:val="20"/>
                      </w:rPr>
                      <w:t>kvėpavimo sulaikymo mėginiai</w:t>
                    </w:r>
                  </w:p>
                </w:tc>
                <w:tc>
                  <w:tcPr>
                    <w:tcW w:w="4254" w:type="dxa"/>
                    <w:tcBorders>
                      <w:top w:val="nil"/>
                      <w:bottom w:val="nil"/>
                    </w:tcBorders>
                    <w:shd w:val="clear" w:color="auto" w:fill="auto"/>
                  </w:tcPr>
                  <w:p>
                    <w:pPr>
                      <w:ind w:right="196"/>
                      <w:rPr>
                        <w:bCs/>
                        <w:sz w:val="20"/>
                      </w:rPr>
                    </w:pPr>
                    <w:r>
                      <w:rPr>
                        <w:bCs/>
                        <w:sz w:val="20"/>
                      </w:rPr>
                      <w:t>Kiekvienos apžiūros metu</w:t>
                    </w:r>
                  </w:p>
                </w:tc>
              </w:tr>
              <w:tr>
                <w:trPr>
                  <w:trHeight w:val="70"/>
                </w:trPr>
                <w:tc>
                  <w:tcPr>
                    <w:tcW w:w="638" w:type="dxa"/>
                    <w:vMerge/>
                  </w:tcPr>
                  <w:p>
                    <w:pPr>
                      <w:rPr>
                        <w:bCs/>
                        <w:sz w:val="20"/>
                        <w:lang w:val="pt-BR"/>
                      </w:rPr>
                    </w:pPr>
                  </w:p>
                </w:tc>
                <w:tc>
                  <w:tcPr>
                    <w:tcW w:w="2280" w:type="dxa"/>
                    <w:vMerge/>
                    <w:shd w:val="clear" w:color="auto" w:fill="auto"/>
                  </w:tcPr>
                  <w:p>
                    <w:pPr>
                      <w:rPr>
                        <w:bCs/>
                        <w:sz w:val="20"/>
                        <w:lang w:val="pt-BR"/>
                      </w:rPr>
                    </w:pPr>
                  </w:p>
                </w:tc>
                <w:tc>
                  <w:tcPr>
                    <w:tcW w:w="1459" w:type="dxa"/>
                    <w:vMerge/>
                    <w:shd w:val="clear" w:color="auto" w:fill="auto"/>
                  </w:tcPr>
                  <w:p>
                    <w:pPr>
                      <w:rPr>
                        <w:bCs/>
                        <w:sz w:val="20"/>
                      </w:rPr>
                    </w:pPr>
                  </w:p>
                </w:tc>
                <w:tc>
                  <w:tcPr>
                    <w:tcW w:w="2644" w:type="dxa"/>
                    <w:tcBorders>
                      <w:top w:val="nil"/>
                      <w:bottom w:val="single" w:sz="4" w:space="0" w:color="auto"/>
                    </w:tcBorders>
                  </w:tcPr>
                  <w:p>
                    <w:pPr>
                      <w:rPr>
                        <w:bCs/>
                        <w:sz w:val="20"/>
                      </w:rPr>
                    </w:pPr>
                    <w:r>
                      <w:rPr>
                        <w:bCs/>
                        <w:sz w:val="20"/>
                      </w:rPr>
                      <w:t>oftalmologas, neurologas, otorinolaringologas</w:t>
                    </w:r>
                  </w:p>
                </w:tc>
                <w:tc>
                  <w:tcPr>
                    <w:tcW w:w="3465" w:type="dxa"/>
                    <w:tcBorders>
                      <w:top w:val="nil"/>
                      <w:bottom w:val="single" w:sz="4" w:space="0" w:color="auto"/>
                    </w:tcBorders>
                    <w:shd w:val="clear" w:color="auto" w:fill="auto"/>
                  </w:tcPr>
                  <w:p>
                    <w:pPr>
                      <w:rPr>
                        <w:bCs/>
                        <w:sz w:val="20"/>
                      </w:rPr>
                    </w:pPr>
                  </w:p>
                </w:tc>
                <w:tc>
                  <w:tcPr>
                    <w:tcW w:w="4254" w:type="dxa"/>
                    <w:tcBorders>
                      <w:top w:val="nil"/>
                      <w:bottom w:val="single" w:sz="4" w:space="0" w:color="auto"/>
                    </w:tcBorders>
                    <w:shd w:val="clear" w:color="auto" w:fill="auto"/>
                  </w:tcPr>
                  <w:p>
                    <w:pPr>
                      <w:ind w:right="196"/>
                      <w:rPr>
                        <w:bCs/>
                        <w:sz w:val="20"/>
                      </w:rPr>
                    </w:pPr>
                    <w:r>
                      <w:rPr>
                        <w:bCs/>
                        <w:sz w:val="20"/>
                      </w:rPr>
                      <w:t>Kiekvienos apžiūros metu</w:t>
                    </w:r>
                  </w:p>
                </w:tc>
              </w:tr>
              <w:tr>
                <w:trPr>
                  <w:cantSplit/>
                  <w:trHeight w:val="144"/>
                </w:trPr>
                <w:tc>
                  <w:tcPr>
                    <w:tcW w:w="638" w:type="dxa"/>
                    <w:vMerge w:val="restart"/>
                  </w:tcPr>
                  <w:p>
                    <w:pPr>
                      <w:rPr>
                        <w:bCs/>
                        <w:sz w:val="20"/>
                        <w:lang w:val="pl-PL"/>
                      </w:rPr>
                    </w:pPr>
                    <w:r>
                      <w:rPr>
                        <w:bCs/>
                        <w:sz w:val="20"/>
                        <w:lang w:val="pl-PL"/>
                      </w:rPr>
                      <w:t>3.8.</w:t>
                    </w:r>
                  </w:p>
                </w:tc>
                <w:tc>
                  <w:tcPr>
                    <w:tcW w:w="2280" w:type="dxa"/>
                    <w:vMerge w:val="restart"/>
                    <w:shd w:val="clear" w:color="auto" w:fill="auto"/>
                  </w:tcPr>
                  <w:p>
                    <w:pPr>
                      <w:rPr>
                        <w:bCs/>
                        <w:sz w:val="20"/>
                        <w:lang w:val="pl-PL"/>
                      </w:rPr>
                    </w:pPr>
                    <w:r>
                      <w:rPr>
                        <w:bCs/>
                        <w:sz w:val="20"/>
                        <w:lang w:val="pl-PL"/>
                      </w:rPr>
                      <w:t>Triatlonas, labai ilgų nuotolių (maratono – 42,125; 50 km) bėgimas, slidin</w:t>
                    </w:r>
                    <w:r>
                      <w:rPr>
                        <w:bCs/>
                        <w:sz w:val="20"/>
                      </w:rPr>
                      <w:t>ė</w:t>
                    </w:r>
                    <w:r>
                      <w:rPr>
                        <w:bCs/>
                        <w:sz w:val="20"/>
                        <w:lang w:val="pl-PL"/>
                      </w:rPr>
                      <w:t>jimas</w:t>
                    </w:r>
                  </w:p>
                </w:tc>
                <w:tc>
                  <w:tcPr>
                    <w:tcW w:w="1459" w:type="dxa"/>
                    <w:vMerge w:val="restart"/>
                    <w:shd w:val="clear" w:color="auto" w:fill="auto"/>
                  </w:tcPr>
                  <w:p>
                    <w:pPr>
                      <w:rPr>
                        <w:bCs/>
                        <w:sz w:val="20"/>
                      </w:rPr>
                    </w:pPr>
                    <w:r>
                      <w:rPr>
                        <w:bCs/>
                        <w:sz w:val="20"/>
                      </w:rPr>
                      <w:t>1 kartą per 4 mėn.</w:t>
                    </w:r>
                  </w:p>
                </w:tc>
                <w:tc>
                  <w:tcPr>
                    <w:tcW w:w="2644" w:type="dxa"/>
                    <w:tcBorders>
                      <w:bottom w:val="nil"/>
                    </w:tcBorders>
                  </w:tcPr>
                  <w:p>
                    <w:pPr>
                      <w:rPr>
                        <w:bCs/>
                        <w:sz w:val="20"/>
                        <w:lang w:val="pl-PL"/>
                      </w:rPr>
                    </w:pPr>
                    <w:r>
                      <w:rPr>
                        <w:bCs/>
                        <w:sz w:val="20"/>
                        <w:lang w:val="pl-PL"/>
                      </w:rPr>
                      <w:t>Sporto medicinos gydytojas</w:t>
                    </w:r>
                  </w:p>
                </w:tc>
                <w:tc>
                  <w:tcPr>
                    <w:tcW w:w="3465" w:type="dxa"/>
                    <w:tcBorders>
                      <w:bottom w:val="nil"/>
                    </w:tcBorders>
                    <w:shd w:val="clear" w:color="auto" w:fill="auto"/>
                  </w:tcPr>
                  <w:p>
                    <w:pPr>
                      <w:rPr>
                        <w:bCs/>
                        <w:sz w:val="20"/>
                        <w:lang w:val="pl-PL"/>
                      </w:rPr>
                    </w:pPr>
                    <w:r>
                      <w:rPr>
                        <w:bCs/>
                        <w:sz w:val="20"/>
                        <w:lang w:val="pl-PL"/>
                      </w:rPr>
                      <w:t>Kaip 3.1 punkte</w:t>
                    </w:r>
                    <w:r>
                      <w:rPr>
                        <w:bCs/>
                        <w:sz w:val="20"/>
                      </w:rPr>
                      <w:t xml:space="preserve"> </w:t>
                    </w:r>
                    <w:r>
                      <w:rPr>
                        <w:bCs/>
                        <w:sz w:val="20"/>
                        <w:lang w:val="pl-PL"/>
                      </w:rPr>
                      <w:t>ir papildomai:</w:t>
                    </w:r>
                  </w:p>
                  <w:p>
                    <w:pPr>
                      <w:rPr>
                        <w:bCs/>
                        <w:sz w:val="20"/>
                        <w:lang w:val="pl-PL"/>
                      </w:rPr>
                    </w:pPr>
                    <w:r>
                      <w:rPr>
                        <w:bCs/>
                        <w:sz w:val="20"/>
                        <w:lang w:val="pl-PL"/>
                      </w:rPr>
                      <w:t>plaučių funkcijos tyrimai</w:t>
                    </w:r>
                  </w:p>
                </w:tc>
                <w:tc>
                  <w:tcPr>
                    <w:tcW w:w="4254" w:type="dxa"/>
                    <w:tcBorders>
                      <w:bottom w:val="nil"/>
                    </w:tcBorders>
                    <w:shd w:val="clear" w:color="auto" w:fill="auto"/>
                  </w:tcPr>
                  <w:p>
                    <w:pPr>
                      <w:rPr>
                        <w:bCs/>
                        <w:sz w:val="20"/>
                        <w:lang w:val="pt-BR"/>
                      </w:rPr>
                    </w:pPr>
                    <w:r>
                      <w:rPr>
                        <w:bCs/>
                        <w:sz w:val="20"/>
                        <w:lang w:val="pl-PL"/>
                      </w:rPr>
                      <w:t>Kiekvienos apžiūros metu</w:t>
                    </w:r>
                  </w:p>
                </w:tc>
              </w:tr>
              <w:tr>
                <w:trPr>
                  <w:cantSplit/>
                  <w:trHeight w:val="70"/>
                </w:trPr>
                <w:tc>
                  <w:tcPr>
                    <w:tcW w:w="638" w:type="dxa"/>
                    <w:vMerge/>
                  </w:tcPr>
                  <w:p>
                    <w:pPr>
                      <w:rPr>
                        <w:bCs/>
                        <w:sz w:val="20"/>
                        <w:lang w:val="pl-PL"/>
                      </w:rPr>
                    </w:pPr>
                  </w:p>
                </w:tc>
                <w:tc>
                  <w:tcPr>
                    <w:tcW w:w="2280" w:type="dxa"/>
                    <w:vMerge/>
                    <w:shd w:val="clear" w:color="auto" w:fill="auto"/>
                  </w:tcPr>
                  <w:p>
                    <w:pPr>
                      <w:rPr>
                        <w:bCs/>
                        <w:sz w:val="20"/>
                        <w:lang w:val="pl-PL"/>
                      </w:rPr>
                    </w:pPr>
                  </w:p>
                </w:tc>
                <w:tc>
                  <w:tcPr>
                    <w:tcW w:w="1459" w:type="dxa"/>
                    <w:vMerge/>
                    <w:shd w:val="clear" w:color="auto" w:fill="auto"/>
                  </w:tcPr>
                  <w:p>
                    <w:pPr>
                      <w:rPr>
                        <w:bCs/>
                        <w:sz w:val="20"/>
                      </w:rPr>
                    </w:pPr>
                  </w:p>
                </w:tc>
                <w:tc>
                  <w:tcPr>
                    <w:tcW w:w="2644" w:type="dxa"/>
                    <w:tcBorders>
                      <w:top w:val="nil"/>
                      <w:bottom w:val="single" w:sz="4" w:space="0" w:color="auto"/>
                    </w:tcBorders>
                  </w:tcPr>
                  <w:p>
                    <w:pPr>
                      <w:rPr>
                        <w:bCs/>
                        <w:sz w:val="20"/>
                        <w:lang w:val="pl-PL"/>
                      </w:rPr>
                    </w:pPr>
                    <w:r>
                      <w:rPr>
                        <w:bCs/>
                        <w:sz w:val="20"/>
                        <w:lang w:val="pl-PL"/>
                      </w:rPr>
                      <w:t>oftalmologas, neurologas, traumatologas ortopedas, otorinolaringologas ir kiti specialistai</w:t>
                    </w:r>
                  </w:p>
                </w:tc>
                <w:tc>
                  <w:tcPr>
                    <w:tcW w:w="3465" w:type="dxa"/>
                    <w:tcBorders>
                      <w:top w:val="nil"/>
                      <w:bottom w:val="single" w:sz="4" w:space="0" w:color="auto"/>
                    </w:tcBorders>
                    <w:shd w:val="clear" w:color="auto" w:fill="auto"/>
                  </w:tcPr>
                  <w:p>
                    <w:pPr>
                      <w:rPr>
                        <w:bCs/>
                        <w:sz w:val="20"/>
                        <w:lang w:val="pl-PL"/>
                      </w:rPr>
                    </w:pPr>
                  </w:p>
                </w:tc>
                <w:tc>
                  <w:tcPr>
                    <w:tcW w:w="4254" w:type="dxa"/>
                    <w:tcBorders>
                      <w:top w:val="nil"/>
                      <w:bottom w:val="single" w:sz="4" w:space="0" w:color="auto"/>
                    </w:tcBorders>
                    <w:shd w:val="clear" w:color="auto" w:fill="auto"/>
                  </w:tcPr>
                  <w:p>
                    <w:pPr>
                      <w:rPr>
                        <w:bCs/>
                        <w:sz w:val="20"/>
                        <w:lang w:val="pl-PL"/>
                      </w:rPr>
                    </w:pPr>
                    <w:r>
                      <w:rPr>
                        <w:bCs/>
                        <w:sz w:val="20"/>
                        <w:lang w:val="pt-BR"/>
                      </w:rPr>
                      <w:t xml:space="preserve">Pagal indikacijas </w:t>
                    </w:r>
                  </w:p>
                </w:tc>
              </w:tr>
              <w:tr>
                <w:trPr>
                  <w:trHeight w:val="360"/>
                </w:trPr>
                <w:tc>
                  <w:tcPr>
                    <w:tcW w:w="638" w:type="dxa"/>
                    <w:vMerge w:val="restart"/>
                  </w:tcPr>
                  <w:p>
                    <w:pPr>
                      <w:rPr>
                        <w:bCs/>
                        <w:sz w:val="20"/>
                        <w:lang w:val="pt-BR"/>
                      </w:rPr>
                    </w:pPr>
                    <w:r>
                      <w:rPr>
                        <w:bCs/>
                        <w:sz w:val="20"/>
                        <w:lang w:val="pt-BR"/>
                      </w:rPr>
                      <w:t>3.9.</w:t>
                    </w:r>
                  </w:p>
                </w:tc>
                <w:tc>
                  <w:tcPr>
                    <w:tcW w:w="2280" w:type="dxa"/>
                    <w:vMerge w:val="restart"/>
                    <w:shd w:val="clear" w:color="auto" w:fill="auto"/>
                  </w:tcPr>
                  <w:p>
                    <w:pPr>
                      <w:rPr>
                        <w:bCs/>
                        <w:sz w:val="20"/>
                        <w:lang w:val="pt-BR"/>
                      </w:rPr>
                    </w:pPr>
                    <w:r>
                      <w:rPr>
                        <w:bCs/>
                        <w:sz w:val="20"/>
                        <w:lang w:val="pt-BR"/>
                      </w:rPr>
                      <w:t>Triatlonas, labai ilgų nuotolių (42,125; 50 km maratono) bėgimas, slidin</w:t>
                    </w:r>
                    <w:r>
                      <w:rPr>
                        <w:bCs/>
                        <w:sz w:val="20"/>
                      </w:rPr>
                      <w:t>ė</w:t>
                    </w:r>
                    <w:r>
                      <w:rPr>
                        <w:bCs/>
                        <w:sz w:val="20"/>
                        <w:lang w:val="pt-BR"/>
                      </w:rPr>
                      <w:t xml:space="preserve">jimas </w:t>
                    </w:r>
                  </w:p>
                </w:tc>
                <w:tc>
                  <w:tcPr>
                    <w:tcW w:w="1459" w:type="dxa"/>
                    <w:vMerge w:val="restart"/>
                    <w:shd w:val="clear" w:color="auto" w:fill="auto"/>
                  </w:tcPr>
                  <w:p>
                    <w:pPr>
                      <w:rPr>
                        <w:bCs/>
                        <w:sz w:val="20"/>
                      </w:rPr>
                    </w:pPr>
                    <w:r>
                      <w:rPr>
                        <w:bCs/>
                        <w:sz w:val="20"/>
                      </w:rPr>
                      <w:t>Patikrinimas prieš varžybas</w:t>
                    </w:r>
                  </w:p>
                </w:tc>
                <w:tc>
                  <w:tcPr>
                    <w:tcW w:w="2644" w:type="dxa"/>
                    <w:tcBorders>
                      <w:bottom w:val="nil"/>
                    </w:tcBorders>
                  </w:tcPr>
                  <w:p>
                    <w:pPr>
                      <w:rPr>
                        <w:bCs/>
                        <w:sz w:val="20"/>
                        <w:lang w:val="pt-BR"/>
                      </w:rPr>
                    </w:pPr>
                    <w:r>
                      <w:rPr>
                        <w:bCs/>
                        <w:sz w:val="20"/>
                        <w:lang w:val="pt-BR"/>
                      </w:rPr>
                      <w:t>Sporto medicinos gydytojas</w:t>
                    </w:r>
                  </w:p>
                </w:tc>
                <w:tc>
                  <w:tcPr>
                    <w:tcW w:w="3465" w:type="dxa"/>
                    <w:tcBorders>
                      <w:bottom w:val="nil"/>
                    </w:tcBorders>
                    <w:shd w:val="clear" w:color="auto" w:fill="auto"/>
                  </w:tcPr>
                  <w:p>
                    <w:pPr>
                      <w:rPr>
                        <w:bCs/>
                        <w:sz w:val="20"/>
                        <w:lang w:val="pt-BR"/>
                      </w:rPr>
                    </w:pPr>
                    <w:r>
                      <w:rPr>
                        <w:bCs/>
                        <w:sz w:val="20"/>
                        <w:lang w:val="pt-BR"/>
                      </w:rPr>
                      <w:t>Ramybės, krūvio EKG, atsigavimo periode 3–5 min.</w:t>
                    </w:r>
                  </w:p>
                </w:tc>
                <w:tc>
                  <w:tcPr>
                    <w:tcW w:w="4254" w:type="dxa"/>
                    <w:tcBorders>
                      <w:bottom w:val="nil"/>
                    </w:tcBorders>
                    <w:shd w:val="clear" w:color="auto" w:fill="auto"/>
                  </w:tcPr>
                  <w:p>
                    <w:pPr>
                      <w:rPr>
                        <w:bCs/>
                        <w:sz w:val="20"/>
                      </w:rPr>
                    </w:pPr>
                  </w:p>
                </w:tc>
              </w:tr>
              <w:tr>
                <w:trPr>
                  <w:trHeight w:val="70"/>
                </w:trPr>
                <w:tc>
                  <w:tcPr>
                    <w:tcW w:w="638" w:type="dxa"/>
                    <w:vMerge/>
                  </w:tcPr>
                  <w:p>
                    <w:pPr>
                      <w:rPr>
                        <w:bCs/>
                        <w:sz w:val="20"/>
                        <w:lang w:val="pt-BR"/>
                      </w:rPr>
                    </w:pPr>
                  </w:p>
                </w:tc>
                <w:tc>
                  <w:tcPr>
                    <w:tcW w:w="2280" w:type="dxa"/>
                    <w:vMerge/>
                    <w:shd w:val="clear" w:color="auto" w:fill="auto"/>
                  </w:tcPr>
                  <w:p>
                    <w:pPr>
                      <w:rPr>
                        <w:bCs/>
                        <w:sz w:val="20"/>
                        <w:lang w:val="pt-BR"/>
                      </w:rPr>
                    </w:pPr>
                  </w:p>
                </w:tc>
                <w:tc>
                  <w:tcPr>
                    <w:tcW w:w="1459" w:type="dxa"/>
                    <w:vMerge/>
                    <w:shd w:val="clear" w:color="auto" w:fill="auto"/>
                  </w:tcPr>
                  <w:p>
                    <w:pPr>
                      <w:rPr>
                        <w:bCs/>
                        <w:sz w:val="20"/>
                      </w:rPr>
                    </w:pPr>
                  </w:p>
                </w:tc>
                <w:tc>
                  <w:tcPr>
                    <w:tcW w:w="2644" w:type="dxa"/>
                    <w:tcBorders>
                      <w:top w:val="nil"/>
                    </w:tcBorders>
                  </w:tcPr>
                  <w:p>
                    <w:pPr>
                      <w:rPr>
                        <w:bCs/>
                        <w:sz w:val="20"/>
                        <w:lang w:val="pt-BR"/>
                      </w:rPr>
                    </w:pPr>
                    <w:r>
                      <w:rPr>
                        <w:bCs/>
                        <w:sz w:val="20"/>
                        <w:lang w:val="pt-BR"/>
                      </w:rPr>
                      <w:t>kiti specialistai</w:t>
                    </w:r>
                  </w:p>
                </w:tc>
                <w:tc>
                  <w:tcPr>
                    <w:tcW w:w="3465" w:type="dxa"/>
                    <w:tcBorders>
                      <w:top w:val="nil"/>
                    </w:tcBorders>
                    <w:shd w:val="clear" w:color="auto" w:fill="auto"/>
                  </w:tcPr>
                  <w:p>
                    <w:pPr>
                      <w:rPr>
                        <w:bCs/>
                        <w:sz w:val="20"/>
                        <w:lang w:val="pt-BR"/>
                      </w:rPr>
                    </w:pPr>
                  </w:p>
                </w:tc>
                <w:tc>
                  <w:tcPr>
                    <w:tcW w:w="4254" w:type="dxa"/>
                    <w:tcBorders>
                      <w:top w:val="nil"/>
                    </w:tcBorders>
                    <w:shd w:val="clear" w:color="auto" w:fill="auto"/>
                  </w:tcPr>
                  <w:p>
                    <w:pPr>
                      <w:rPr>
                        <w:bCs/>
                        <w:sz w:val="20"/>
                        <w:lang w:val="pt-BR"/>
                      </w:rPr>
                    </w:pPr>
                    <w:r>
                      <w:rPr>
                        <w:bCs/>
                        <w:sz w:val="20"/>
                        <w:lang w:val="pt-BR"/>
                      </w:rPr>
                      <w:t>Pagal indikacijas</w:t>
                    </w:r>
                  </w:p>
                </w:tc>
              </w:tr>
              <w:tr>
                <w:trPr>
                  <w:trHeight w:val="70"/>
                </w:trPr>
                <w:tc>
                  <w:tcPr>
                    <w:tcW w:w="638" w:type="dxa"/>
                    <w:vMerge w:val="restart"/>
                  </w:tcPr>
                  <w:p>
                    <w:pPr>
                      <w:rPr>
                        <w:bCs/>
                        <w:sz w:val="20"/>
                      </w:rPr>
                    </w:pPr>
                    <w:r>
                      <w:rPr>
                        <w:bCs/>
                        <w:sz w:val="20"/>
                      </w:rPr>
                      <w:t>3.10.</w:t>
                    </w:r>
                  </w:p>
                </w:tc>
                <w:tc>
                  <w:tcPr>
                    <w:tcW w:w="2280" w:type="dxa"/>
                    <w:vMerge w:val="restart"/>
                    <w:shd w:val="clear" w:color="auto" w:fill="auto"/>
                  </w:tcPr>
                  <w:p>
                    <w:pPr>
                      <w:rPr>
                        <w:bCs/>
                        <w:sz w:val="20"/>
                      </w:rPr>
                    </w:pPr>
                    <w:r>
                      <w:rPr>
                        <w:bCs/>
                        <w:sz w:val="20"/>
                      </w:rPr>
                      <w:t xml:space="preserve">Techninės sporto šakos (auto-, motosportas, kartingai, motorlaiviai ir kt.) </w:t>
                    </w:r>
                  </w:p>
                </w:tc>
                <w:tc>
                  <w:tcPr>
                    <w:tcW w:w="1459" w:type="dxa"/>
                    <w:vMerge w:val="restart"/>
                    <w:shd w:val="clear" w:color="auto" w:fill="auto"/>
                  </w:tcPr>
                  <w:p>
                    <w:pPr>
                      <w:rPr>
                        <w:bCs/>
                        <w:sz w:val="20"/>
                      </w:rPr>
                    </w:pPr>
                    <w:r>
                      <w:rPr>
                        <w:bCs/>
                        <w:sz w:val="20"/>
                      </w:rPr>
                      <w:t>1 kartą per 6 mėn.</w:t>
                    </w:r>
                  </w:p>
                </w:tc>
                <w:tc>
                  <w:tcPr>
                    <w:tcW w:w="2644" w:type="dxa"/>
                    <w:tcBorders>
                      <w:bottom w:val="nil"/>
                    </w:tcBorders>
                  </w:tcPr>
                  <w:p>
                    <w:pPr>
                      <w:rPr>
                        <w:bCs/>
                        <w:sz w:val="20"/>
                      </w:rPr>
                    </w:pPr>
                    <w:r>
                      <w:rPr>
                        <w:bCs/>
                        <w:sz w:val="20"/>
                      </w:rPr>
                      <w:t>Sporto medicinos gydytojas</w:t>
                    </w:r>
                  </w:p>
                </w:tc>
                <w:tc>
                  <w:tcPr>
                    <w:tcW w:w="3465" w:type="dxa"/>
                    <w:tcBorders>
                      <w:bottom w:val="nil"/>
                    </w:tcBorders>
                    <w:shd w:val="clear" w:color="auto" w:fill="auto"/>
                  </w:tcPr>
                  <w:p>
                    <w:pPr>
                      <w:rPr>
                        <w:bCs/>
                        <w:sz w:val="20"/>
                      </w:rPr>
                    </w:pPr>
                    <w:r>
                      <w:rPr>
                        <w:bCs/>
                        <w:sz w:val="20"/>
                      </w:rPr>
                      <w:t xml:space="preserve">Kaip 3.1 punkte </w:t>
                    </w:r>
                  </w:p>
                </w:tc>
                <w:tc>
                  <w:tcPr>
                    <w:tcW w:w="4254" w:type="dxa"/>
                    <w:tcBorders>
                      <w:bottom w:val="nil"/>
                    </w:tcBorders>
                    <w:shd w:val="clear" w:color="auto" w:fill="auto"/>
                  </w:tcPr>
                  <w:p>
                    <w:pPr>
                      <w:rPr>
                        <w:bCs/>
                        <w:sz w:val="20"/>
                        <w:lang w:val="pt-BR"/>
                      </w:rPr>
                    </w:pPr>
                    <w:r>
                      <w:rPr>
                        <w:bCs/>
                        <w:sz w:val="20"/>
                        <w:lang w:val="nl-NL"/>
                      </w:rPr>
                      <w:t>1 kartą per metus arba pagal indikacijas</w:t>
                    </w:r>
                  </w:p>
                </w:tc>
              </w:tr>
              <w:tr>
                <w:trPr>
                  <w:trHeight w:val="70"/>
                </w:trPr>
                <w:tc>
                  <w:tcPr>
                    <w:tcW w:w="638" w:type="dxa"/>
                    <w:vMerge/>
                  </w:tcPr>
                  <w:p>
                    <w:pPr>
                      <w:rPr>
                        <w:bCs/>
                        <w:sz w:val="20"/>
                      </w:rPr>
                    </w:pPr>
                  </w:p>
                </w:tc>
                <w:tc>
                  <w:tcPr>
                    <w:tcW w:w="2280" w:type="dxa"/>
                    <w:vMerge/>
                    <w:shd w:val="clear" w:color="auto" w:fill="auto"/>
                  </w:tcPr>
                  <w:p>
                    <w:pPr>
                      <w:rPr>
                        <w:bCs/>
                        <w:sz w:val="20"/>
                      </w:rPr>
                    </w:pPr>
                  </w:p>
                </w:tc>
                <w:tc>
                  <w:tcPr>
                    <w:tcW w:w="1459" w:type="dxa"/>
                    <w:vMerge/>
                    <w:shd w:val="clear" w:color="auto" w:fill="auto"/>
                  </w:tcPr>
                  <w:p>
                    <w:pPr>
                      <w:rPr>
                        <w:bCs/>
                        <w:sz w:val="20"/>
                      </w:rPr>
                    </w:pPr>
                  </w:p>
                </w:tc>
                <w:tc>
                  <w:tcPr>
                    <w:tcW w:w="2644" w:type="dxa"/>
                    <w:tcBorders>
                      <w:top w:val="nil"/>
                      <w:bottom w:val="single" w:sz="4" w:space="0" w:color="auto"/>
                    </w:tcBorders>
                  </w:tcPr>
                  <w:p>
                    <w:pPr>
                      <w:rPr>
                        <w:bCs/>
                        <w:sz w:val="20"/>
                      </w:rPr>
                    </w:pPr>
                    <w:r>
                      <w:rPr>
                        <w:bCs/>
                        <w:sz w:val="20"/>
                      </w:rPr>
                      <w:t>oftalmologas, otorinolaringologas,</w:t>
                    </w:r>
                  </w:p>
                  <w:p>
                    <w:pPr>
                      <w:rPr>
                        <w:bCs/>
                        <w:sz w:val="20"/>
                      </w:rPr>
                    </w:pPr>
                    <w:r>
                      <w:rPr>
                        <w:bCs/>
                        <w:sz w:val="20"/>
                      </w:rPr>
                      <w:t>kiti specialistai</w:t>
                    </w:r>
                  </w:p>
                </w:tc>
                <w:tc>
                  <w:tcPr>
                    <w:tcW w:w="3465" w:type="dxa"/>
                    <w:tcBorders>
                      <w:top w:val="nil"/>
                      <w:bottom w:val="single" w:sz="4" w:space="0" w:color="auto"/>
                    </w:tcBorders>
                    <w:shd w:val="clear" w:color="auto" w:fill="auto"/>
                  </w:tcPr>
                  <w:p>
                    <w:pPr>
                      <w:rPr>
                        <w:bCs/>
                        <w:sz w:val="20"/>
                      </w:rPr>
                    </w:pPr>
                  </w:p>
                </w:tc>
                <w:tc>
                  <w:tcPr>
                    <w:tcW w:w="4254" w:type="dxa"/>
                    <w:tcBorders>
                      <w:top w:val="nil"/>
                      <w:bottom w:val="single" w:sz="4" w:space="0" w:color="auto"/>
                    </w:tcBorders>
                    <w:shd w:val="clear" w:color="auto" w:fill="auto"/>
                  </w:tcPr>
                  <w:p>
                    <w:pPr>
                      <w:rPr>
                        <w:bCs/>
                        <w:sz w:val="20"/>
                        <w:lang w:val="nl-NL"/>
                      </w:rPr>
                    </w:pPr>
                    <w:r>
                      <w:rPr>
                        <w:bCs/>
                        <w:sz w:val="20"/>
                        <w:lang w:val="pt-BR"/>
                      </w:rPr>
                      <w:t>Pagal indikacijas</w:t>
                    </w:r>
                  </w:p>
                </w:tc>
              </w:tr>
              <w:tr>
                <w:trPr>
                  <w:trHeight w:val="345"/>
                </w:trPr>
                <w:tc>
                  <w:tcPr>
                    <w:tcW w:w="638" w:type="dxa"/>
                    <w:vMerge w:val="restart"/>
                  </w:tcPr>
                  <w:p>
                    <w:pPr>
                      <w:ind w:right="-8407"/>
                      <w:rPr>
                        <w:bCs/>
                        <w:sz w:val="20"/>
                      </w:rPr>
                    </w:pPr>
                    <w:r>
                      <w:rPr>
                        <w:bCs/>
                        <w:sz w:val="20"/>
                      </w:rPr>
                      <w:t>3.11.</w:t>
                    </w:r>
                  </w:p>
                </w:tc>
                <w:tc>
                  <w:tcPr>
                    <w:tcW w:w="2280" w:type="dxa"/>
                    <w:vMerge w:val="restart"/>
                    <w:shd w:val="clear" w:color="auto" w:fill="auto"/>
                  </w:tcPr>
                  <w:p>
                    <w:pPr>
                      <w:ind w:right="-8407"/>
                      <w:rPr>
                        <w:bCs/>
                        <w:sz w:val="20"/>
                      </w:rPr>
                    </w:pPr>
                    <w:r>
                      <w:rPr>
                        <w:bCs/>
                        <w:sz w:val="20"/>
                      </w:rPr>
                      <w:t>Sportuotojai</w:t>
                    </w:r>
                  </w:p>
                </w:tc>
                <w:tc>
                  <w:tcPr>
                    <w:tcW w:w="1459" w:type="dxa"/>
                    <w:vMerge w:val="restart"/>
                    <w:shd w:val="clear" w:color="auto" w:fill="auto"/>
                  </w:tcPr>
                  <w:p>
                    <w:pPr>
                      <w:rPr>
                        <w:bCs/>
                        <w:sz w:val="20"/>
                      </w:rPr>
                    </w:pPr>
                    <w:r>
                      <w:rPr>
                        <w:bCs/>
                        <w:sz w:val="20"/>
                      </w:rPr>
                      <w:t>1 kartą per 6 mėn.</w:t>
                    </w:r>
                  </w:p>
                </w:tc>
                <w:tc>
                  <w:tcPr>
                    <w:tcW w:w="2644" w:type="dxa"/>
                    <w:tcBorders>
                      <w:bottom w:val="nil"/>
                    </w:tcBorders>
                  </w:tcPr>
                  <w:p>
                    <w:pPr>
                      <w:rPr>
                        <w:bCs/>
                        <w:sz w:val="20"/>
                      </w:rPr>
                    </w:pPr>
                    <w:r>
                      <w:rPr>
                        <w:bCs/>
                        <w:sz w:val="20"/>
                      </w:rPr>
                      <w:t>Sporto medicinos gydytojas</w:t>
                    </w:r>
                  </w:p>
                </w:tc>
                <w:tc>
                  <w:tcPr>
                    <w:tcW w:w="3465" w:type="dxa"/>
                    <w:tcBorders>
                      <w:bottom w:val="nil"/>
                    </w:tcBorders>
                    <w:shd w:val="clear" w:color="auto" w:fill="auto"/>
                  </w:tcPr>
                  <w:p>
                    <w:pPr>
                      <w:rPr>
                        <w:bCs/>
                        <w:sz w:val="20"/>
                      </w:rPr>
                    </w:pPr>
                    <w:r>
                      <w:rPr>
                        <w:bCs/>
                        <w:sz w:val="20"/>
                      </w:rPr>
                      <w:t xml:space="preserve">Kaip 3.1 punkte </w:t>
                    </w:r>
                  </w:p>
                </w:tc>
                <w:tc>
                  <w:tcPr>
                    <w:tcW w:w="4254" w:type="dxa"/>
                    <w:tcBorders>
                      <w:bottom w:val="nil"/>
                    </w:tcBorders>
                    <w:shd w:val="clear" w:color="auto" w:fill="auto"/>
                  </w:tcPr>
                  <w:p>
                    <w:pPr>
                      <w:rPr>
                        <w:bCs/>
                        <w:sz w:val="20"/>
                      </w:rPr>
                    </w:pPr>
                  </w:p>
                </w:tc>
              </w:tr>
              <w:tr>
                <w:trPr>
                  <w:trHeight w:val="330"/>
                </w:trPr>
                <w:tc>
                  <w:tcPr>
                    <w:tcW w:w="638" w:type="dxa"/>
                    <w:vMerge/>
                  </w:tcPr>
                  <w:p>
                    <w:pPr>
                      <w:ind w:right="-8407"/>
                      <w:rPr>
                        <w:bCs/>
                        <w:sz w:val="20"/>
                      </w:rPr>
                    </w:pPr>
                  </w:p>
                </w:tc>
                <w:tc>
                  <w:tcPr>
                    <w:tcW w:w="2280" w:type="dxa"/>
                    <w:vMerge/>
                    <w:shd w:val="clear" w:color="auto" w:fill="auto"/>
                  </w:tcPr>
                  <w:p>
                    <w:pPr>
                      <w:ind w:right="-8407"/>
                      <w:rPr>
                        <w:bCs/>
                        <w:sz w:val="20"/>
                      </w:rPr>
                    </w:pPr>
                  </w:p>
                </w:tc>
                <w:tc>
                  <w:tcPr>
                    <w:tcW w:w="1459" w:type="dxa"/>
                    <w:vMerge/>
                    <w:shd w:val="clear" w:color="auto" w:fill="auto"/>
                  </w:tcPr>
                  <w:p>
                    <w:pPr>
                      <w:rPr>
                        <w:bCs/>
                        <w:sz w:val="20"/>
                      </w:rPr>
                    </w:pPr>
                  </w:p>
                </w:tc>
                <w:tc>
                  <w:tcPr>
                    <w:tcW w:w="2644" w:type="dxa"/>
                    <w:tcBorders>
                      <w:top w:val="nil"/>
                    </w:tcBorders>
                  </w:tcPr>
                  <w:p>
                    <w:pPr>
                      <w:rPr>
                        <w:bCs/>
                        <w:sz w:val="20"/>
                      </w:rPr>
                    </w:pPr>
                    <w:r>
                      <w:rPr>
                        <w:bCs/>
                        <w:sz w:val="20"/>
                      </w:rPr>
                      <w:t>Kiti specialistai</w:t>
                    </w:r>
                  </w:p>
                </w:tc>
                <w:tc>
                  <w:tcPr>
                    <w:tcW w:w="3465" w:type="dxa"/>
                    <w:tcBorders>
                      <w:top w:val="nil"/>
                    </w:tcBorders>
                    <w:shd w:val="clear" w:color="auto" w:fill="auto"/>
                  </w:tcPr>
                  <w:p>
                    <w:pPr>
                      <w:rPr>
                        <w:bCs/>
                        <w:sz w:val="20"/>
                      </w:rPr>
                    </w:pPr>
                  </w:p>
                </w:tc>
                <w:tc>
                  <w:tcPr>
                    <w:tcW w:w="4254" w:type="dxa"/>
                    <w:tcBorders>
                      <w:top w:val="nil"/>
                    </w:tcBorders>
                    <w:shd w:val="clear" w:color="auto" w:fill="auto"/>
                  </w:tcPr>
                  <w:p>
                    <w:pPr>
                      <w:rPr>
                        <w:bCs/>
                        <w:sz w:val="20"/>
                      </w:rPr>
                    </w:pPr>
                    <w:r>
                      <w:rPr>
                        <w:bCs/>
                        <w:sz w:val="20"/>
                      </w:rPr>
                      <w:t>Pagal indikacijas</w:t>
                    </w:r>
                  </w:p>
                </w:tc>
              </w:tr>
            </w:tbl>
            <w:p>
              <w:pPr>
                <w:widowControl w:val="0"/>
                <w:suppressAutoHyphens/>
                <w:ind w:firstLine="567"/>
                <w:jc w:val="both"/>
                <w:rPr>
                  <w:color w:val="000000"/>
                </w:rPr>
              </w:pPr>
            </w:p>
            <w:p>
              <w:pPr>
                <w:widowControl w:val="0"/>
                <w:suppressAutoHyphens/>
                <w:ind w:firstLine="567"/>
                <w:jc w:val="both"/>
                <w:rPr>
                  <w:color w:val="000000"/>
                </w:rPr>
              </w:pPr>
            </w:p>
            <w:p>
              <w:pPr>
                <w:widowControl w:val="0"/>
                <w:suppressAutoHyphens/>
                <w:ind w:firstLine="567"/>
                <w:jc w:val="both"/>
                <w:rPr>
                  <w:color w:val="000000"/>
                </w:rPr>
                <w:sectPr>
                  <w:pgSz w:w="16840" w:h="11907" w:orient="landscape" w:code="9"/>
                  <w:pgMar w:top="1134" w:right="1134" w:bottom="1701" w:left="1134" w:header="567" w:footer="284" w:gutter="0"/>
                  <w:cols w:space="1296"/>
                  <w:docGrid w:linePitch="360"/>
                </w:sectPr>
              </w:pPr>
            </w:p>
          </w:sdtContent>
        </w:sdt>
        <w:sdt>
          <w:sdtPr>
            <w:alias w:val="skyrius"/>
            <w:tag w:val="part_db8ba70d495a479c947d7f86ea83ac4a"/>
            <w:lock w:val="sdtLocked"/>
            <w:richText/>
          </w:sdtPr>
          <w:sdtContent>
            <w:p>
              <w:pPr>
                <w:jc w:val="center"/>
                <w:rPr>
                  <w:bCs/>
                  <w:caps/>
                </w:rPr>
              </w:pPr>
              <w:sdt>
                <w:sdtPr>
                  <w:alias w:val="Numeris"/>
                  <w:tag w:val="nr_db8ba70d495a479c947d7f86ea83ac4a"/>
                  <w:lock w:val="sdtLocked"/>
                  <w:richText/>
                </w:sdtPr>
                <w:sdtContent>
                  <w:r>
                    <w:rPr>
                      <w:b/>
                      <w:bCs/>
                      <w:caps/>
                    </w:rPr>
                    <w:t>IV</w:t>
                  </w:r>
                </w:sdtContent>
              </w:sdt>
              <w:r>
                <w:rPr>
                  <w:b/>
                  <w:bCs/>
                  <w:caps/>
                </w:rPr>
                <w:t xml:space="preserve">. </w:t>
              </w:r>
              <w:sdt>
                <w:sdtPr>
                  <w:alias w:val="Pavadinimas"/>
                  <w:tag w:val="title_db8ba70d495a479c947d7f86ea83ac4a"/>
                  <w:lock w:val="sdtLocked"/>
                  <w:richText/>
                </w:sdtPr>
                <w:sdtContent>
                  <w:r>
                    <w:rPr>
                      <w:b/>
                      <w:bCs/>
                      <w:caps/>
                    </w:rPr>
                    <w:t>detalUs sporto medicinOs centruose teikiamų asmens sveikatos priežiūros paslaugų sąrašas</w:t>
                  </w:r>
                </w:sdtContent>
              </w:sdt>
            </w:p>
            <w:p>
              <w:pPr>
                <w:rPr>
                  <w:bCs/>
                  <w:caps/>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308"/>
                <w:gridCol w:w="7762"/>
              </w:tblGrid>
              <w:tr>
                <w:trPr>
                  <w:trHeight w:val="334"/>
                  <w:tblHeader/>
                </w:trPr>
                <w:tc>
                  <w:tcPr>
                    <w:tcW w:w="1308" w:type="dxa"/>
                    <w:tcBorders>
                      <w:top w:val="single" w:sz="4" w:space="0" w:color="auto"/>
                      <w:left w:val="single" w:sz="4" w:space="0" w:color="auto"/>
                      <w:bottom w:val="single" w:sz="4" w:space="0" w:color="auto"/>
                      <w:right w:val="single" w:sz="4" w:space="0" w:color="auto"/>
                    </w:tcBorders>
                    <w:shd w:val="clear" w:color="auto" w:fill="auto"/>
                  </w:tcPr>
                  <w:p>
                    <w:pPr>
                      <w:jc w:val="center"/>
                      <w:rPr>
                        <w:bCs/>
                        <w:sz w:val="20"/>
                      </w:rPr>
                    </w:pPr>
                    <w:r>
                      <w:rPr>
                        <w:bCs/>
                        <w:sz w:val="20"/>
                      </w:rPr>
                      <w:t>Eil. Nr.</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jc w:val="center"/>
                      <w:rPr>
                        <w:bCs/>
                      </w:rPr>
                    </w:pPr>
                    <w:r>
                      <w:rPr>
                        <w:bCs/>
                      </w:rPr>
                      <w:t>PASLAUGOS (pateikiamas minimalus paslaugų mastas, kuris apmokamas biudžeto lėšomis)</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4.1.</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 xml:space="preserve">SPORTO MEDICINOS GYDYTOJO </w:t>
                    </w:r>
                  </w:p>
                </w:tc>
              </w:tr>
              <w:tr>
                <w:trPr>
                  <w:trHeight w:val="270"/>
                </w:trPr>
                <w:tc>
                  <w:tcPr>
                    <w:tcW w:w="1308" w:type="dxa"/>
                    <w:tcBorders>
                      <w:top w:val="single" w:sz="4" w:space="0" w:color="auto"/>
                      <w:left w:val="single" w:sz="4" w:space="0" w:color="auto"/>
                      <w:bottom w:val="nil"/>
                      <w:right w:val="single" w:sz="4" w:space="0" w:color="auto"/>
                    </w:tcBorders>
                    <w:shd w:val="clear" w:color="auto" w:fill="auto"/>
                  </w:tcPr>
                  <w:p>
                    <w:pPr>
                      <w:rPr>
                        <w:bCs/>
                        <w:sz w:val="20"/>
                      </w:rPr>
                    </w:pPr>
                    <w:r>
                      <w:rPr>
                        <w:bCs/>
                        <w:sz w:val="20"/>
                      </w:rPr>
                      <w:t>4.1.1.</w:t>
                    </w:r>
                  </w:p>
                </w:tc>
                <w:tc>
                  <w:tcPr>
                    <w:tcW w:w="7762" w:type="dxa"/>
                    <w:tcBorders>
                      <w:top w:val="single" w:sz="4" w:space="0" w:color="auto"/>
                      <w:left w:val="single" w:sz="4" w:space="0" w:color="auto"/>
                      <w:bottom w:val="nil"/>
                      <w:right w:val="single" w:sz="4" w:space="0" w:color="auto"/>
                    </w:tcBorders>
                    <w:shd w:val="clear" w:color="auto" w:fill="auto"/>
                  </w:tcPr>
                  <w:p>
                    <w:pPr>
                      <w:ind w:firstLine="55"/>
                      <w:rPr>
                        <w:bCs/>
                        <w:sz w:val="20"/>
                      </w:rPr>
                    </w:pPr>
                    <w:r>
                      <w:rPr>
                        <w:bCs/>
                        <w:sz w:val="20"/>
                      </w:rPr>
                      <w:t>Sportininkų sveikatos ištyrimas:</w:t>
                    </w:r>
                  </w:p>
                </w:tc>
              </w:tr>
              <w:tr>
                <w:trPr>
                  <w:trHeight w:val="18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4.1.1.1.</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fizinio išsivystymo, judamojo aparato funkcinės būklės įvertinimas;</w:t>
                    </w:r>
                  </w:p>
                </w:tc>
              </w:tr>
              <w:tr>
                <w:trPr>
                  <w:trHeight w:val="22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4.1.1.2.</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regos aštrumo nustatymas;</w:t>
                    </w:r>
                  </w:p>
                </w:tc>
              </w:tr>
              <w:tr>
                <w:trPr>
                  <w:trHeight w:val="27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4.1.1.3.</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plaučių gyvybinės talpos nustatymas;</w:t>
                    </w:r>
                  </w:p>
                </w:tc>
              </w:tr>
              <w:tr>
                <w:trPr>
                  <w:trHeight w:val="8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4.1.1.4.</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išsamus sportinės bei ligos anamnezės surinkimas;</w:t>
                    </w:r>
                  </w:p>
                </w:tc>
              </w:tr>
              <w:tr>
                <w:trPr>
                  <w:trHeight w:val="19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4.1.1.5.</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palpacija (ypač kreipiant dėmesį į judamąjį aparatą);</w:t>
                    </w:r>
                  </w:p>
                </w:tc>
              </w:tr>
              <w:tr>
                <w:trPr>
                  <w:trHeight w:val="24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4.1.1.6.</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auskultacija (širdies, plaučių);</w:t>
                    </w:r>
                  </w:p>
                </w:tc>
              </w:tr>
              <w:tr>
                <w:trPr>
                  <w:trHeight w:val="14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4.1.1.7.</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burnos ertmės apžiūra;</w:t>
                    </w:r>
                  </w:p>
                </w:tc>
              </w:tr>
              <w:tr>
                <w:trPr>
                  <w:trHeight w:val="16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4.1.1.8.</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pulso tyrimas ir arterinio kraujo spaudimo matavimas netiesioginiu būdu;</w:t>
                    </w:r>
                  </w:p>
                </w:tc>
              </w:tr>
              <w:tr>
                <w:trPr>
                  <w:trHeight w:val="21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4.1.1.9.</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kūno temperatūros matavimas;</w:t>
                    </w:r>
                  </w:p>
                </w:tc>
              </w:tr>
              <w:tr>
                <w:trPr>
                  <w:trHeight w:val="27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4.1.1.10.</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sportuojančių kūno masės komponentų nustatymas ir įvertinimas.</w:t>
                    </w:r>
                  </w:p>
                </w:tc>
              </w:tr>
              <w:tr>
                <w:trPr>
                  <w:trHeight w:val="54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4.1.2.</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Reikalingų tyrimų paskyrimas (hematologinių, bendraklinikinių, biocheminių, elektrokardiogramos, echoskopijos, spiroergometrijos, rentgeno, magnetinio rezonanso, kompiuterinės tomografijos).</w:t>
                    </w:r>
                  </w:p>
                </w:tc>
              </w:tr>
              <w:tr>
                <w:trPr>
                  <w:trHeight w:val="15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4.1.3.</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Sportininko širdies ir kraujagyslių sistemos funkcinės būklės nustatymas specialiais testais:</w:t>
                    </w:r>
                  </w:p>
                </w:tc>
              </w:tr>
              <w:tr>
                <w:trPr>
                  <w:trHeight w:val="19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4.1.3.1.</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20 pritūpimų vietoje;</w:t>
                    </w:r>
                  </w:p>
                </w:tc>
              </w:tr>
              <w:tr>
                <w:trPr>
                  <w:trHeight w:val="13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4.1.3.2.</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15 sek. maksimalaus bėgimo vietoje, aukštai keliant kelius;</w:t>
                    </w:r>
                  </w:p>
                </w:tc>
              </w:tr>
              <w:tr>
                <w:trPr>
                  <w:trHeight w:val="8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4.1.3.3.</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3 min. bėgimu vietoje, 180 žingsnių per minutę tempu;</w:t>
                    </w:r>
                  </w:p>
                </w:tc>
              </w:tr>
              <w:tr>
                <w:trPr>
                  <w:trHeight w:val="10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4.1.3.4.</w:t>
                    </w:r>
                  </w:p>
                </w:tc>
                <w:tc>
                  <w:tcPr>
                    <w:tcW w:w="7762" w:type="dxa"/>
                    <w:tcBorders>
                      <w:top w:val="nil"/>
                      <w:left w:val="single" w:sz="4" w:space="0" w:color="auto"/>
                      <w:bottom w:val="nil"/>
                      <w:right w:val="single" w:sz="4" w:space="0" w:color="auto"/>
                    </w:tcBorders>
                    <w:shd w:val="clear" w:color="auto" w:fill="auto"/>
                  </w:tcPr>
                  <w:p>
                    <w:pPr>
                      <w:ind w:firstLine="55"/>
                      <w:rPr>
                        <w:bCs/>
                        <w:sz w:val="20"/>
                      </w:rPr>
                    </w:pPr>
                    <w:r>
                      <w:rPr>
                        <w:bCs/>
                        <w:i/>
                        <w:sz w:val="20"/>
                      </w:rPr>
                      <w:t>Astrando step</w:t>
                    </w:r>
                    <w:r>
                      <w:rPr>
                        <w:bCs/>
                        <w:sz w:val="20"/>
                      </w:rPr>
                      <w:t xml:space="preserve"> testu;</w:t>
                    </w:r>
                  </w:p>
                </w:tc>
              </w:tr>
              <w:tr>
                <w:trPr>
                  <w:trHeight w:val="136"/>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4.1.3.5.</w:t>
                    </w:r>
                  </w:p>
                </w:tc>
                <w:tc>
                  <w:tcPr>
                    <w:tcW w:w="7762" w:type="dxa"/>
                    <w:tcBorders>
                      <w:top w:val="nil"/>
                      <w:left w:val="single" w:sz="4" w:space="0" w:color="auto"/>
                      <w:bottom w:val="nil"/>
                      <w:right w:val="single" w:sz="4" w:space="0" w:color="auto"/>
                    </w:tcBorders>
                    <w:shd w:val="clear" w:color="auto" w:fill="auto"/>
                  </w:tcPr>
                  <w:p>
                    <w:pPr>
                      <w:rPr>
                        <w:bCs/>
                        <w:sz w:val="20"/>
                      </w:rPr>
                    </w:pPr>
                    <w:r>
                      <w:rPr>
                        <w:bCs/>
                        <w:i/>
                        <w:sz w:val="20"/>
                      </w:rPr>
                      <w:t>Harvardo step</w:t>
                    </w:r>
                    <w:r>
                      <w:rPr>
                        <w:bCs/>
                        <w:sz w:val="20"/>
                      </w:rPr>
                      <w:t xml:space="preserve"> testu; </w:t>
                    </w:r>
                  </w:p>
                </w:tc>
              </w:tr>
              <w:tr>
                <w:trPr>
                  <w:trHeight w:val="22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4.1.3.6.</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kvėpavimo sulaikymo mėginiu (pagal Serkiną);</w:t>
                    </w:r>
                  </w:p>
                </w:tc>
              </w:tr>
              <w:tr>
                <w:trPr>
                  <w:trHeight w:val="16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4.1.3.7.</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ortostatiniu mėginiu.</w:t>
                    </w:r>
                  </w:p>
                </w:tc>
              </w:tr>
              <w:tr>
                <w:trPr>
                  <w:trHeight w:val="10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4.1.4.</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Sportininkų sveikatos ir funkcinės būklės analizė ir kitų duomenų įvertinimas.</w:t>
                    </w:r>
                  </w:p>
                </w:tc>
              </w:tr>
              <w:tr>
                <w:trPr>
                  <w:trHeight w:val="7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4.1.5.</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Susirgusių ir traumuotų sportininkų gydymas pagal kompetenciją.</w:t>
                    </w:r>
                  </w:p>
                </w:tc>
              </w:tr>
              <w:tr>
                <w:trPr>
                  <w:trHeight w:val="21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4.1.6.</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Atsigavimo programų sudarymas.</w:t>
                    </w:r>
                  </w:p>
                </w:tc>
              </w:tr>
              <w:tr>
                <w:trPr>
                  <w:trHeight w:val="25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4.1.7.</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Rekomendacijų dėl sveikatos stiprinimo, traumų profilaktikos, treniruočių režimo teikimas.</w:t>
                    </w:r>
                  </w:p>
                </w:tc>
              </w:tr>
              <w:tr>
                <w:trPr>
                  <w:trHeight w:val="54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4.1.8.</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 xml:space="preserve">Medicininių, funkcinių tyrimų duomenų, atliktų treniruočių, mokomųjų-treniravimo stovyklų ar varžybų metu, analizė, išvadų teikimas. </w:t>
                    </w:r>
                  </w:p>
                </w:tc>
              </w:tr>
              <w:tr>
                <w:trPr>
                  <w:trHeight w:val="16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4.1.9.</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Sportininko sveikatos stebėjimo kortelės (forma Nr. 61/a), asmens sveikatos istorijos (forma Nr. 025/a-LK) pildymas.</w:t>
                    </w:r>
                  </w:p>
                </w:tc>
              </w:tr>
              <w:tr>
                <w:trPr>
                  <w:trHeight w:val="285"/>
                </w:trPr>
                <w:tc>
                  <w:tcPr>
                    <w:tcW w:w="1308" w:type="dxa"/>
                    <w:tcBorders>
                      <w:top w:val="nil"/>
                      <w:left w:val="single" w:sz="4" w:space="0" w:color="auto"/>
                      <w:bottom w:val="nil"/>
                      <w:right w:val="single" w:sz="4" w:space="0" w:color="auto"/>
                    </w:tcBorders>
                    <w:shd w:val="clear" w:color="auto" w:fill="auto"/>
                  </w:tcPr>
                  <w:p>
                    <w:pPr>
                      <w:rPr>
                        <w:bCs/>
                        <w:sz w:val="20"/>
                      </w:rPr>
                    </w:pP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Sporto varžybų paraiškų medicininis patvirtinimas.</w:t>
                    </w:r>
                  </w:p>
                </w:tc>
              </w:tr>
              <w:tr>
                <w:trPr>
                  <w:trHeight w:val="33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4.1.10.</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 xml:space="preserve">Susirgusių sportininkų nukreipimas konsultacijoms ir stacionariniam gydymui į antrojo ir trečiojo lygio asmens </w:t>
                    </w:r>
                  </w:p>
                </w:tc>
              </w:tr>
              <w:tr>
                <w:trPr>
                  <w:trHeight w:val="8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4.1.11.</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sveikatos priežiūros įstaigas.</w:t>
                    </w:r>
                  </w:p>
                </w:tc>
              </w:tr>
              <w:tr>
                <w:trPr>
                  <w:trHeight w:val="25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4.1.12.</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Būtinosios pagalbos teikimas.</w:t>
                    </w:r>
                  </w:p>
                </w:tc>
              </w:tr>
              <w:tr>
                <w:trPr>
                  <w:trHeight w:val="80"/>
                </w:trPr>
                <w:tc>
                  <w:tcPr>
                    <w:tcW w:w="1308" w:type="dxa"/>
                    <w:tcBorders>
                      <w:top w:val="nil"/>
                      <w:left w:val="single" w:sz="4" w:space="0" w:color="auto"/>
                      <w:bottom w:val="single" w:sz="4" w:space="0" w:color="auto"/>
                      <w:right w:val="single" w:sz="4" w:space="0" w:color="auto"/>
                    </w:tcBorders>
                    <w:shd w:val="clear" w:color="auto" w:fill="auto"/>
                  </w:tcPr>
                  <w:p>
                    <w:pPr>
                      <w:rPr>
                        <w:bCs/>
                        <w:sz w:val="20"/>
                      </w:rPr>
                    </w:pPr>
                    <w:r>
                      <w:rPr>
                        <w:bCs/>
                        <w:sz w:val="20"/>
                      </w:rPr>
                      <w:t>4.1.13.</w:t>
                    </w:r>
                  </w:p>
                </w:tc>
                <w:tc>
                  <w:tcPr>
                    <w:tcW w:w="7762" w:type="dxa"/>
                    <w:tcBorders>
                      <w:top w:val="nil"/>
                      <w:left w:val="single" w:sz="4" w:space="0" w:color="auto"/>
                      <w:bottom w:val="single" w:sz="4" w:space="0" w:color="auto"/>
                      <w:right w:val="single" w:sz="4" w:space="0" w:color="auto"/>
                    </w:tcBorders>
                    <w:shd w:val="clear" w:color="auto" w:fill="auto"/>
                  </w:tcPr>
                  <w:p>
                    <w:pPr>
                      <w:rPr>
                        <w:bCs/>
                        <w:sz w:val="20"/>
                      </w:rPr>
                    </w:pPr>
                    <w:r>
                      <w:rPr>
                        <w:bCs/>
                        <w:sz w:val="20"/>
                      </w:rPr>
                      <w:t>Receptų medikamentams, vitaminams išrašymas bei jų naudojimo aiškinimas.</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4.2.</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caps/>
                        <w:sz w:val="20"/>
                      </w:rPr>
                      <w:t xml:space="preserve">Klinikinės fiziologijos </w:t>
                    </w:r>
                  </w:p>
                </w:tc>
              </w:tr>
              <w:tr>
                <w:trPr>
                  <w:trHeight w:val="210"/>
                </w:trPr>
                <w:tc>
                  <w:tcPr>
                    <w:tcW w:w="1308" w:type="dxa"/>
                    <w:tcBorders>
                      <w:top w:val="single" w:sz="4" w:space="0" w:color="auto"/>
                      <w:left w:val="single" w:sz="4" w:space="0" w:color="auto"/>
                      <w:bottom w:val="nil"/>
                      <w:right w:val="single" w:sz="4" w:space="0" w:color="auto"/>
                    </w:tcBorders>
                    <w:shd w:val="clear" w:color="auto" w:fill="auto"/>
                  </w:tcPr>
                  <w:p>
                    <w:pPr>
                      <w:rPr>
                        <w:bCs/>
                        <w:sz w:val="20"/>
                      </w:rPr>
                    </w:pPr>
                    <w:r>
                      <w:rPr>
                        <w:bCs/>
                        <w:sz w:val="20"/>
                      </w:rPr>
                      <w:t>4.2.1.</w:t>
                    </w:r>
                  </w:p>
                </w:tc>
                <w:tc>
                  <w:tcPr>
                    <w:tcW w:w="7762" w:type="dxa"/>
                    <w:tcBorders>
                      <w:top w:val="single" w:sz="4" w:space="0" w:color="auto"/>
                      <w:left w:val="single" w:sz="4" w:space="0" w:color="auto"/>
                      <w:bottom w:val="nil"/>
                      <w:right w:val="single" w:sz="4" w:space="0" w:color="auto"/>
                    </w:tcBorders>
                    <w:shd w:val="clear" w:color="auto" w:fill="auto"/>
                  </w:tcPr>
                  <w:p>
                    <w:pPr>
                      <w:rPr>
                        <w:bCs/>
                        <w:sz w:val="20"/>
                      </w:rPr>
                    </w:pPr>
                    <w:r>
                      <w:rPr>
                        <w:bCs/>
                        <w:sz w:val="20"/>
                        <w:lang w:val="pt-BR"/>
                      </w:rPr>
                      <w:t>Anamnezės patikslinimas.</w:t>
                    </w:r>
                  </w:p>
                </w:tc>
              </w:tr>
              <w:tr>
                <w:trPr>
                  <w:trHeight w:val="13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4.2.2.</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Elektrokardiogramos esant ramybės būsenos registravimas (12, 18 derivacijų) ir jos interpretavimas.</w:t>
                    </w:r>
                  </w:p>
                </w:tc>
              </w:tr>
              <w:tr>
                <w:trPr>
                  <w:trHeight w:val="25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4.2.3.</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Elektrokardiograma su medikamentais (kalio chlorido, atropino, nitroglicerino) ir jos interpretacija.</w:t>
                    </w:r>
                  </w:p>
                </w:tc>
              </w:tr>
              <w:tr>
                <w:trPr>
                  <w:trHeight w:val="16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4.2.4.</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Ergometrija dviratiniu ergometru (testas PWC</w:t>
                    </w:r>
                    <w:r>
                      <w:rPr>
                        <w:bCs/>
                        <w:sz w:val="20"/>
                        <w:vertAlign w:val="subscript"/>
                        <w:lang w:val="pt-BR"/>
                      </w:rPr>
                      <w:t xml:space="preserve">170, </w:t>
                    </w:r>
                    <w:r>
                      <w:rPr>
                        <w:bCs/>
                        <w:sz w:val="20"/>
                        <w:lang w:val="pt-BR"/>
                      </w:rPr>
                      <w:t>tolerancijos standartiniams krūviams).</w:t>
                    </w:r>
                  </w:p>
                </w:tc>
              </w:tr>
              <w:tr>
                <w:trPr>
                  <w:trHeight w:val="12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4.2.5.</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Ergometrija irklavimo ergometru.</w:t>
                    </w:r>
                  </w:p>
                </w:tc>
              </w:tr>
              <w:tr>
                <w:trPr>
                  <w:trHeight w:val="8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4.2.6.</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Ergometrija baidarių ergometru.</w:t>
                    </w:r>
                  </w:p>
                </w:tc>
              </w:tr>
              <w:tr>
                <w:trPr>
                  <w:trHeight w:val="25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4.2.7.</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Ergometrija bėgtakiu (tredmilu).</w:t>
                    </w:r>
                  </w:p>
                </w:tc>
              </w:tr>
              <w:tr>
                <w:trPr>
                  <w:trHeight w:val="16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4.2.8.</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 xml:space="preserve">Ortostatinis mėginys. </w:t>
                    </w:r>
                  </w:p>
                </w:tc>
              </w:tr>
              <w:tr>
                <w:trPr>
                  <w:trHeight w:val="12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4.2.9.</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 xml:space="preserve">Spiroergometrijos tyrimas (testuojant dviratiniu, irklavimo, baidarių ergometrais, bėgtakiu). </w:t>
                    </w:r>
                  </w:p>
                </w:tc>
              </w:tr>
              <w:tr>
                <w:trPr>
                  <w:trHeight w:val="8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4.2.10.</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Širdies echoskopija (doplerinė, vienmatė ir dvimatė).</w:t>
                    </w:r>
                  </w:p>
                </w:tc>
              </w:tr>
              <w:tr>
                <w:trPr>
                  <w:trHeight w:val="24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4.2.11.</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Kompiuterizuota spirografija.</w:t>
                    </w:r>
                  </w:p>
                </w:tc>
              </w:tr>
              <w:tr>
                <w:trPr>
                  <w:trHeight w:val="18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4.2.12.</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Arterinio kraujo spaudimo matavimas esant ramybės būsenos ir fizinio krūvio metu netiesioginiu būdu.</w:t>
                    </w:r>
                  </w:p>
                </w:tc>
              </w:tr>
              <w:tr>
                <w:trPr>
                  <w:trHeight w:val="12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4.2.13.</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Širdies veiklos stebėjimas ergometrijos ar spiroergometrijos metu.</w:t>
                    </w:r>
                  </w:p>
                </w:tc>
              </w:tr>
              <w:tr>
                <w:trPr>
                  <w:trHeight w:val="24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4.2.14.</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Defibriliatoriaus naudojimas.</w:t>
                    </w:r>
                  </w:p>
                </w:tc>
              </w:tr>
              <w:tr>
                <w:trPr>
                  <w:trHeight w:val="16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4.2.15.</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Anaerobinio slenksčio nustatymas, atliekant laktato mėginį.</w:t>
                    </w:r>
                  </w:p>
                </w:tc>
              </w:tr>
              <w:tr>
                <w:trPr>
                  <w:trHeight w:val="10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4.2.16.</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rPr>
                      <w:t>Reakcijos greičio matavimas.</w:t>
                    </w:r>
                  </w:p>
                </w:tc>
              </w:tr>
              <w:tr>
                <w:trPr>
                  <w:trHeight w:val="80"/>
                </w:trPr>
                <w:tc>
                  <w:tcPr>
                    <w:tcW w:w="1308" w:type="dxa"/>
                    <w:tcBorders>
                      <w:top w:val="nil"/>
                      <w:left w:val="single" w:sz="4" w:space="0" w:color="auto"/>
                      <w:bottom w:val="single" w:sz="4" w:space="0" w:color="auto"/>
                      <w:right w:val="single" w:sz="4" w:space="0" w:color="auto"/>
                    </w:tcBorders>
                    <w:shd w:val="clear" w:color="auto" w:fill="auto"/>
                  </w:tcPr>
                  <w:p>
                    <w:pPr>
                      <w:rPr>
                        <w:bCs/>
                        <w:sz w:val="20"/>
                      </w:rPr>
                    </w:pPr>
                    <w:r>
                      <w:rPr>
                        <w:bCs/>
                        <w:sz w:val="20"/>
                      </w:rPr>
                      <w:t>4.2.17.</w:t>
                    </w:r>
                  </w:p>
                </w:tc>
                <w:tc>
                  <w:tcPr>
                    <w:tcW w:w="7762" w:type="dxa"/>
                    <w:tcBorders>
                      <w:top w:val="nil"/>
                      <w:left w:val="single" w:sz="4" w:space="0" w:color="auto"/>
                      <w:bottom w:val="single" w:sz="4" w:space="0" w:color="auto"/>
                      <w:right w:val="single" w:sz="4" w:space="0" w:color="auto"/>
                    </w:tcBorders>
                    <w:shd w:val="clear" w:color="auto" w:fill="auto"/>
                  </w:tcPr>
                  <w:p>
                    <w:pPr>
                      <w:rPr>
                        <w:bCs/>
                        <w:sz w:val="20"/>
                      </w:rPr>
                    </w:pPr>
                    <w:r>
                      <w:rPr>
                        <w:bCs/>
                        <w:i/>
                        <w:sz w:val="20"/>
                      </w:rPr>
                      <w:t>Teping</w:t>
                    </w:r>
                    <w:r>
                      <w:rPr>
                        <w:bCs/>
                        <w:sz w:val="20"/>
                      </w:rPr>
                      <w:t xml:space="preserve"> testo atlikimas ir įvertinimas.</w:t>
                    </w:r>
                  </w:p>
                </w:tc>
              </w:tr>
              <w:tr>
                <w:tblPrEx>
                  <w:tblBorders>
                    <w:insideH w:val="none" w:sz="0" w:space="0" w:color="auto"/>
                    <w:insideV w:val="none" w:sz="0" w:space="0" w:color="auto"/>
                  </w:tblBorders>
                </w:tblPrEx>
                <w:tc>
                  <w:tcPr>
                    <w:tcW w:w="1308" w:type="dxa"/>
                    <w:tcBorders>
                      <w:top w:val="single" w:sz="4" w:space="0" w:color="auto"/>
                      <w:bottom w:val="single" w:sz="4" w:space="0" w:color="auto"/>
                      <w:right w:val="single" w:sz="4" w:space="0" w:color="auto"/>
                    </w:tcBorders>
                    <w:shd w:val="clear" w:color="auto" w:fill="auto"/>
                  </w:tcPr>
                  <w:p>
                    <w:pPr>
                      <w:widowControl w:val="0"/>
                      <w:rPr>
                        <w:bCs/>
                        <w:sz w:val="20"/>
                      </w:rPr>
                    </w:pPr>
                    <w:r>
                      <w:rPr>
                        <w:bCs/>
                        <w:sz w:val="20"/>
                      </w:rPr>
                      <w:t>4.3.</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widowControl w:val="0"/>
                      <w:rPr>
                        <w:bCs/>
                        <w:sz w:val="20"/>
                        <w:lang w:val="pt-BR"/>
                      </w:rPr>
                    </w:pPr>
                    <w:r>
                      <w:rPr>
                        <w:bCs/>
                        <w:sz w:val="20"/>
                        <w:lang w:val="pt-BR"/>
                      </w:rPr>
                      <w:t xml:space="preserve">KLINIKINĖS LABORATORIJOS </w:t>
                    </w:r>
                  </w:p>
                </w:tc>
              </w:tr>
              <w:tr>
                <w:tblPrEx>
                  <w:tblBorders>
                    <w:insideH w:val="none" w:sz="0" w:space="0" w:color="auto"/>
                    <w:insideV w:val="none" w:sz="0" w:space="0" w:color="auto"/>
                  </w:tblBorders>
                </w:tblPrEx>
                <w:trPr>
                  <w:trHeight w:val="1380"/>
                </w:trPr>
                <w:tc>
                  <w:tcPr>
                    <w:tcW w:w="1308" w:type="dxa"/>
                    <w:tcBorders>
                      <w:top w:val="single" w:sz="4" w:space="0" w:color="auto"/>
                      <w:bottom w:val="nil"/>
                      <w:right w:val="single" w:sz="4" w:space="0" w:color="auto"/>
                    </w:tcBorders>
                    <w:shd w:val="clear" w:color="auto" w:fill="auto"/>
                  </w:tcPr>
                  <w:p>
                    <w:pPr>
                      <w:rPr>
                        <w:bCs/>
                        <w:sz w:val="20"/>
                      </w:rPr>
                    </w:pPr>
                    <w:r>
                      <w:rPr>
                        <w:bCs/>
                        <w:sz w:val="20"/>
                      </w:rPr>
                      <w:t>4.3.1.</w:t>
                    </w:r>
                  </w:p>
                </w:tc>
                <w:tc>
                  <w:tcPr>
                    <w:tcW w:w="7762" w:type="dxa"/>
                    <w:tcBorders>
                      <w:top w:val="single" w:sz="4" w:space="0" w:color="auto"/>
                      <w:left w:val="single" w:sz="4" w:space="0" w:color="auto"/>
                      <w:bottom w:val="nil"/>
                      <w:right w:val="single" w:sz="4" w:space="0" w:color="auto"/>
                    </w:tcBorders>
                    <w:shd w:val="clear" w:color="auto" w:fill="auto"/>
                  </w:tcPr>
                  <w:p>
                    <w:pPr>
                      <w:rPr>
                        <w:bCs/>
                        <w:sz w:val="20"/>
                      </w:rPr>
                    </w:pPr>
                    <w:r>
                      <w:rPr>
                        <w:bCs/>
                        <w:sz w:val="20"/>
                      </w:rPr>
                      <w:t>Automatizuotas kraujo tyrimas:</w:t>
                    </w:r>
                  </w:p>
                  <w:p>
                    <w:pPr>
                      <w:rPr>
                        <w:bCs/>
                        <w:sz w:val="20"/>
                      </w:rPr>
                    </w:pPr>
                    <w:r>
                      <w:rPr>
                        <w:bCs/>
                        <w:sz w:val="20"/>
                      </w:rPr>
                      <w:t>eritrocitų kiekis;</w:t>
                    </w:r>
                  </w:p>
                  <w:p>
                    <w:pPr>
                      <w:rPr>
                        <w:bCs/>
                        <w:sz w:val="20"/>
                      </w:rPr>
                    </w:pPr>
                    <w:r>
                      <w:rPr>
                        <w:bCs/>
                        <w:sz w:val="20"/>
                      </w:rPr>
                      <w:t>hemoglobino kiekis;</w:t>
                    </w:r>
                  </w:p>
                  <w:p>
                    <w:pPr>
                      <w:rPr>
                        <w:bCs/>
                        <w:sz w:val="20"/>
                      </w:rPr>
                    </w:pPr>
                    <w:r>
                      <w:rPr>
                        <w:bCs/>
                        <w:sz w:val="20"/>
                      </w:rPr>
                      <w:t>leukocitų kiekis;</w:t>
                    </w:r>
                  </w:p>
                  <w:p>
                    <w:pPr>
                      <w:rPr>
                        <w:bCs/>
                        <w:sz w:val="20"/>
                      </w:rPr>
                    </w:pPr>
                    <w:r>
                      <w:rPr>
                        <w:bCs/>
                        <w:sz w:val="20"/>
                      </w:rPr>
                      <w:t>trombocitų kiekis;</w:t>
                    </w:r>
                  </w:p>
                  <w:p>
                    <w:pPr>
                      <w:rPr>
                        <w:rFonts w:ascii="TimesLT" w:hAnsi="TimesLT"/>
                        <w:bCs/>
                        <w:sz w:val="20"/>
                        <w:lang w:val="pt-BR"/>
                      </w:rPr>
                    </w:pPr>
                    <w:r>
                      <w:rPr>
                        <w:bCs/>
                        <w:sz w:val="20"/>
                      </w:rPr>
                      <w:t>leukocitų diferencinis pasiskirstymas;</w:t>
                    </w:r>
                  </w:p>
                </w:tc>
              </w:tr>
              <w:tr>
                <w:tblPrEx>
                  <w:tblBorders>
                    <w:insideH w:val="none" w:sz="0" w:space="0" w:color="auto"/>
                    <w:insideV w:val="none" w:sz="0" w:space="0" w:color="auto"/>
                  </w:tblBorders>
                </w:tblPrEx>
                <w:trPr>
                  <w:trHeight w:val="165"/>
                </w:trPr>
                <w:tc>
                  <w:tcPr>
                    <w:tcW w:w="1308" w:type="dxa"/>
                    <w:tcBorders>
                      <w:top w:val="nil"/>
                      <w:bottom w:val="nil"/>
                      <w:right w:val="single" w:sz="4" w:space="0" w:color="auto"/>
                    </w:tcBorders>
                    <w:shd w:val="clear" w:color="auto" w:fill="auto"/>
                  </w:tcPr>
                  <w:p>
                    <w:pPr>
                      <w:rPr>
                        <w:bCs/>
                        <w:sz w:val="20"/>
                      </w:rPr>
                    </w:pPr>
                    <w:r>
                      <w:rPr>
                        <w:bCs/>
                        <w:sz w:val="20"/>
                      </w:rPr>
                      <w:t>4.3.2.</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Leukocitų diferencinio pasiskirstymo skaičiavimas mikroskopu.</w:t>
                    </w:r>
                  </w:p>
                </w:tc>
              </w:tr>
              <w:tr>
                <w:tblPrEx>
                  <w:tblBorders>
                    <w:insideH w:val="none" w:sz="0" w:space="0" w:color="auto"/>
                    <w:insideV w:val="none" w:sz="0" w:space="0" w:color="auto"/>
                  </w:tblBorders>
                </w:tblPrEx>
                <w:trPr>
                  <w:trHeight w:val="105"/>
                </w:trPr>
                <w:tc>
                  <w:tcPr>
                    <w:tcW w:w="1308" w:type="dxa"/>
                    <w:tcBorders>
                      <w:top w:val="nil"/>
                      <w:bottom w:val="nil"/>
                      <w:right w:val="single" w:sz="4" w:space="0" w:color="auto"/>
                    </w:tcBorders>
                    <w:shd w:val="clear" w:color="auto" w:fill="auto"/>
                  </w:tcPr>
                  <w:p>
                    <w:pPr>
                      <w:rPr>
                        <w:bCs/>
                        <w:sz w:val="20"/>
                      </w:rPr>
                    </w:pPr>
                    <w:r>
                      <w:rPr>
                        <w:bCs/>
                        <w:sz w:val="20"/>
                      </w:rPr>
                      <w:t>4.3.3.</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Kraujo tyrimas eritrocitų nusėdimo greičiui (ENG) nustatyti.</w:t>
                    </w:r>
                  </w:p>
                </w:tc>
              </w:tr>
              <w:tr>
                <w:tblPrEx>
                  <w:tblBorders>
                    <w:insideH w:val="none" w:sz="0" w:space="0" w:color="auto"/>
                    <w:insideV w:val="none" w:sz="0" w:space="0" w:color="auto"/>
                  </w:tblBorders>
                </w:tblPrEx>
                <w:trPr>
                  <w:trHeight w:val="2021"/>
                </w:trPr>
                <w:tc>
                  <w:tcPr>
                    <w:tcW w:w="1308" w:type="dxa"/>
                    <w:tcBorders>
                      <w:top w:val="nil"/>
                      <w:bottom w:val="nil"/>
                      <w:right w:val="single" w:sz="4" w:space="0" w:color="auto"/>
                    </w:tcBorders>
                    <w:shd w:val="clear" w:color="auto" w:fill="auto"/>
                  </w:tcPr>
                  <w:p>
                    <w:pPr>
                      <w:rPr>
                        <w:bCs/>
                        <w:sz w:val="20"/>
                      </w:rPr>
                    </w:pPr>
                    <w:r>
                      <w:rPr>
                        <w:bCs/>
                        <w:sz w:val="20"/>
                      </w:rPr>
                      <w:t xml:space="preserve">4.3.4. </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Automatizuotas šlapimo tyrimas:</w:t>
                    </w:r>
                  </w:p>
                  <w:p>
                    <w:pPr>
                      <w:rPr>
                        <w:bCs/>
                        <w:sz w:val="20"/>
                      </w:rPr>
                    </w:pPr>
                    <w:r>
                      <w:rPr>
                        <w:bCs/>
                        <w:sz w:val="20"/>
                      </w:rPr>
                      <w:t>lyginamasis svoris;</w:t>
                    </w:r>
                  </w:p>
                  <w:p>
                    <w:pPr>
                      <w:rPr>
                        <w:bCs/>
                        <w:sz w:val="20"/>
                      </w:rPr>
                    </w:pPr>
                    <w:r>
                      <w:rPr>
                        <w:bCs/>
                        <w:sz w:val="20"/>
                      </w:rPr>
                      <w:t>šarmų-rūgščių pusiausvyra (PH);</w:t>
                    </w:r>
                  </w:p>
                  <w:p>
                    <w:pPr>
                      <w:rPr>
                        <w:bCs/>
                        <w:sz w:val="20"/>
                      </w:rPr>
                    </w:pPr>
                    <w:r>
                      <w:rPr>
                        <w:bCs/>
                        <w:sz w:val="20"/>
                      </w:rPr>
                      <w:t>baltymas;</w:t>
                    </w:r>
                  </w:p>
                  <w:p>
                    <w:pPr>
                      <w:rPr>
                        <w:bCs/>
                        <w:sz w:val="20"/>
                      </w:rPr>
                    </w:pPr>
                    <w:r>
                      <w:rPr>
                        <w:bCs/>
                        <w:sz w:val="20"/>
                      </w:rPr>
                      <w:t>bilirubinas;</w:t>
                    </w:r>
                  </w:p>
                  <w:p>
                    <w:pPr>
                      <w:rPr>
                        <w:bCs/>
                        <w:sz w:val="20"/>
                      </w:rPr>
                    </w:pPr>
                    <w:r>
                      <w:rPr>
                        <w:bCs/>
                        <w:sz w:val="20"/>
                      </w:rPr>
                      <w:t>urobilinogenas;</w:t>
                    </w:r>
                  </w:p>
                  <w:p>
                    <w:pPr>
                      <w:rPr>
                        <w:bCs/>
                        <w:sz w:val="20"/>
                      </w:rPr>
                    </w:pPr>
                    <w:r>
                      <w:rPr>
                        <w:bCs/>
                        <w:sz w:val="20"/>
                      </w:rPr>
                      <w:t>ketonai;</w:t>
                    </w:r>
                  </w:p>
                  <w:p>
                    <w:pPr>
                      <w:rPr>
                        <w:bCs/>
                        <w:sz w:val="20"/>
                      </w:rPr>
                    </w:pPr>
                    <w:r>
                      <w:rPr>
                        <w:bCs/>
                        <w:sz w:val="20"/>
                      </w:rPr>
                      <w:t>eritrocitai;</w:t>
                    </w:r>
                  </w:p>
                  <w:p>
                    <w:pPr>
                      <w:rPr>
                        <w:bCs/>
                        <w:sz w:val="20"/>
                      </w:rPr>
                    </w:pPr>
                    <w:r>
                      <w:rPr>
                        <w:bCs/>
                        <w:sz w:val="20"/>
                      </w:rPr>
                      <w:t>leukocitai;</w:t>
                    </w:r>
                  </w:p>
                  <w:p>
                    <w:pPr>
                      <w:rPr>
                        <w:bCs/>
                        <w:sz w:val="20"/>
                      </w:rPr>
                    </w:pPr>
                    <w:r>
                      <w:rPr>
                        <w:bCs/>
                        <w:sz w:val="20"/>
                      </w:rPr>
                      <w:t>bakterijos.</w:t>
                    </w:r>
                  </w:p>
                </w:tc>
              </w:tr>
              <w:tr>
                <w:tblPrEx>
                  <w:tblBorders>
                    <w:insideH w:val="none" w:sz="0" w:space="0" w:color="auto"/>
                    <w:insideV w:val="none" w:sz="0" w:space="0" w:color="auto"/>
                  </w:tblBorders>
                </w:tblPrEx>
                <w:trPr>
                  <w:trHeight w:val="285"/>
                </w:trPr>
                <w:tc>
                  <w:tcPr>
                    <w:tcW w:w="1308" w:type="dxa"/>
                    <w:tcBorders>
                      <w:top w:val="nil"/>
                      <w:bottom w:val="nil"/>
                      <w:right w:val="single" w:sz="4" w:space="0" w:color="auto"/>
                    </w:tcBorders>
                    <w:shd w:val="clear" w:color="auto" w:fill="auto"/>
                  </w:tcPr>
                  <w:p>
                    <w:pPr>
                      <w:rPr>
                        <w:bCs/>
                        <w:sz w:val="20"/>
                      </w:rPr>
                    </w:pPr>
                    <w:r>
                      <w:rPr>
                        <w:bCs/>
                        <w:sz w:val="20"/>
                      </w:rPr>
                      <w:t>4.3.5.</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Šlapimo nuosėdų mikroskopinis tyrimas.</w:t>
                    </w:r>
                  </w:p>
                </w:tc>
              </w:tr>
              <w:tr>
                <w:tblPrEx>
                  <w:tblBorders>
                    <w:insideH w:val="none" w:sz="0" w:space="0" w:color="auto"/>
                    <w:insideV w:val="none" w:sz="0" w:space="0" w:color="auto"/>
                  </w:tblBorders>
                </w:tblPrEx>
                <w:trPr>
                  <w:trHeight w:val="3373"/>
                </w:trPr>
                <w:tc>
                  <w:tcPr>
                    <w:tcW w:w="1308" w:type="dxa"/>
                    <w:tcBorders>
                      <w:top w:val="nil"/>
                      <w:bottom w:val="single" w:sz="4" w:space="0" w:color="auto"/>
                      <w:right w:val="single" w:sz="4" w:space="0" w:color="auto"/>
                    </w:tcBorders>
                    <w:shd w:val="clear" w:color="auto" w:fill="auto"/>
                  </w:tcPr>
                  <w:p>
                    <w:pPr>
                      <w:rPr>
                        <w:bCs/>
                        <w:sz w:val="20"/>
                      </w:rPr>
                    </w:pPr>
                    <w:r>
                      <w:rPr>
                        <w:bCs/>
                        <w:sz w:val="20"/>
                      </w:rPr>
                      <w:t xml:space="preserve">4.3.6. </w:t>
                    </w:r>
                  </w:p>
                </w:tc>
                <w:tc>
                  <w:tcPr>
                    <w:tcW w:w="7762" w:type="dxa"/>
                    <w:tcBorders>
                      <w:top w:val="nil"/>
                      <w:left w:val="single" w:sz="4" w:space="0" w:color="auto"/>
                      <w:bottom w:val="single" w:sz="4" w:space="0" w:color="auto"/>
                      <w:right w:val="single" w:sz="4" w:space="0" w:color="auto"/>
                    </w:tcBorders>
                    <w:shd w:val="clear" w:color="auto" w:fill="auto"/>
                  </w:tcPr>
                  <w:p>
                    <w:pPr>
                      <w:rPr>
                        <w:bCs/>
                        <w:sz w:val="20"/>
                      </w:rPr>
                    </w:pPr>
                    <w:r>
                      <w:rPr>
                        <w:bCs/>
                        <w:sz w:val="20"/>
                      </w:rPr>
                      <w:t xml:space="preserve">Automatizuotas biocheminis kraujo tyrimas: </w:t>
                    </w:r>
                  </w:p>
                  <w:p>
                    <w:pPr>
                      <w:rPr>
                        <w:bCs/>
                        <w:sz w:val="20"/>
                      </w:rPr>
                    </w:pPr>
                    <w:r>
                      <w:rPr>
                        <w:bCs/>
                        <w:sz w:val="20"/>
                      </w:rPr>
                      <w:t>bendrojo cholesterolio koncentracija;</w:t>
                    </w:r>
                  </w:p>
                  <w:p>
                    <w:pPr>
                      <w:rPr>
                        <w:bCs/>
                        <w:sz w:val="20"/>
                      </w:rPr>
                    </w:pPr>
                    <w:r>
                      <w:rPr>
                        <w:bCs/>
                        <w:sz w:val="20"/>
                      </w:rPr>
                      <w:t>didelio tankio lipoproteinų cholesterolio koncentracija;</w:t>
                    </w:r>
                  </w:p>
                  <w:p>
                    <w:pPr>
                      <w:rPr>
                        <w:bCs/>
                        <w:sz w:val="20"/>
                      </w:rPr>
                    </w:pPr>
                    <w:r>
                      <w:rPr>
                        <w:bCs/>
                        <w:sz w:val="20"/>
                      </w:rPr>
                      <w:t>trigliceridai;</w:t>
                    </w:r>
                  </w:p>
                  <w:p>
                    <w:pPr>
                      <w:rPr>
                        <w:bCs/>
                        <w:sz w:val="20"/>
                      </w:rPr>
                    </w:pPr>
                    <w:r>
                      <w:rPr>
                        <w:bCs/>
                        <w:sz w:val="20"/>
                      </w:rPr>
                      <w:t>bilirubinas;</w:t>
                    </w:r>
                  </w:p>
                  <w:p>
                    <w:pPr>
                      <w:rPr>
                        <w:bCs/>
                        <w:sz w:val="20"/>
                      </w:rPr>
                    </w:pPr>
                    <w:r>
                      <w:rPr>
                        <w:bCs/>
                        <w:sz w:val="20"/>
                      </w:rPr>
                      <w:t>amilazė;</w:t>
                    </w:r>
                  </w:p>
                  <w:p>
                    <w:pPr>
                      <w:rPr>
                        <w:bCs/>
                        <w:sz w:val="20"/>
                      </w:rPr>
                    </w:pPr>
                    <w:r>
                      <w:rPr>
                        <w:bCs/>
                        <w:sz w:val="20"/>
                      </w:rPr>
                      <w:t>kasos amilazė;</w:t>
                    </w:r>
                  </w:p>
                  <w:p>
                    <w:pPr>
                      <w:rPr>
                        <w:bCs/>
                        <w:sz w:val="20"/>
                      </w:rPr>
                    </w:pPr>
                    <w:r>
                      <w:rPr>
                        <w:bCs/>
                        <w:sz w:val="20"/>
                      </w:rPr>
                      <w:t>aspartataminotransferazė (GOT);</w:t>
                    </w:r>
                  </w:p>
                  <w:p>
                    <w:pPr>
                      <w:rPr>
                        <w:bCs/>
                        <w:sz w:val="20"/>
                      </w:rPr>
                    </w:pPr>
                    <w:r>
                      <w:rPr>
                        <w:bCs/>
                        <w:sz w:val="20"/>
                      </w:rPr>
                      <w:t>alaninaminotransferazės (GPT);</w:t>
                    </w:r>
                  </w:p>
                  <w:p>
                    <w:pPr>
                      <w:rPr>
                        <w:bCs/>
                        <w:sz w:val="20"/>
                      </w:rPr>
                    </w:pPr>
                    <w:r>
                      <w:rPr>
                        <w:bCs/>
                        <w:sz w:val="20"/>
                      </w:rPr>
                      <w:t>gama gliutamintransferazė (GGT);</w:t>
                    </w:r>
                  </w:p>
                  <w:p>
                    <w:pPr>
                      <w:rPr>
                        <w:bCs/>
                        <w:sz w:val="20"/>
                      </w:rPr>
                    </w:pPr>
                    <w:r>
                      <w:rPr>
                        <w:bCs/>
                        <w:sz w:val="20"/>
                      </w:rPr>
                      <w:t>kalis;</w:t>
                    </w:r>
                  </w:p>
                  <w:p>
                    <w:pPr>
                      <w:rPr>
                        <w:bCs/>
                        <w:sz w:val="20"/>
                      </w:rPr>
                    </w:pPr>
                    <w:r>
                      <w:rPr>
                        <w:bCs/>
                        <w:sz w:val="20"/>
                      </w:rPr>
                      <w:t>šlapalas;</w:t>
                    </w:r>
                  </w:p>
                  <w:p>
                    <w:pPr>
                      <w:rPr>
                        <w:bCs/>
                        <w:sz w:val="20"/>
                      </w:rPr>
                    </w:pPr>
                    <w:r>
                      <w:rPr>
                        <w:bCs/>
                        <w:sz w:val="20"/>
                      </w:rPr>
                      <w:t>šlapimo rūgštis;</w:t>
                    </w:r>
                  </w:p>
                  <w:p>
                    <w:pPr>
                      <w:rPr>
                        <w:bCs/>
                        <w:sz w:val="20"/>
                      </w:rPr>
                    </w:pPr>
                    <w:r>
                      <w:rPr>
                        <w:bCs/>
                        <w:sz w:val="20"/>
                      </w:rPr>
                      <w:t>kreatinkinazė (CK);</w:t>
                    </w:r>
                  </w:p>
                  <w:p>
                    <w:pPr>
                      <w:rPr>
                        <w:bCs/>
                        <w:sz w:val="20"/>
                      </w:rPr>
                    </w:pPr>
                    <w:r>
                      <w:rPr>
                        <w:bCs/>
                        <w:sz w:val="20"/>
                      </w:rPr>
                      <w:t>kreatininas;</w:t>
                    </w:r>
                  </w:p>
                  <w:p>
                    <w:pPr>
                      <w:rPr>
                        <w:bCs/>
                        <w:sz w:val="20"/>
                      </w:rPr>
                    </w:pPr>
                    <w:r>
                      <w:rPr>
                        <w:bCs/>
                        <w:sz w:val="20"/>
                      </w:rPr>
                      <w:t>gliukozė.</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4.4.</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FIZINĖS MEDICINOS IR REABILITACIJOS GYDYTOJO</w:t>
                    </w:r>
                  </w:p>
                  <w:p>
                    <w:pPr>
                      <w:ind w:firstLine="50"/>
                      <w:rPr>
                        <w:bCs/>
                        <w:sz w:val="20"/>
                      </w:rPr>
                    </w:pPr>
                    <w:r>
                      <w:rPr>
                        <w:bCs/>
                        <w:sz w:val="20"/>
                      </w:rPr>
                      <w:t xml:space="preserve">(fizinės medicinos ir reabilitacijos gydytojas, dirbantis Sporto medicinos centre, teikia trumpalaikes – iki 14 d. </w:t>
                    </w:r>
                    <w:r>
                      <w:rPr>
                        <w:bCs/>
                        <w:sz w:val="20"/>
                        <w:u w:val="single"/>
                      </w:rPr>
                      <w:t xml:space="preserve">nemedikamentinio gydymo paslaugas </w:t>
                    </w:r>
                    <w:r>
                      <w:rPr>
                        <w:bCs/>
                        <w:sz w:val="20"/>
                      </w:rPr>
                      <w:t xml:space="preserve">ir vykdo sportininkų atsigavimą skatinančias programas, panaudojant nemedikamentines priemones; esant indikacijoms ilgalaikiam nemedikamentiniam gydymui ir reabilitacijai – siunčia sportininkus į ambulatorinės reabilitacijos paslaugas teikiančias asmens sveikatos priežiūros įstaigas, vadovaudamasis šias paslaugas reglamentuojančiu Lietuvos Respublikos sveikatos apsaugos ministro 2008 m. sausio 17 d. įsakymu Nr. V-50 „Dėl medicininės reabilitacijos ir sanatorinio (antirecidyvinio) gydymo organizavimo“. </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4.4.1.</w:t>
                    </w:r>
                  </w:p>
                </w:tc>
                <w:tc>
                  <w:tcPr>
                    <w:tcW w:w="7762" w:type="dxa"/>
                    <w:tcBorders>
                      <w:top w:val="single" w:sz="4" w:space="0" w:color="auto"/>
                      <w:left w:val="single" w:sz="4" w:space="0" w:color="auto"/>
                      <w:bottom w:val="nil"/>
                    </w:tcBorders>
                    <w:shd w:val="clear" w:color="auto" w:fill="auto"/>
                  </w:tcPr>
                  <w:p>
                    <w:pPr>
                      <w:rPr>
                        <w:bCs/>
                        <w:sz w:val="20"/>
                      </w:rPr>
                    </w:pPr>
                    <w:r>
                      <w:rPr>
                        <w:bCs/>
                        <w:sz w:val="20"/>
                      </w:rPr>
                      <w:t>Nemedikamentiniam gydymui siųstų sportininkų ištyrimas:</w:t>
                    </w:r>
                  </w:p>
                </w:tc>
              </w:tr>
              <w:tr>
                <w:tblPrEx>
                  <w:tblBorders>
                    <w:insideH w:val="none" w:sz="0" w:space="0" w:color="auto"/>
                    <w:insideV w:val="none" w:sz="0" w:space="0" w:color="auto"/>
                  </w:tblBorders>
                </w:tblPrEx>
                <w:trPr>
                  <w:trHeight w:val="270"/>
                </w:trPr>
                <w:tc>
                  <w:tcPr>
                    <w:tcW w:w="1308" w:type="dxa"/>
                    <w:tcBorders>
                      <w:right w:val="single" w:sz="4" w:space="0" w:color="auto"/>
                    </w:tcBorders>
                    <w:shd w:val="clear" w:color="auto" w:fill="auto"/>
                  </w:tcPr>
                  <w:p>
                    <w:pPr>
                      <w:rPr>
                        <w:bCs/>
                        <w:sz w:val="20"/>
                      </w:rPr>
                    </w:pPr>
                    <w:r>
                      <w:rPr>
                        <w:bCs/>
                        <w:sz w:val="20"/>
                      </w:rPr>
                      <w:t>4.4.1.1.</w:t>
                    </w:r>
                  </w:p>
                </w:tc>
                <w:tc>
                  <w:tcPr>
                    <w:tcW w:w="7762" w:type="dxa"/>
                    <w:tcBorders>
                      <w:top w:val="nil"/>
                      <w:left w:val="single" w:sz="4" w:space="0" w:color="auto"/>
                      <w:bottom w:val="nil"/>
                    </w:tcBorders>
                    <w:shd w:val="clear" w:color="auto" w:fill="auto"/>
                  </w:tcPr>
                  <w:p>
                    <w:pPr>
                      <w:rPr>
                        <w:bCs/>
                        <w:sz w:val="20"/>
                      </w:rPr>
                    </w:pPr>
                    <w:r>
                      <w:rPr>
                        <w:bCs/>
                        <w:sz w:val="20"/>
                      </w:rPr>
                      <w:t>sąnarių goniometrija;</w:t>
                    </w:r>
                  </w:p>
                </w:tc>
              </w:tr>
              <w:tr>
                <w:tblPrEx>
                  <w:tblBorders>
                    <w:insideH w:val="none" w:sz="0" w:space="0" w:color="auto"/>
                    <w:insideV w:val="none" w:sz="0" w:space="0" w:color="auto"/>
                  </w:tblBorders>
                </w:tblPrEx>
                <w:trPr>
                  <w:trHeight w:val="180"/>
                </w:trPr>
                <w:tc>
                  <w:tcPr>
                    <w:tcW w:w="1308" w:type="dxa"/>
                    <w:tcBorders>
                      <w:right w:val="single" w:sz="4" w:space="0" w:color="auto"/>
                    </w:tcBorders>
                    <w:shd w:val="clear" w:color="auto" w:fill="auto"/>
                  </w:tcPr>
                  <w:p>
                    <w:pPr>
                      <w:rPr>
                        <w:bCs/>
                        <w:sz w:val="20"/>
                      </w:rPr>
                    </w:pPr>
                    <w:r>
                      <w:rPr>
                        <w:bCs/>
                        <w:sz w:val="20"/>
                      </w:rPr>
                      <w:t>4.4.1.2.</w:t>
                    </w:r>
                  </w:p>
                </w:tc>
                <w:tc>
                  <w:tcPr>
                    <w:tcW w:w="7762" w:type="dxa"/>
                    <w:tcBorders>
                      <w:top w:val="nil"/>
                      <w:left w:val="single" w:sz="4" w:space="0" w:color="auto"/>
                      <w:bottom w:val="nil"/>
                    </w:tcBorders>
                    <w:shd w:val="clear" w:color="auto" w:fill="auto"/>
                  </w:tcPr>
                  <w:p>
                    <w:pPr>
                      <w:rPr>
                        <w:bCs/>
                        <w:sz w:val="20"/>
                      </w:rPr>
                    </w:pPr>
                    <w:r>
                      <w:rPr>
                        <w:bCs/>
                        <w:sz w:val="20"/>
                      </w:rPr>
                      <w:t>pėdos skliautų ištyrimas ir įvertinimas;</w:t>
                    </w:r>
                  </w:p>
                </w:tc>
              </w:tr>
              <w:tr>
                <w:tblPrEx>
                  <w:tblBorders>
                    <w:insideH w:val="none" w:sz="0" w:space="0" w:color="auto"/>
                    <w:insideV w:val="none" w:sz="0" w:space="0" w:color="auto"/>
                  </w:tblBorders>
                </w:tblPrEx>
                <w:trPr>
                  <w:trHeight w:val="120"/>
                </w:trPr>
                <w:tc>
                  <w:tcPr>
                    <w:tcW w:w="1308" w:type="dxa"/>
                    <w:tcBorders>
                      <w:right w:val="single" w:sz="4" w:space="0" w:color="auto"/>
                    </w:tcBorders>
                    <w:shd w:val="clear" w:color="auto" w:fill="auto"/>
                  </w:tcPr>
                  <w:p>
                    <w:pPr>
                      <w:rPr>
                        <w:bCs/>
                        <w:sz w:val="20"/>
                      </w:rPr>
                    </w:pPr>
                    <w:r>
                      <w:rPr>
                        <w:bCs/>
                        <w:sz w:val="20"/>
                      </w:rPr>
                      <w:t>4.4.1.3.</w:t>
                    </w:r>
                  </w:p>
                </w:tc>
                <w:tc>
                  <w:tcPr>
                    <w:tcW w:w="7762" w:type="dxa"/>
                    <w:tcBorders>
                      <w:top w:val="nil"/>
                      <w:left w:val="single" w:sz="4" w:space="0" w:color="auto"/>
                      <w:bottom w:val="nil"/>
                    </w:tcBorders>
                    <w:shd w:val="clear" w:color="auto" w:fill="auto"/>
                  </w:tcPr>
                  <w:p>
                    <w:pPr>
                      <w:rPr>
                        <w:bCs/>
                        <w:sz w:val="20"/>
                      </w:rPr>
                    </w:pPr>
                    <w:r>
                      <w:rPr>
                        <w:bCs/>
                        <w:sz w:val="20"/>
                      </w:rPr>
                      <w:t>elektrodiagnostika;</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4.4.1.4.</w:t>
                    </w:r>
                  </w:p>
                </w:tc>
                <w:tc>
                  <w:tcPr>
                    <w:tcW w:w="7762" w:type="dxa"/>
                    <w:tcBorders>
                      <w:top w:val="nil"/>
                      <w:left w:val="single" w:sz="4" w:space="0" w:color="auto"/>
                      <w:bottom w:val="nil"/>
                    </w:tcBorders>
                    <w:shd w:val="clear" w:color="auto" w:fill="auto"/>
                  </w:tcPr>
                  <w:p>
                    <w:pPr>
                      <w:rPr>
                        <w:bCs/>
                        <w:sz w:val="20"/>
                      </w:rPr>
                    </w:pPr>
                    <w:r>
                      <w:rPr>
                        <w:bCs/>
                        <w:sz w:val="20"/>
                      </w:rPr>
                      <w:t>raumenų jėgos, ištvermės, galūnių apimties ir ilgio matavimai;</w:t>
                    </w:r>
                  </w:p>
                </w:tc>
              </w:tr>
              <w:tr>
                <w:tblPrEx>
                  <w:tblBorders>
                    <w:insideH w:val="none" w:sz="0" w:space="0" w:color="auto"/>
                    <w:insideV w:val="none" w:sz="0" w:space="0" w:color="auto"/>
                  </w:tblBorders>
                </w:tblPrEx>
                <w:trPr>
                  <w:trHeight w:val="255"/>
                </w:trPr>
                <w:tc>
                  <w:tcPr>
                    <w:tcW w:w="1308" w:type="dxa"/>
                    <w:tcBorders>
                      <w:right w:val="single" w:sz="4" w:space="0" w:color="auto"/>
                    </w:tcBorders>
                    <w:shd w:val="clear" w:color="auto" w:fill="auto"/>
                  </w:tcPr>
                  <w:p>
                    <w:pPr>
                      <w:rPr>
                        <w:bCs/>
                        <w:sz w:val="20"/>
                      </w:rPr>
                    </w:pPr>
                    <w:r>
                      <w:rPr>
                        <w:bCs/>
                        <w:sz w:val="20"/>
                      </w:rPr>
                      <w:t>4.4.1.5.</w:t>
                    </w:r>
                  </w:p>
                </w:tc>
                <w:tc>
                  <w:tcPr>
                    <w:tcW w:w="7762" w:type="dxa"/>
                    <w:tcBorders>
                      <w:top w:val="nil"/>
                      <w:left w:val="single" w:sz="4" w:space="0" w:color="auto"/>
                      <w:bottom w:val="nil"/>
                    </w:tcBorders>
                    <w:shd w:val="clear" w:color="auto" w:fill="auto"/>
                  </w:tcPr>
                  <w:p>
                    <w:pPr>
                      <w:rPr>
                        <w:bCs/>
                        <w:sz w:val="20"/>
                      </w:rPr>
                    </w:pPr>
                    <w:r>
                      <w:rPr>
                        <w:bCs/>
                        <w:sz w:val="20"/>
                      </w:rPr>
                      <w:t>įvairių organų ir sistemų funkcijų testavimas;</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4.4.1.6.</w:t>
                    </w:r>
                  </w:p>
                </w:tc>
                <w:tc>
                  <w:tcPr>
                    <w:tcW w:w="7762" w:type="dxa"/>
                    <w:tcBorders>
                      <w:top w:val="nil"/>
                      <w:left w:val="single" w:sz="4" w:space="0" w:color="auto"/>
                      <w:bottom w:val="nil"/>
                    </w:tcBorders>
                    <w:shd w:val="clear" w:color="auto" w:fill="auto"/>
                  </w:tcPr>
                  <w:p>
                    <w:pPr>
                      <w:rPr>
                        <w:bCs/>
                        <w:sz w:val="20"/>
                      </w:rPr>
                    </w:pPr>
                    <w:r>
                      <w:rPr>
                        <w:bCs/>
                        <w:sz w:val="20"/>
                      </w:rPr>
                      <w:t>rentgenologinių, laboratorinių tyrimų, EKG, sonoskopijų paskyrimas;</w:t>
                    </w:r>
                  </w:p>
                </w:tc>
              </w:tr>
              <w:tr>
                <w:tblPrEx>
                  <w:tblBorders>
                    <w:insideH w:val="none" w:sz="0" w:space="0" w:color="auto"/>
                    <w:insideV w:val="none" w:sz="0" w:space="0" w:color="auto"/>
                  </w:tblBorders>
                </w:tblPrEx>
                <w:trPr>
                  <w:trHeight w:val="105"/>
                </w:trPr>
                <w:tc>
                  <w:tcPr>
                    <w:tcW w:w="1308" w:type="dxa"/>
                    <w:tcBorders>
                      <w:right w:val="single" w:sz="4" w:space="0" w:color="auto"/>
                    </w:tcBorders>
                    <w:shd w:val="clear" w:color="auto" w:fill="auto"/>
                  </w:tcPr>
                  <w:p>
                    <w:pPr>
                      <w:rPr>
                        <w:bCs/>
                        <w:sz w:val="20"/>
                      </w:rPr>
                    </w:pPr>
                    <w:r>
                      <w:rPr>
                        <w:bCs/>
                        <w:sz w:val="20"/>
                      </w:rPr>
                      <w:t>4.4.1.7.</w:t>
                    </w:r>
                  </w:p>
                </w:tc>
                <w:tc>
                  <w:tcPr>
                    <w:tcW w:w="7762" w:type="dxa"/>
                    <w:tcBorders>
                      <w:top w:val="nil"/>
                      <w:left w:val="single" w:sz="4" w:space="0" w:color="auto"/>
                      <w:bottom w:val="nil"/>
                    </w:tcBorders>
                    <w:shd w:val="clear" w:color="auto" w:fill="auto"/>
                  </w:tcPr>
                  <w:p>
                    <w:pPr>
                      <w:rPr>
                        <w:bCs/>
                        <w:sz w:val="20"/>
                      </w:rPr>
                    </w:pPr>
                    <w:r>
                      <w:rPr>
                        <w:bCs/>
                        <w:sz w:val="20"/>
                      </w:rPr>
                      <w:t>receptų išrašymas, medikamentų skyrimas.</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4.4.2.</w:t>
                    </w:r>
                  </w:p>
                </w:tc>
                <w:tc>
                  <w:tcPr>
                    <w:tcW w:w="7762" w:type="dxa"/>
                    <w:tcBorders>
                      <w:top w:val="nil"/>
                      <w:left w:val="single" w:sz="4" w:space="0" w:color="auto"/>
                      <w:bottom w:val="nil"/>
                    </w:tcBorders>
                    <w:shd w:val="clear" w:color="auto" w:fill="auto"/>
                  </w:tcPr>
                  <w:p>
                    <w:pPr>
                      <w:rPr>
                        <w:bCs/>
                        <w:sz w:val="20"/>
                      </w:rPr>
                    </w:pPr>
                    <w:r>
                      <w:rPr>
                        <w:bCs/>
                        <w:sz w:val="20"/>
                      </w:rPr>
                      <w:t>Nemedikamentinio gydymo ir nemedikamentinės atsigavimo programos dalies sudarymas:</w:t>
                    </w:r>
                  </w:p>
                </w:tc>
              </w:tr>
              <w:tr>
                <w:tblPrEx>
                  <w:tblBorders>
                    <w:insideH w:val="none" w:sz="0" w:space="0" w:color="auto"/>
                    <w:insideV w:val="none" w:sz="0" w:space="0" w:color="auto"/>
                  </w:tblBorders>
                </w:tblPrEx>
                <w:trPr>
                  <w:trHeight w:val="240"/>
                </w:trPr>
                <w:tc>
                  <w:tcPr>
                    <w:tcW w:w="1308" w:type="dxa"/>
                    <w:tcBorders>
                      <w:right w:val="single" w:sz="4" w:space="0" w:color="auto"/>
                    </w:tcBorders>
                    <w:shd w:val="clear" w:color="auto" w:fill="auto"/>
                  </w:tcPr>
                  <w:p>
                    <w:pPr>
                      <w:rPr>
                        <w:bCs/>
                        <w:sz w:val="20"/>
                      </w:rPr>
                    </w:pPr>
                    <w:r>
                      <w:rPr>
                        <w:bCs/>
                        <w:sz w:val="20"/>
                      </w:rPr>
                      <w:t>4.4.2.1.</w:t>
                    </w:r>
                  </w:p>
                </w:tc>
                <w:tc>
                  <w:tcPr>
                    <w:tcW w:w="7762" w:type="dxa"/>
                    <w:tcBorders>
                      <w:top w:val="nil"/>
                      <w:left w:val="single" w:sz="4" w:space="0" w:color="auto"/>
                      <w:bottom w:val="nil"/>
                    </w:tcBorders>
                    <w:shd w:val="clear" w:color="auto" w:fill="auto"/>
                  </w:tcPr>
                  <w:p>
                    <w:pPr>
                      <w:rPr>
                        <w:bCs/>
                        <w:sz w:val="20"/>
                      </w:rPr>
                    </w:pPr>
                    <w:r>
                      <w:rPr>
                        <w:bCs/>
                        <w:sz w:val="20"/>
                        <w:lang w:val="pt-BR"/>
                      </w:rPr>
                      <w:t>kineziterapijos procedūrų paskyrimas;</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4.4.2.2.</w:t>
                    </w:r>
                  </w:p>
                </w:tc>
                <w:tc>
                  <w:tcPr>
                    <w:tcW w:w="7762" w:type="dxa"/>
                    <w:tcBorders>
                      <w:top w:val="nil"/>
                      <w:left w:val="single" w:sz="4" w:space="0" w:color="auto"/>
                      <w:bottom w:val="nil"/>
                    </w:tcBorders>
                    <w:shd w:val="clear" w:color="auto" w:fill="auto"/>
                  </w:tcPr>
                  <w:p>
                    <w:pPr>
                      <w:rPr>
                        <w:bCs/>
                        <w:sz w:val="20"/>
                        <w:lang w:val="pt-BR"/>
                      </w:rPr>
                    </w:pPr>
                    <w:r>
                      <w:rPr>
                        <w:bCs/>
                        <w:sz w:val="20"/>
                        <w:lang w:val="pt-BR"/>
                      </w:rPr>
                      <w:t>fizioterapijos procedūrų paskyrimas;</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4.4.2.3.</w:t>
                    </w:r>
                  </w:p>
                </w:tc>
                <w:tc>
                  <w:tcPr>
                    <w:tcW w:w="7762" w:type="dxa"/>
                    <w:tcBorders>
                      <w:top w:val="nil"/>
                      <w:left w:val="single" w:sz="4" w:space="0" w:color="auto"/>
                      <w:bottom w:val="nil"/>
                    </w:tcBorders>
                    <w:shd w:val="clear" w:color="auto" w:fill="auto"/>
                  </w:tcPr>
                  <w:p>
                    <w:pPr>
                      <w:rPr>
                        <w:bCs/>
                        <w:sz w:val="20"/>
                        <w:lang w:val="pt-BR"/>
                      </w:rPr>
                    </w:pPr>
                    <w:r>
                      <w:rPr>
                        <w:bCs/>
                        <w:sz w:val="20"/>
                        <w:lang w:val="pt-BR"/>
                      </w:rPr>
                      <w:t>masažo procedūrų paskyrimas.</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4.4.3.</w:t>
                    </w:r>
                  </w:p>
                </w:tc>
                <w:tc>
                  <w:tcPr>
                    <w:tcW w:w="7762" w:type="dxa"/>
                    <w:tcBorders>
                      <w:top w:val="nil"/>
                      <w:left w:val="single" w:sz="4" w:space="0" w:color="auto"/>
                      <w:bottom w:val="nil"/>
                    </w:tcBorders>
                    <w:shd w:val="clear" w:color="auto" w:fill="auto"/>
                  </w:tcPr>
                  <w:p>
                    <w:pPr>
                      <w:rPr>
                        <w:bCs/>
                        <w:sz w:val="20"/>
                        <w:lang w:val="pt-BR"/>
                      </w:rPr>
                    </w:pPr>
                    <w:r>
                      <w:rPr>
                        <w:bCs/>
                        <w:sz w:val="20"/>
                        <w:lang w:val="pt-BR"/>
                      </w:rPr>
                      <w:t>Fizinės medicinos ir reabilitacijos gydytojų atliekamos procedūros:</w:t>
                    </w:r>
                  </w:p>
                </w:tc>
              </w:tr>
              <w:tr>
                <w:tblPrEx>
                  <w:tblBorders>
                    <w:insideH w:val="none" w:sz="0" w:space="0" w:color="auto"/>
                    <w:insideV w:val="none" w:sz="0" w:space="0" w:color="auto"/>
                  </w:tblBorders>
                </w:tblPrEx>
                <w:trPr>
                  <w:trHeight w:val="105"/>
                </w:trPr>
                <w:tc>
                  <w:tcPr>
                    <w:tcW w:w="1308" w:type="dxa"/>
                    <w:tcBorders>
                      <w:right w:val="single" w:sz="4" w:space="0" w:color="auto"/>
                    </w:tcBorders>
                    <w:shd w:val="clear" w:color="auto" w:fill="auto"/>
                  </w:tcPr>
                  <w:p>
                    <w:pPr>
                      <w:rPr>
                        <w:bCs/>
                        <w:sz w:val="20"/>
                      </w:rPr>
                    </w:pPr>
                    <w:r>
                      <w:rPr>
                        <w:bCs/>
                        <w:sz w:val="20"/>
                      </w:rPr>
                      <w:t>4.4.3.1.</w:t>
                    </w:r>
                  </w:p>
                </w:tc>
                <w:tc>
                  <w:tcPr>
                    <w:tcW w:w="7762" w:type="dxa"/>
                    <w:tcBorders>
                      <w:top w:val="nil"/>
                      <w:left w:val="single" w:sz="4" w:space="0" w:color="auto"/>
                      <w:bottom w:val="nil"/>
                    </w:tcBorders>
                    <w:shd w:val="clear" w:color="auto" w:fill="auto"/>
                  </w:tcPr>
                  <w:p>
                    <w:pPr>
                      <w:rPr>
                        <w:bCs/>
                        <w:sz w:val="20"/>
                        <w:lang w:val="pt-BR"/>
                      </w:rPr>
                    </w:pPr>
                    <w:r>
                      <w:rPr>
                        <w:bCs/>
                        <w:sz w:val="20"/>
                        <w:lang w:val="pt-BR"/>
                      </w:rPr>
                      <w:t>gydymas lazeriu;</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4.4.3.2.</w:t>
                    </w:r>
                  </w:p>
                </w:tc>
                <w:tc>
                  <w:tcPr>
                    <w:tcW w:w="7762" w:type="dxa"/>
                    <w:tcBorders>
                      <w:top w:val="nil"/>
                      <w:left w:val="single" w:sz="4" w:space="0" w:color="auto"/>
                      <w:bottom w:val="nil"/>
                    </w:tcBorders>
                    <w:shd w:val="clear" w:color="auto" w:fill="auto"/>
                  </w:tcPr>
                  <w:p>
                    <w:pPr>
                      <w:rPr>
                        <w:bCs/>
                        <w:sz w:val="20"/>
                        <w:lang w:val="pt-BR"/>
                      </w:rPr>
                    </w:pPr>
                    <w:r>
                      <w:rPr>
                        <w:bCs/>
                        <w:sz w:val="20"/>
                        <w:lang w:val="pt-BR"/>
                      </w:rPr>
                      <w:t>gydymas šalčiu (krioterapija);</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4.4.3.3.</w:t>
                    </w:r>
                  </w:p>
                </w:tc>
                <w:tc>
                  <w:tcPr>
                    <w:tcW w:w="7762" w:type="dxa"/>
                    <w:tcBorders>
                      <w:top w:val="nil"/>
                      <w:left w:val="single" w:sz="4" w:space="0" w:color="auto"/>
                      <w:bottom w:val="single" w:sz="4" w:space="0" w:color="auto"/>
                    </w:tcBorders>
                    <w:shd w:val="clear" w:color="auto" w:fill="auto"/>
                  </w:tcPr>
                  <w:p>
                    <w:pPr>
                      <w:rPr>
                        <w:rFonts w:ascii="TimesLT" w:hAnsi="TimesLT"/>
                        <w:bCs/>
                        <w:sz w:val="20"/>
                        <w:lang w:val="pt-BR"/>
                      </w:rPr>
                    </w:pPr>
                    <w:r>
                      <w:rPr>
                        <w:rFonts w:ascii="TimesLT" w:hAnsi="TimesLT"/>
                        <w:bCs/>
                        <w:sz w:val="20"/>
                        <w:lang w:val="pt-BR"/>
                      </w:rPr>
                      <w:t>griaučių-raumenų stimuliacija.</w:t>
                    </w:r>
                  </w:p>
                </w:tc>
              </w:tr>
              <w:tr>
                <w:tblPrEx>
                  <w:tblBorders>
                    <w:insideH w:val="none" w:sz="0" w:space="0" w:color="auto"/>
                    <w:insideV w:val="none" w:sz="0" w:space="0" w:color="auto"/>
                  </w:tblBorders>
                </w:tblPrEx>
                <w:trPr>
                  <w:trHeight w:val="180"/>
                </w:trPr>
                <w:tc>
                  <w:tcPr>
                    <w:tcW w:w="1308" w:type="dxa"/>
                    <w:tcBorders>
                      <w:top w:val="single" w:sz="4" w:space="0" w:color="auto"/>
                      <w:bottom w:val="single" w:sz="4" w:space="0" w:color="auto"/>
                      <w:right w:val="single" w:sz="4" w:space="0" w:color="auto"/>
                    </w:tcBorders>
                    <w:shd w:val="clear" w:color="auto" w:fill="auto"/>
                  </w:tcPr>
                  <w:p>
                    <w:pPr>
                      <w:widowControl w:val="0"/>
                      <w:rPr>
                        <w:bCs/>
                        <w:sz w:val="20"/>
                      </w:rPr>
                    </w:pPr>
                    <w:r>
                      <w:rPr>
                        <w:bCs/>
                        <w:sz w:val="20"/>
                      </w:rPr>
                      <w:t>4.5.</w:t>
                    </w:r>
                  </w:p>
                </w:tc>
                <w:tc>
                  <w:tcPr>
                    <w:tcW w:w="7762" w:type="dxa"/>
                    <w:tcBorders>
                      <w:top w:val="single" w:sz="4" w:space="0" w:color="auto"/>
                      <w:left w:val="single" w:sz="4" w:space="0" w:color="auto"/>
                      <w:bottom w:val="single" w:sz="4" w:space="0" w:color="auto"/>
                    </w:tcBorders>
                    <w:shd w:val="clear" w:color="auto" w:fill="auto"/>
                  </w:tcPr>
                  <w:p>
                    <w:pPr>
                      <w:widowControl w:val="0"/>
                      <w:rPr>
                        <w:bCs/>
                        <w:sz w:val="20"/>
                      </w:rPr>
                    </w:pPr>
                    <w:r>
                      <w:rPr>
                        <w:bCs/>
                        <w:sz w:val="20"/>
                      </w:rPr>
                      <w:t xml:space="preserve">KINEZITERAPEUTO </w:t>
                    </w:r>
                  </w:p>
                </w:tc>
              </w:tr>
              <w:tr>
                <w:tblPrEx>
                  <w:tblBorders>
                    <w:insideH w:val="none" w:sz="0" w:space="0" w:color="auto"/>
                    <w:insideV w:val="none" w:sz="0" w:space="0" w:color="auto"/>
                  </w:tblBorders>
                </w:tblPrEx>
                <w:trPr>
                  <w:trHeight w:val="70"/>
                </w:trPr>
                <w:tc>
                  <w:tcPr>
                    <w:tcW w:w="1308" w:type="dxa"/>
                    <w:tcBorders>
                      <w:top w:val="single" w:sz="4" w:space="0" w:color="auto"/>
                      <w:right w:val="single" w:sz="4" w:space="0" w:color="auto"/>
                    </w:tcBorders>
                    <w:shd w:val="clear" w:color="auto" w:fill="auto"/>
                  </w:tcPr>
                  <w:p>
                    <w:pPr>
                      <w:widowControl w:val="0"/>
                      <w:rPr>
                        <w:bCs/>
                        <w:sz w:val="20"/>
                      </w:rPr>
                    </w:pPr>
                    <w:r>
                      <w:rPr>
                        <w:bCs/>
                        <w:sz w:val="20"/>
                      </w:rPr>
                      <w:t>4.5.1.</w:t>
                    </w:r>
                  </w:p>
                </w:tc>
                <w:tc>
                  <w:tcPr>
                    <w:tcW w:w="7762" w:type="dxa"/>
                    <w:tcBorders>
                      <w:top w:val="single" w:sz="4" w:space="0" w:color="auto"/>
                      <w:left w:val="single" w:sz="4" w:space="0" w:color="auto"/>
                      <w:bottom w:val="nil"/>
                    </w:tcBorders>
                    <w:shd w:val="clear" w:color="auto" w:fill="auto"/>
                  </w:tcPr>
                  <w:p>
                    <w:pPr>
                      <w:widowControl w:val="0"/>
                      <w:rPr>
                        <w:bCs/>
                        <w:sz w:val="20"/>
                      </w:rPr>
                    </w:pPr>
                    <w:r>
                      <w:rPr>
                        <w:bCs/>
                        <w:sz w:val="20"/>
                      </w:rPr>
                      <w:t>Kineziterapijos procedūros (grupinės, individualios):</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widowControl w:val="0"/>
                      <w:rPr>
                        <w:bCs/>
                        <w:sz w:val="20"/>
                      </w:rPr>
                    </w:pPr>
                    <w:r>
                      <w:rPr>
                        <w:bCs/>
                        <w:sz w:val="20"/>
                      </w:rPr>
                      <w:t>4.5.1.1.</w:t>
                    </w:r>
                  </w:p>
                </w:tc>
                <w:tc>
                  <w:tcPr>
                    <w:tcW w:w="7762" w:type="dxa"/>
                    <w:tcBorders>
                      <w:top w:val="nil"/>
                      <w:left w:val="single" w:sz="4" w:space="0" w:color="auto"/>
                      <w:bottom w:val="nil"/>
                    </w:tcBorders>
                    <w:shd w:val="clear" w:color="auto" w:fill="auto"/>
                  </w:tcPr>
                  <w:p>
                    <w:pPr>
                      <w:widowControl w:val="0"/>
                      <w:rPr>
                        <w:bCs/>
                        <w:sz w:val="20"/>
                      </w:rPr>
                    </w:pPr>
                    <w:r>
                      <w:rPr>
                        <w:bCs/>
                        <w:sz w:val="20"/>
                      </w:rPr>
                      <w:t>kineziterapija sergant vidaus ligomis;</w:t>
                    </w:r>
                  </w:p>
                </w:tc>
              </w:tr>
              <w:tr>
                <w:tblPrEx>
                  <w:tblBorders>
                    <w:insideH w:val="none" w:sz="0" w:space="0" w:color="auto"/>
                    <w:insideV w:val="none" w:sz="0" w:space="0" w:color="auto"/>
                  </w:tblBorders>
                </w:tblPrEx>
                <w:trPr>
                  <w:trHeight w:val="135"/>
                </w:trPr>
                <w:tc>
                  <w:tcPr>
                    <w:tcW w:w="1308" w:type="dxa"/>
                    <w:tcBorders>
                      <w:right w:val="single" w:sz="4" w:space="0" w:color="auto"/>
                    </w:tcBorders>
                    <w:shd w:val="clear" w:color="auto" w:fill="auto"/>
                  </w:tcPr>
                  <w:p>
                    <w:pPr>
                      <w:widowControl w:val="0"/>
                      <w:rPr>
                        <w:bCs/>
                        <w:sz w:val="20"/>
                      </w:rPr>
                    </w:pPr>
                    <w:r>
                      <w:rPr>
                        <w:bCs/>
                        <w:sz w:val="20"/>
                      </w:rPr>
                      <w:t>4.5.1.2.</w:t>
                    </w:r>
                  </w:p>
                </w:tc>
                <w:tc>
                  <w:tcPr>
                    <w:tcW w:w="7762" w:type="dxa"/>
                    <w:tcBorders>
                      <w:top w:val="nil"/>
                      <w:left w:val="single" w:sz="4" w:space="0" w:color="auto"/>
                      <w:bottom w:val="nil"/>
                    </w:tcBorders>
                    <w:shd w:val="clear" w:color="auto" w:fill="auto"/>
                  </w:tcPr>
                  <w:p>
                    <w:pPr>
                      <w:widowControl w:val="0"/>
                      <w:rPr>
                        <w:bCs/>
                        <w:sz w:val="20"/>
                      </w:rPr>
                    </w:pPr>
                    <w:r>
                      <w:rPr>
                        <w:bCs/>
                        <w:sz w:val="20"/>
                      </w:rPr>
                      <w:t>kineziterapija sergant neurologinėmis ligomis;</w:t>
                    </w:r>
                  </w:p>
                </w:tc>
              </w:tr>
              <w:tr>
                <w:tblPrEx>
                  <w:tblBorders>
                    <w:insideH w:val="none" w:sz="0" w:space="0" w:color="auto"/>
                    <w:insideV w:val="none" w:sz="0" w:space="0" w:color="auto"/>
                  </w:tblBorders>
                </w:tblPrEx>
                <w:trPr>
                  <w:trHeight w:val="255"/>
                </w:trPr>
                <w:tc>
                  <w:tcPr>
                    <w:tcW w:w="1308" w:type="dxa"/>
                    <w:tcBorders>
                      <w:right w:val="single" w:sz="4" w:space="0" w:color="auto"/>
                    </w:tcBorders>
                    <w:shd w:val="clear" w:color="auto" w:fill="auto"/>
                  </w:tcPr>
                  <w:p>
                    <w:pPr>
                      <w:widowControl w:val="0"/>
                      <w:rPr>
                        <w:bCs/>
                        <w:sz w:val="20"/>
                      </w:rPr>
                    </w:pPr>
                    <w:r>
                      <w:rPr>
                        <w:bCs/>
                        <w:sz w:val="20"/>
                      </w:rPr>
                      <w:t>4.5.1.3.</w:t>
                    </w:r>
                  </w:p>
                </w:tc>
                <w:tc>
                  <w:tcPr>
                    <w:tcW w:w="7762" w:type="dxa"/>
                    <w:tcBorders>
                      <w:top w:val="nil"/>
                      <w:left w:val="single" w:sz="4" w:space="0" w:color="auto"/>
                      <w:bottom w:val="nil"/>
                    </w:tcBorders>
                    <w:shd w:val="clear" w:color="auto" w:fill="auto"/>
                  </w:tcPr>
                  <w:p>
                    <w:pPr>
                      <w:widowControl w:val="0"/>
                      <w:rPr>
                        <w:bCs/>
                        <w:sz w:val="20"/>
                      </w:rPr>
                    </w:pPr>
                    <w:r>
                      <w:rPr>
                        <w:bCs/>
                        <w:sz w:val="20"/>
                      </w:rPr>
                      <w:t>kineziterapija sergant ortopedinėmis ligomis;</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widowControl w:val="0"/>
                      <w:rPr>
                        <w:bCs/>
                        <w:sz w:val="20"/>
                      </w:rPr>
                    </w:pPr>
                    <w:r>
                      <w:rPr>
                        <w:bCs/>
                        <w:sz w:val="20"/>
                      </w:rPr>
                      <w:t>4.5.1.4.</w:t>
                    </w:r>
                  </w:p>
                </w:tc>
                <w:tc>
                  <w:tcPr>
                    <w:tcW w:w="7762" w:type="dxa"/>
                    <w:tcBorders>
                      <w:top w:val="nil"/>
                      <w:left w:val="single" w:sz="4" w:space="0" w:color="auto"/>
                      <w:bottom w:val="nil"/>
                    </w:tcBorders>
                    <w:shd w:val="clear" w:color="auto" w:fill="auto"/>
                  </w:tcPr>
                  <w:p>
                    <w:pPr>
                      <w:widowControl w:val="0"/>
                      <w:rPr>
                        <w:bCs/>
                        <w:sz w:val="20"/>
                      </w:rPr>
                    </w:pPr>
                    <w:r>
                      <w:rPr>
                        <w:bCs/>
                        <w:sz w:val="20"/>
                        <w:lang w:val="pl-PL"/>
                      </w:rPr>
                      <w:t>kineziterapija po traumų;</w:t>
                    </w:r>
                  </w:p>
                </w:tc>
              </w:tr>
              <w:tr>
                <w:tblPrEx>
                  <w:tblBorders>
                    <w:insideH w:val="none" w:sz="0" w:space="0" w:color="auto"/>
                    <w:insideV w:val="none" w:sz="0" w:space="0" w:color="auto"/>
                  </w:tblBorders>
                </w:tblPrEx>
                <w:trPr>
                  <w:trHeight w:val="149"/>
                </w:trPr>
                <w:tc>
                  <w:tcPr>
                    <w:tcW w:w="1308" w:type="dxa"/>
                    <w:tcBorders>
                      <w:right w:val="single" w:sz="4" w:space="0" w:color="auto"/>
                    </w:tcBorders>
                    <w:shd w:val="clear" w:color="auto" w:fill="auto"/>
                  </w:tcPr>
                  <w:p>
                    <w:pPr>
                      <w:widowControl w:val="0"/>
                      <w:rPr>
                        <w:bCs/>
                        <w:sz w:val="20"/>
                      </w:rPr>
                    </w:pPr>
                    <w:r>
                      <w:rPr>
                        <w:bCs/>
                        <w:sz w:val="20"/>
                      </w:rPr>
                      <w:t>4.5.2.</w:t>
                    </w:r>
                  </w:p>
                </w:tc>
                <w:tc>
                  <w:tcPr>
                    <w:tcW w:w="7762" w:type="dxa"/>
                    <w:tcBorders>
                      <w:top w:val="nil"/>
                      <w:left w:val="single" w:sz="4" w:space="0" w:color="auto"/>
                      <w:bottom w:val="single" w:sz="4" w:space="0" w:color="auto"/>
                    </w:tcBorders>
                    <w:shd w:val="clear" w:color="auto" w:fill="auto"/>
                  </w:tcPr>
                  <w:p>
                    <w:pPr>
                      <w:widowControl w:val="0"/>
                      <w:rPr>
                        <w:rFonts w:ascii="TimesLT" w:hAnsi="TimesLT"/>
                        <w:bCs/>
                        <w:sz w:val="20"/>
                        <w:lang w:val="pl-PL"/>
                      </w:rPr>
                    </w:pPr>
                    <w:r>
                      <w:rPr>
                        <w:rFonts w:ascii="TimesLT" w:hAnsi="TimesLT"/>
                        <w:bCs/>
                        <w:sz w:val="20"/>
                        <w:lang w:val="pl-PL"/>
                      </w:rPr>
                      <w:t>Mechanoterapija.</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4.6.</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 xml:space="preserve">FIZIOTERAPIJOS </w:t>
                    </w:r>
                  </w:p>
                </w:tc>
              </w:tr>
              <w:tr>
                <w:tblPrEx>
                  <w:tblBorders>
                    <w:insideH w:val="none" w:sz="0" w:space="0" w:color="auto"/>
                    <w:insideV w:val="none" w:sz="0" w:space="0" w:color="auto"/>
                  </w:tblBorders>
                </w:tblPrEx>
                <w:trPr>
                  <w:trHeight w:val="210"/>
                </w:trPr>
                <w:tc>
                  <w:tcPr>
                    <w:tcW w:w="1308" w:type="dxa"/>
                    <w:tcBorders>
                      <w:right w:val="single" w:sz="4" w:space="0" w:color="auto"/>
                    </w:tcBorders>
                    <w:shd w:val="clear" w:color="auto" w:fill="auto"/>
                  </w:tcPr>
                  <w:p>
                    <w:pPr>
                      <w:rPr>
                        <w:bCs/>
                        <w:sz w:val="20"/>
                      </w:rPr>
                    </w:pPr>
                    <w:r>
                      <w:rPr>
                        <w:bCs/>
                        <w:sz w:val="20"/>
                      </w:rPr>
                      <w:t>4.6.1.</w:t>
                    </w:r>
                  </w:p>
                </w:tc>
                <w:tc>
                  <w:tcPr>
                    <w:tcW w:w="7762" w:type="dxa"/>
                    <w:tcBorders>
                      <w:top w:val="single" w:sz="4" w:space="0" w:color="auto"/>
                      <w:left w:val="single" w:sz="4" w:space="0" w:color="auto"/>
                      <w:bottom w:val="nil"/>
                    </w:tcBorders>
                    <w:shd w:val="clear" w:color="auto" w:fill="auto"/>
                  </w:tcPr>
                  <w:p>
                    <w:pPr>
                      <w:rPr>
                        <w:bCs/>
                        <w:sz w:val="20"/>
                      </w:rPr>
                    </w:pPr>
                    <w:r>
                      <w:rPr>
                        <w:bCs/>
                        <w:sz w:val="20"/>
                        <w:lang w:val="pt-BR"/>
                      </w:rPr>
                      <w:t>Ultragarso (su medikamentais ir be jų ) terapija.</w:t>
                    </w:r>
                  </w:p>
                </w:tc>
              </w:tr>
              <w:tr>
                <w:tblPrEx>
                  <w:tblBorders>
                    <w:insideH w:val="none" w:sz="0" w:space="0" w:color="auto"/>
                    <w:insideV w:val="none" w:sz="0" w:space="0" w:color="auto"/>
                  </w:tblBorders>
                </w:tblPrEx>
                <w:trPr>
                  <w:trHeight w:val="150"/>
                </w:trPr>
                <w:tc>
                  <w:tcPr>
                    <w:tcW w:w="1308" w:type="dxa"/>
                    <w:tcBorders>
                      <w:right w:val="single" w:sz="4" w:space="0" w:color="auto"/>
                    </w:tcBorders>
                    <w:shd w:val="clear" w:color="auto" w:fill="auto"/>
                  </w:tcPr>
                  <w:p>
                    <w:pPr>
                      <w:rPr>
                        <w:bCs/>
                        <w:sz w:val="20"/>
                      </w:rPr>
                    </w:pPr>
                    <w:r>
                      <w:rPr>
                        <w:bCs/>
                        <w:sz w:val="20"/>
                      </w:rPr>
                      <w:t>4.6.2.</w:t>
                    </w:r>
                  </w:p>
                </w:tc>
                <w:tc>
                  <w:tcPr>
                    <w:tcW w:w="7762" w:type="dxa"/>
                    <w:tcBorders>
                      <w:top w:val="nil"/>
                      <w:left w:val="single" w:sz="4" w:space="0" w:color="auto"/>
                      <w:bottom w:val="nil"/>
                    </w:tcBorders>
                    <w:shd w:val="clear" w:color="auto" w:fill="auto"/>
                  </w:tcPr>
                  <w:p>
                    <w:pPr>
                      <w:rPr>
                        <w:bCs/>
                        <w:sz w:val="20"/>
                        <w:lang w:val="pt-BR"/>
                      </w:rPr>
                    </w:pPr>
                    <w:r>
                      <w:rPr>
                        <w:bCs/>
                        <w:sz w:val="20"/>
                        <w:lang w:val="pt-BR"/>
                      </w:rPr>
                      <w:t>Amplipulsterapija (su medikamentais ir be jų).</w:t>
                    </w:r>
                  </w:p>
                </w:tc>
              </w:tr>
              <w:tr>
                <w:tblPrEx>
                  <w:tblBorders>
                    <w:insideH w:val="none" w:sz="0" w:space="0" w:color="auto"/>
                    <w:insideV w:val="none" w:sz="0" w:space="0" w:color="auto"/>
                  </w:tblBorders>
                </w:tblPrEx>
                <w:trPr>
                  <w:trHeight w:val="270"/>
                </w:trPr>
                <w:tc>
                  <w:tcPr>
                    <w:tcW w:w="1308" w:type="dxa"/>
                    <w:tcBorders>
                      <w:right w:val="single" w:sz="4" w:space="0" w:color="auto"/>
                    </w:tcBorders>
                    <w:shd w:val="clear" w:color="auto" w:fill="auto"/>
                  </w:tcPr>
                  <w:p>
                    <w:pPr>
                      <w:rPr>
                        <w:bCs/>
                        <w:sz w:val="20"/>
                      </w:rPr>
                    </w:pPr>
                    <w:r>
                      <w:rPr>
                        <w:bCs/>
                        <w:sz w:val="20"/>
                      </w:rPr>
                      <w:t>4.6.3.</w:t>
                    </w:r>
                  </w:p>
                </w:tc>
                <w:tc>
                  <w:tcPr>
                    <w:tcW w:w="7762" w:type="dxa"/>
                    <w:tcBorders>
                      <w:top w:val="nil"/>
                      <w:left w:val="single" w:sz="4" w:space="0" w:color="auto"/>
                      <w:bottom w:val="nil"/>
                    </w:tcBorders>
                    <w:shd w:val="clear" w:color="auto" w:fill="auto"/>
                  </w:tcPr>
                  <w:p>
                    <w:pPr>
                      <w:rPr>
                        <w:bCs/>
                        <w:sz w:val="20"/>
                        <w:lang w:val="pt-BR"/>
                      </w:rPr>
                    </w:pPr>
                    <w:r>
                      <w:rPr>
                        <w:bCs/>
                        <w:sz w:val="20"/>
                        <w:lang w:val="pt-BR"/>
                      </w:rPr>
                      <w:t>Elektroforezė.</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4.6.4.</w:t>
                    </w:r>
                  </w:p>
                </w:tc>
                <w:tc>
                  <w:tcPr>
                    <w:tcW w:w="7762" w:type="dxa"/>
                    <w:tcBorders>
                      <w:top w:val="nil"/>
                      <w:left w:val="single" w:sz="4" w:space="0" w:color="auto"/>
                      <w:bottom w:val="nil"/>
                    </w:tcBorders>
                    <w:shd w:val="clear" w:color="auto" w:fill="auto"/>
                  </w:tcPr>
                  <w:p>
                    <w:pPr>
                      <w:rPr>
                        <w:bCs/>
                        <w:sz w:val="20"/>
                        <w:lang w:val="pt-BR"/>
                      </w:rPr>
                    </w:pPr>
                    <w:r>
                      <w:rPr>
                        <w:bCs/>
                        <w:sz w:val="20"/>
                        <w:lang w:val="pt-BR"/>
                      </w:rPr>
                      <w:t>Raumenų elektrostimuliavimas..</w:t>
                    </w:r>
                  </w:p>
                </w:tc>
              </w:tr>
              <w:tr>
                <w:tblPrEx>
                  <w:tblBorders>
                    <w:insideH w:val="none" w:sz="0" w:space="0" w:color="auto"/>
                    <w:insideV w:val="none" w:sz="0" w:space="0" w:color="auto"/>
                  </w:tblBorders>
                </w:tblPrEx>
                <w:trPr>
                  <w:trHeight w:val="285"/>
                </w:trPr>
                <w:tc>
                  <w:tcPr>
                    <w:tcW w:w="1308" w:type="dxa"/>
                    <w:tcBorders>
                      <w:right w:val="single" w:sz="4" w:space="0" w:color="auto"/>
                    </w:tcBorders>
                    <w:shd w:val="clear" w:color="auto" w:fill="auto"/>
                  </w:tcPr>
                  <w:p>
                    <w:pPr>
                      <w:rPr>
                        <w:bCs/>
                        <w:sz w:val="20"/>
                      </w:rPr>
                    </w:pPr>
                    <w:r>
                      <w:rPr>
                        <w:bCs/>
                        <w:sz w:val="20"/>
                      </w:rPr>
                      <w:t>4.6.5.</w:t>
                    </w:r>
                  </w:p>
                </w:tc>
                <w:tc>
                  <w:tcPr>
                    <w:tcW w:w="7762" w:type="dxa"/>
                    <w:tcBorders>
                      <w:top w:val="nil"/>
                      <w:left w:val="single" w:sz="4" w:space="0" w:color="auto"/>
                      <w:bottom w:val="nil"/>
                    </w:tcBorders>
                    <w:shd w:val="clear" w:color="auto" w:fill="auto"/>
                  </w:tcPr>
                  <w:p>
                    <w:pPr>
                      <w:rPr>
                        <w:bCs/>
                        <w:sz w:val="20"/>
                        <w:lang w:val="pt-BR"/>
                      </w:rPr>
                    </w:pPr>
                    <w:r>
                      <w:rPr>
                        <w:bCs/>
                        <w:sz w:val="20"/>
                        <w:lang w:val="pt-BR"/>
                      </w:rPr>
                      <w:t>Ultravioletinių spindulių terapija:</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4.6.5.1.</w:t>
                    </w:r>
                  </w:p>
                </w:tc>
                <w:tc>
                  <w:tcPr>
                    <w:tcW w:w="7762" w:type="dxa"/>
                    <w:tcBorders>
                      <w:top w:val="nil"/>
                      <w:left w:val="single" w:sz="4" w:space="0" w:color="auto"/>
                      <w:bottom w:val="nil"/>
                    </w:tcBorders>
                    <w:shd w:val="clear" w:color="auto" w:fill="auto"/>
                  </w:tcPr>
                  <w:p>
                    <w:pPr>
                      <w:rPr>
                        <w:bCs/>
                        <w:sz w:val="20"/>
                        <w:lang w:val="pt-BR"/>
                      </w:rPr>
                    </w:pPr>
                    <w:r>
                      <w:rPr>
                        <w:bCs/>
                        <w:sz w:val="20"/>
                        <w:lang w:val="pt-BR"/>
                      </w:rPr>
                      <w:t>bendra;</w:t>
                    </w:r>
                  </w:p>
                </w:tc>
              </w:tr>
              <w:tr>
                <w:tblPrEx>
                  <w:tblBorders>
                    <w:insideH w:val="none" w:sz="0" w:space="0" w:color="auto"/>
                    <w:insideV w:val="none" w:sz="0" w:space="0" w:color="auto"/>
                  </w:tblBorders>
                </w:tblPrEx>
                <w:trPr>
                  <w:trHeight w:val="285"/>
                </w:trPr>
                <w:tc>
                  <w:tcPr>
                    <w:tcW w:w="1308" w:type="dxa"/>
                    <w:tcBorders>
                      <w:right w:val="single" w:sz="4" w:space="0" w:color="auto"/>
                    </w:tcBorders>
                    <w:shd w:val="clear" w:color="auto" w:fill="auto"/>
                  </w:tcPr>
                  <w:p>
                    <w:pPr>
                      <w:rPr>
                        <w:bCs/>
                        <w:sz w:val="20"/>
                      </w:rPr>
                    </w:pPr>
                    <w:r>
                      <w:rPr>
                        <w:bCs/>
                        <w:sz w:val="20"/>
                      </w:rPr>
                      <w:t>4.6.5.2.</w:t>
                    </w:r>
                  </w:p>
                </w:tc>
                <w:tc>
                  <w:tcPr>
                    <w:tcW w:w="7762" w:type="dxa"/>
                    <w:tcBorders>
                      <w:top w:val="nil"/>
                      <w:left w:val="single" w:sz="4" w:space="0" w:color="auto"/>
                      <w:bottom w:val="nil"/>
                    </w:tcBorders>
                    <w:shd w:val="clear" w:color="auto" w:fill="auto"/>
                  </w:tcPr>
                  <w:p>
                    <w:pPr>
                      <w:rPr>
                        <w:bCs/>
                        <w:sz w:val="20"/>
                        <w:lang w:val="pt-BR"/>
                      </w:rPr>
                    </w:pPr>
                    <w:r>
                      <w:rPr>
                        <w:bCs/>
                        <w:sz w:val="20"/>
                        <w:lang w:val="pt-BR"/>
                      </w:rPr>
                      <w:t>lokali;</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4.6.6.</w:t>
                    </w:r>
                  </w:p>
                </w:tc>
                <w:tc>
                  <w:tcPr>
                    <w:tcW w:w="7762" w:type="dxa"/>
                    <w:tcBorders>
                      <w:top w:val="nil"/>
                      <w:left w:val="single" w:sz="4" w:space="0" w:color="auto"/>
                      <w:bottom w:val="nil"/>
                    </w:tcBorders>
                    <w:shd w:val="clear" w:color="auto" w:fill="auto"/>
                  </w:tcPr>
                  <w:p>
                    <w:pPr>
                      <w:rPr>
                        <w:bCs/>
                        <w:sz w:val="20"/>
                        <w:lang w:val="pt-BR"/>
                      </w:rPr>
                    </w:pPr>
                    <w:r>
                      <w:rPr>
                        <w:bCs/>
                        <w:sz w:val="20"/>
                        <w:lang w:val="pt-BR"/>
                      </w:rPr>
                      <w:t>Ultraaukšto dažnio (UAD) terapija.</w:t>
                    </w:r>
                  </w:p>
                </w:tc>
              </w:tr>
              <w:tr>
                <w:tblPrEx>
                  <w:tblBorders>
                    <w:insideH w:val="none" w:sz="0" w:space="0" w:color="auto"/>
                    <w:insideV w:val="none" w:sz="0" w:space="0" w:color="auto"/>
                  </w:tblBorders>
                </w:tblPrEx>
                <w:trPr>
                  <w:trHeight w:val="135"/>
                </w:trPr>
                <w:tc>
                  <w:tcPr>
                    <w:tcW w:w="1308" w:type="dxa"/>
                    <w:tcBorders>
                      <w:right w:val="single" w:sz="4" w:space="0" w:color="auto"/>
                    </w:tcBorders>
                    <w:shd w:val="clear" w:color="auto" w:fill="auto"/>
                  </w:tcPr>
                  <w:p>
                    <w:pPr>
                      <w:rPr>
                        <w:bCs/>
                        <w:sz w:val="20"/>
                      </w:rPr>
                    </w:pPr>
                    <w:r>
                      <w:rPr>
                        <w:bCs/>
                        <w:sz w:val="20"/>
                      </w:rPr>
                      <w:t>4.6.7.</w:t>
                    </w:r>
                  </w:p>
                </w:tc>
                <w:tc>
                  <w:tcPr>
                    <w:tcW w:w="7762" w:type="dxa"/>
                    <w:tcBorders>
                      <w:top w:val="nil"/>
                      <w:left w:val="single" w:sz="4" w:space="0" w:color="auto"/>
                      <w:bottom w:val="nil"/>
                    </w:tcBorders>
                    <w:shd w:val="clear" w:color="auto" w:fill="auto"/>
                  </w:tcPr>
                  <w:p>
                    <w:pPr>
                      <w:rPr>
                        <w:bCs/>
                        <w:sz w:val="20"/>
                        <w:lang w:val="pt-BR"/>
                      </w:rPr>
                    </w:pPr>
                    <w:r>
                      <w:rPr>
                        <w:bCs/>
                        <w:sz w:val="20"/>
                        <w:lang w:val="pt-BR"/>
                      </w:rPr>
                      <w:t xml:space="preserve">Mikrobangų terapija. </w:t>
                    </w:r>
                  </w:p>
                </w:tc>
              </w:tr>
              <w:tr>
                <w:tblPrEx>
                  <w:tblBorders>
                    <w:insideH w:val="none" w:sz="0" w:space="0" w:color="auto"/>
                    <w:insideV w:val="none" w:sz="0" w:space="0" w:color="auto"/>
                  </w:tblBorders>
                </w:tblPrEx>
                <w:trPr>
                  <w:trHeight w:val="255"/>
                </w:trPr>
                <w:tc>
                  <w:tcPr>
                    <w:tcW w:w="1308" w:type="dxa"/>
                    <w:tcBorders>
                      <w:right w:val="single" w:sz="4" w:space="0" w:color="auto"/>
                    </w:tcBorders>
                    <w:shd w:val="clear" w:color="auto" w:fill="auto"/>
                  </w:tcPr>
                  <w:p>
                    <w:pPr>
                      <w:rPr>
                        <w:bCs/>
                        <w:sz w:val="20"/>
                      </w:rPr>
                    </w:pPr>
                    <w:r>
                      <w:rPr>
                        <w:bCs/>
                        <w:sz w:val="20"/>
                      </w:rPr>
                      <w:t>4.6.8.</w:t>
                    </w:r>
                  </w:p>
                </w:tc>
                <w:tc>
                  <w:tcPr>
                    <w:tcW w:w="7762" w:type="dxa"/>
                    <w:tcBorders>
                      <w:top w:val="nil"/>
                      <w:left w:val="single" w:sz="4" w:space="0" w:color="auto"/>
                      <w:bottom w:val="nil"/>
                    </w:tcBorders>
                    <w:shd w:val="clear" w:color="auto" w:fill="auto"/>
                  </w:tcPr>
                  <w:p>
                    <w:pPr>
                      <w:rPr>
                        <w:bCs/>
                        <w:sz w:val="20"/>
                        <w:lang w:val="pt-BR"/>
                      </w:rPr>
                    </w:pPr>
                    <w:r>
                      <w:rPr>
                        <w:bCs/>
                        <w:sz w:val="20"/>
                        <w:lang w:val="pt-BR"/>
                      </w:rPr>
                      <w:t>Interferencinių srovių terapija.</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4.6.9.</w:t>
                    </w:r>
                  </w:p>
                </w:tc>
                <w:tc>
                  <w:tcPr>
                    <w:tcW w:w="7762" w:type="dxa"/>
                    <w:tcBorders>
                      <w:top w:val="nil"/>
                      <w:left w:val="single" w:sz="4" w:space="0" w:color="auto"/>
                      <w:bottom w:val="nil"/>
                    </w:tcBorders>
                    <w:shd w:val="clear" w:color="auto" w:fill="auto"/>
                  </w:tcPr>
                  <w:p>
                    <w:pPr>
                      <w:rPr>
                        <w:bCs/>
                        <w:sz w:val="20"/>
                        <w:lang w:val="pt-BR"/>
                      </w:rPr>
                    </w:pPr>
                    <w:r>
                      <w:rPr>
                        <w:bCs/>
                        <w:sz w:val="20"/>
                        <w:lang w:val="pt-BR"/>
                      </w:rPr>
                      <w:t>Darsonvalizacija.</w:t>
                    </w:r>
                  </w:p>
                </w:tc>
              </w:tr>
              <w:tr>
                <w:tblPrEx>
                  <w:tblBorders>
                    <w:insideH w:val="none" w:sz="0" w:space="0" w:color="auto"/>
                    <w:insideV w:val="none" w:sz="0" w:space="0" w:color="auto"/>
                  </w:tblBorders>
                </w:tblPrEx>
                <w:trPr>
                  <w:trHeight w:val="285"/>
                </w:trPr>
                <w:tc>
                  <w:tcPr>
                    <w:tcW w:w="1308" w:type="dxa"/>
                    <w:tcBorders>
                      <w:right w:val="single" w:sz="4" w:space="0" w:color="auto"/>
                    </w:tcBorders>
                    <w:shd w:val="clear" w:color="auto" w:fill="auto"/>
                  </w:tcPr>
                  <w:p>
                    <w:pPr>
                      <w:rPr>
                        <w:bCs/>
                        <w:sz w:val="20"/>
                      </w:rPr>
                    </w:pPr>
                    <w:r>
                      <w:rPr>
                        <w:bCs/>
                        <w:sz w:val="20"/>
                      </w:rPr>
                      <w:t>4.6.10.</w:t>
                    </w:r>
                  </w:p>
                </w:tc>
                <w:tc>
                  <w:tcPr>
                    <w:tcW w:w="7762" w:type="dxa"/>
                    <w:tcBorders>
                      <w:top w:val="nil"/>
                      <w:left w:val="single" w:sz="4" w:space="0" w:color="auto"/>
                      <w:bottom w:val="nil"/>
                    </w:tcBorders>
                    <w:shd w:val="clear" w:color="auto" w:fill="auto"/>
                  </w:tcPr>
                  <w:p>
                    <w:pPr>
                      <w:rPr>
                        <w:bCs/>
                        <w:sz w:val="20"/>
                        <w:lang w:val="pt-BR"/>
                      </w:rPr>
                    </w:pPr>
                    <w:r>
                      <w:rPr>
                        <w:bCs/>
                        <w:sz w:val="20"/>
                        <w:lang w:val="pt-BR"/>
                      </w:rPr>
                      <w:t>Diadinamoterapija.</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4.6.11.</w:t>
                    </w:r>
                  </w:p>
                </w:tc>
                <w:tc>
                  <w:tcPr>
                    <w:tcW w:w="7762" w:type="dxa"/>
                    <w:tcBorders>
                      <w:top w:val="nil"/>
                      <w:left w:val="single" w:sz="4" w:space="0" w:color="auto"/>
                      <w:bottom w:val="nil"/>
                    </w:tcBorders>
                    <w:shd w:val="clear" w:color="auto" w:fill="auto"/>
                  </w:tcPr>
                  <w:p>
                    <w:pPr>
                      <w:rPr>
                        <w:bCs/>
                        <w:sz w:val="20"/>
                        <w:lang w:val="pt-BR"/>
                      </w:rPr>
                    </w:pPr>
                    <w:r>
                      <w:rPr>
                        <w:bCs/>
                        <w:sz w:val="20"/>
                        <w:lang w:val="pt-BR"/>
                      </w:rPr>
                      <w:t>Veninės kraujotakos stimuliavimo terapija.</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4.6.12.</w:t>
                    </w:r>
                  </w:p>
                </w:tc>
                <w:tc>
                  <w:tcPr>
                    <w:tcW w:w="7762" w:type="dxa"/>
                    <w:tcBorders>
                      <w:top w:val="nil"/>
                      <w:left w:val="single" w:sz="4" w:space="0" w:color="auto"/>
                      <w:bottom w:val="single" w:sz="4" w:space="0" w:color="auto"/>
                    </w:tcBorders>
                    <w:shd w:val="clear" w:color="auto" w:fill="auto"/>
                  </w:tcPr>
                  <w:p>
                    <w:pPr>
                      <w:rPr>
                        <w:bCs/>
                        <w:sz w:val="20"/>
                        <w:lang w:val="pt-BR"/>
                      </w:rPr>
                    </w:pPr>
                    <w:r>
                      <w:rPr>
                        <w:bCs/>
                        <w:sz w:val="20"/>
                        <w:lang w:val="pt-BR"/>
                      </w:rPr>
                      <w:t>Transkutaninio stimuliavimo terapija.</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4.7.</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MASAŽO</w:t>
                    </w:r>
                  </w:p>
                </w:tc>
              </w:tr>
              <w:tr>
                <w:tblPrEx>
                  <w:tblBorders>
                    <w:insideH w:val="none" w:sz="0" w:space="0" w:color="auto"/>
                    <w:insideV w:val="none" w:sz="0" w:space="0" w:color="auto"/>
                  </w:tblBorders>
                </w:tblPrEx>
                <w:trPr>
                  <w:trHeight w:val="180"/>
                </w:trPr>
                <w:tc>
                  <w:tcPr>
                    <w:tcW w:w="1308" w:type="dxa"/>
                    <w:tcBorders>
                      <w:right w:val="single" w:sz="4" w:space="0" w:color="auto"/>
                    </w:tcBorders>
                    <w:shd w:val="clear" w:color="auto" w:fill="auto"/>
                  </w:tcPr>
                  <w:p>
                    <w:pPr>
                      <w:rPr>
                        <w:bCs/>
                        <w:sz w:val="20"/>
                      </w:rPr>
                    </w:pPr>
                    <w:r>
                      <w:rPr>
                        <w:bCs/>
                        <w:sz w:val="20"/>
                      </w:rPr>
                      <w:t>4.7.1.</w:t>
                    </w:r>
                  </w:p>
                </w:tc>
                <w:tc>
                  <w:tcPr>
                    <w:tcW w:w="7762" w:type="dxa"/>
                    <w:tcBorders>
                      <w:top w:val="single" w:sz="4" w:space="0" w:color="auto"/>
                      <w:left w:val="single" w:sz="4" w:space="0" w:color="auto"/>
                      <w:bottom w:val="nil"/>
                    </w:tcBorders>
                    <w:shd w:val="clear" w:color="auto" w:fill="auto"/>
                  </w:tcPr>
                  <w:p>
                    <w:pPr>
                      <w:rPr>
                        <w:bCs/>
                        <w:sz w:val="20"/>
                      </w:rPr>
                    </w:pPr>
                    <w:r>
                      <w:rPr>
                        <w:bCs/>
                        <w:caps/>
                        <w:sz w:val="20"/>
                      </w:rPr>
                      <w:t>A</w:t>
                    </w:r>
                    <w:r>
                      <w:rPr>
                        <w:bCs/>
                        <w:sz w:val="20"/>
                      </w:rPr>
                      <w:t>tskirų kūno sričių masažas</w:t>
                    </w:r>
                    <w:r>
                      <w:rPr>
                        <w:bCs/>
                        <w:caps/>
                        <w:sz w:val="20"/>
                      </w:rPr>
                      <w:t>:</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4.7.1.1.</w:t>
                    </w:r>
                  </w:p>
                </w:tc>
                <w:tc>
                  <w:tcPr>
                    <w:tcW w:w="7762" w:type="dxa"/>
                    <w:tcBorders>
                      <w:top w:val="nil"/>
                      <w:left w:val="single" w:sz="4" w:space="0" w:color="auto"/>
                      <w:bottom w:val="nil"/>
                    </w:tcBorders>
                    <w:shd w:val="clear" w:color="auto" w:fill="auto"/>
                  </w:tcPr>
                  <w:p>
                    <w:pPr>
                      <w:rPr>
                        <w:bCs/>
                        <w:caps/>
                        <w:sz w:val="20"/>
                      </w:rPr>
                    </w:pPr>
                    <w:r>
                      <w:rPr>
                        <w:bCs/>
                        <w:sz w:val="20"/>
                      </w:rPr>
                      <w:t>galvos;</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4.7.1.2.</w:t>
                    </w:r>
                  </w:p>
                </w:tc>
                <w:tc>
                  <w:tcPr>
                    <w:tcW w:w="7762" w:type="dxa"/>
                    <w:tcBorders>
                      <w:top w:val="nil"/>
                      <w:left w:val="single" w:sz="4" w:space="0" w:color="auto"/>
                      <w:bottom w:val="nil"/>
                    </w:tcBorders>
                    <w:shd w:val="clear" w:color="auto" w:fill="auto"/>
                  </w:tcPr>
                  <w:p>
                    <w:pPr>
                      <w:rPr>
                        <w:bCs/>
                        <w:sz w:val="20"/>
                      </w:rPr>
                    </w:pPr>
                    <w:r>
                      <w:rPr>
                        <w:bCs/>
                        <w:sz w:val="20"/>
                      </w:rPr>
                      <w:t>veido;</w:t>
                    </w:r>
                  </w:p>
                </w:tc>
              </w:tr>
              <w:tr>
                <w:tblPrEx>
                  <w:tblBorders>
                    <w:insideH w:val="none" w:sz="0" w:space="0" w:color="auto"/>
                    <w:insideV w:val="none" w:sz="0" w:space="0" w:color="auto"/>
                  </w:tblBorders>
                </w:tblPrEx>
                <w:trPr>
                  <w:trHeight w:val="300"/>
                </w:trPr>
                <w:tc>
                  <w:tcPr>
                    <w:tcW w:w="1308" w:type="dxa"/>
                    <w:tcBorders>
                      <w:right w:val="single" w:sz="4" w:space="0" w:color="auto"/>
                    </w:tcBorders>
                    <w:shd w:val="clear" w:color="auto" w:fill="auto"/>
                  </w:tcPr>
                  <w:p>
                    <w:pPr>
                      <w:rPr>
                        <w:bCs/>
                        <w:sz w:val="20"/>
                      </w:rPr>
                    </w:pPr>
                    <w:r>
                      <w:rPr>
                        <w:bCs/>
                        <w:sz w:val="20"/>
                      </w:rPr>
                      <w:t>4.7.1.3.</w:t>
                    </w:r>
                  </w:p>
                </w:tc>
                <w:tc>
                  <w:tcPr>
                    <w:tcW w:w="7762" w:type="dxa"/>
                    <w:tcBorders>
                      <w:top w:val="nil"/>
                      <w:left w:val="single" w:sz="4" w:space="0" w:color="auto"/>
                      <w:bottom w:val="nil"/>
                    </w:tcBorders>
                    <w:shd w:val="clear" w:color="auto" w:fill="auto"/>
                  </w:tcPr>
                  <w:p>
                    <w:pPr>
                      <w:rPr>
                        <w:bCs/>
                        <w:sz w:val="20"/>
                      </w:rPr>
                    </w:pPr>
                    <w:r>
                      <w:rPr>
                        <w:bCs/>
                        <w:sz w:val="20"/>
                      </w:rPr>
                      <w:t>kaklo srities;</w:t>
                    </w:r>
                  </w:p>
                </w:tc>
              </w:tr>
              <w:tr>
                <w:tblPrEx>
                  <w:tblBorders>
                    <w:insideH w:val="none" w:sz="0" w:space="0" w:color="auto"/>
                    <w:insideV w:val="none" w:sz="0" w:space="0" w:color="auto"/>
                  </w:tblBorders>
                </w:tblPrEx>
                <w:trPr>
                  <w:trHeight w:val="150"/>
                </w:trPr>
                <w:tc>
                  <w:tcPr>
                    <w:tcW w:w="1308" w:type="dxa"/>
                    <w:tcBorders>
                      <w:right w:val="single" w:sz="4" w:space="0" w:color="auto"/>
                    </w:tcBorders>
                    <w:shd w:val="clear" w:color="auto" w:fill="auto"/>
                  </w:tcPr>
                  <w:p>
                    <w:pPr>
                      <w:rPr>
                        <w:bCs/>
                        <w:sz w:val="20"/>
                      </w:rPr>
                    </w:pPr>
                    <w:r>
                      <w:rPr>
                        <w:bCs/>
                        <w:sz w:val="20"/>
                      </w:rPr>
                      <w:t>4.7.1.4.</w:t>
                    </w:r>
                  </w:p>
                </w:tc>
                <w:tc>
                  <w:tcPr>
                    <w:tcW w:w="7762" w:type="dxa"/>
                    <w:tcBorders>
                      <w:top w:val="nil"/>
                      <w:left w:val="single" w:sz="4" w:space="0" w:color="auto"/>
                      <w:bottom w:val="nil"/>
                    </w:tcBorders>
                    <w:shd w:val="clear" w:color="auto" w:fill="auto"/>
                  </w:tcPr>
                  <w:p>
                    <w:pPr>
                      <w:rPr>
                        <w:bCs/>
                        <w:sz w:val="20"/>
                      </w:rPr>
                    </w:pPr>
                    <w:r>
                      <w:rPr>
                        <w:bCs/>
                        <w:sz w:val="20"/>
                      </w:rPr>
                      <w:t>viršutinės galūnės, peties ir mentės srities arba visų viršutinės galūnės sąnarių;</w:t>
                    </w:r>
                  </w:p>
                </w:tc>
              </w:tr>
              <w:tr>
                <w:tblPrEx>
                  <w:tblBorders>
                    <w:insideH w:val="none" w:sz="0" w:space="0" w:color="auto"/>
                    <w:insideV w:val="none" w:sz="0" w:space="0" w:color="auto"/>
                  </w:tblBorders>
                </w:tblPrEx>
                <w:trPr>
                  <w:trHeight w:val="135"/>
                </w:trPr>
                <w:tc>
                  <w:tcPr>
                    <w:tcW w:w="1308" w:type="dxa"/>
                    <w:tcBorders>
                      <w:right w:val="single" w:sz="4" w:space="0" w:color="auto"/>
                    </w:tcBorders>
                    <w:shd w:val="clear" w:color="auto" w:fill="auto"/>
                  </w:tcPr>
                  <w:p>
                    <w:pPr>
                      <w:rPr>
                        <w:bCs/>
                        <w:sz w:val="20"/>
                      </w:rPr>
                    </w:pPr>
                    <w:r>
                      <w:rPr>
                        <w:bCs/>
                        <w:sz w:val="20"/>
                      </w:rPr>
                      <w:t>4.7.1.5.</w:t>
                    </w:r>
                  </w:p>
                </w:tc>
                <w:tc>
                  <w:tcPr>
                    <w:tcW w:w="7762" w:type="dxa"/>
                    <w:tcBorders>
                      <w:top w:val="nil"/>
                      <w:left w:val="single" w:sz="4" w:space="0" w:color="auto"/>
                      <w:bottom w:val="nil"/>
                    </w:tcBorders>
                    <w:shd w:val="clear" w:color="auto" w:fill="auto"/>
                  </w:tcPr>
                  <w:p>
                    <w:pPr>
                      <w:rPr>
                        <w:bCs/>
                        <w:sz w:val="20"/>
                      </w:rPr>
                    </w:pPr>
                    <w:r>
                      <w:rPr>
                        <w:bCs/>
                        <w:sz w:val="20"/>
                      </w:rPr>
                      <w:t>alkūnės sąnario;</w:t>
                    </w:r>
                  </w:p>
                </w:tc>
              </w:tr>
              <w:tr>
                <w:tblPrEx>
                  <w:tblBorders>
                    <w:insideH w:val="none" w:sz="0" w:space="0" w:color="auto"/>
                    <w:insideV w:val="none" w:sz="0" w:space="0" w:color="auto"/>
                  </w:tblBorders>
                </w:tblPrEx>
                <w:trPr>
                  <w:trHeight w:val="255"/>
                </w:trPr>
                <w:tc>
                  <w:tcPr>
                    <w:tcW w:w="1308" w:type="dxa"/>
                    <w:tcBorders>
                      <w:right w:val="single" w:sz="4" w:space="0" w:color="auto"/>
                    </w:tcBorders>
                    <w:shd w:val="clear" w:color="auto" w:fill="auto"/>
                  </w:tcPr>
                  <w:p>
                    <w:pPr>
                      <w:rPr>
                        <w:bCs/>
                        <w:sz w:val="20"/>
                      </w:rPr>
                    </w:pPr>
                    <w:r>
                      <w:rPr>
                        <w:bCs/>
                        <w:sz w:val="20"/>
                      </w:rPr>
                      <w:t>4.7.1.6.</w:t>
                    </w:r>
                  </w:p>
                </w:tc>
                <w:tc>
                  <w:tcPr>
                    <w:tcW w:w="7762" w:type="dxa"/>
                    <w:tcBorders>
                      <w:top w:val="nil"/>
                      <w:left w:val="single" w:sz="4" w:space="0" w:color="auto"/>
                      <w:bottom w:val="nil"/>
                    </w:tcBorders>
                    <w:shd w:val="clear" w:color="auto" w:fill="auto"/>
                  </w:tcPr>
                  <w:p>
                    <w:pPr>
                      <w:rPr>
                        <w:bCs/>
                        <w:sz w:val="20"/>
                      </w:rPr>
                    </w:pPr>
                    <w:r>
                      <w:rPr>
                        <w:bCs/>
                        <w:sz w:val="20"/>
                      </w:rPr>
                      <w:t>riešo sąnario;</w:t>
                    </w:r>
                  </w:p>
                </w:tc>
              </w:tr>
              <w:tr>
                <w:tblPrEx>
                  <w:tblBorders>
                    <w:insideH w:val="none" w:sz="0" w:space="0" w:color="auto"/>
                    <w:insideV w:val="none" w:sz="0" w:space="0" w:color="auto"/>
                  </w:tblBorders>
                </w:tblPrEx>
                <w:trPr>
                  <w:trHeight w:val="180"/>
                </w:trPr>
                <w:tc>
                  <w:tcPr>
                    <w:tcW w:w="1308" w:type="dxa"/>
                    <w:tcBorders>
                      <w:right w:val="single" w:sz="4" w:space="0" w:color="auto"/>
                    </w:tcBorders>
                    <w:shd w:val="clear" w:color="auto" w:fill="auto"/>
                  </w:tcPr>
                  <w:p>
                    <w:pPr>
                      <w:rPr>
                        <w:bCs/>
                        <w:sz w:val="20"/>
                      </w:rPr>
                    </w:pPr>
                    <w:r>
                      <w:rPr>
                        <w:bCs/>
                        <w:sz w:val="20"/>
                      </w:rPr>
                      <w:t>4.7.1.7.</w:t>
                    </w:r>
                  </w:p>
                </w:tc>
                <w:tc>
                  <w:tcPr>
                    <w:tcW w:w="7762" w:type="dxa"/>
                    <w:tcBorders>
                      <w:top w:val="nil"/>
                      <w:left w:val="single" w:sz="4" w:space="0" w:color="auto"/>
                      <w:bottom w:val="nil"/>
                    </w:tcBorders>
                    <w:shd w:val="clear" w:color="auto" w:fill="auto"/>
                  </w:tcPr>
                  <w:p>
                    <w:pPr>
                      <w:rPr>
                        <w:bCs/>
                        <w:sz w:val="20"/>
                      </w:rPr>
                    </w:pPr>
                    <w:r>
                      <w:rPr>
                        <w:bCs/>
                        <w:sz w:val="20"/>
                      </w:rPr>
                      <w:t>plaštakos ir dilbio;</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4.7.1.8.</w:t>
                    </w:r>
                  </w:p>
                </w:tc>
                <w:tc>
                  <w:tcPr>
                    <w:tcW w:w="7762" w:type="dxa"/>
                    <w:tcBorders>
                      <w:top w:val="nil"/>
                      <w:left w:val="single" w:sz="4" w:space="0" w:color="auto"/>
                      <w:bottom w:val="nil"/>
                    </w:tcBorders>
                    <w:shd w:val="clear" w:color="auto" w:fill="auto"/>
                  </w:tcPr>
                  <w:p>
                    <w:pPr>
                      <w:rPr>
                        <w:bCs/>
                        <w:sz w:val="20"/>
                      </w:rPr>
                    </w:pPr>
                    <w:r>
                      <w:rPr>
                        <w:bCs/>
                        <w:sz w:val="20"/>
                        <w:lang w:val="pt-BR"/>
                      </w:rPr>
                      <w:t>krūtinės ląstos (iš priekio ir nugaros);</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4.7.1.9.</w:t>
                    </w:r>
                  </w:p>
                </w:tc>
                <w:tc>
                  <w:tcPr>
                    <w:tcW w:w="7762" w:type="dxa"/>
                    <w:tcBorders>
                      <w:top w:val="nil"/>
                      <w:left w:val="single" w:sz="4" w:space="0" w:color="auto"/>
                      <w:bottom w:val="nil"/>
                    </w:tcBorders>
                    <w:shd w:val="clear" w:color="auto" w:fill="auto"/>
                  </w:tcPr>
                  <w:p>
                    <w:pPr>
                      <w:rPr>
                        <w:bCs/>
                        <w:sz w:val="20"/>
                        <w:lang w:val="pt-BR"/>
                      </w:rPr>
                    </w:pPr>
                    <w:r>
                      <w:rPr>
                        <w:bCs/>
                        <w:sz w:val="20"/>
                        <w:lang w:val="pt-BR"/>
                      </w:rPr>
                      <w:t>nugaros;</w:t>
                    </w:r>
                  </w:p>
                </w:tc>
              </w:tr>
              <w:tr>
                <w:tblPrEx>
                  <w:tblBorders>
                    <w:insideH w:val="none" w:sz="0" w:space="0" w:color="auto"/>
                    <w:insideV w:val="none" w:sz="0" w:space="0" w:color="auto"/>
                  </w:tblBorders>
                </w:tblPrEx>
                <w:trPr>
                  <w:trHeight w:val="112"/>
                </w:trPr>
                <w:tc>
                  <w:tcPr>
                    <w:tcW w:w="1308" w:type="dxa"/>
                    <w:tcBorders>
                      <w:right w:val="single" w:sz="4" w:space="0" w:color="auto"/>
                    </w:tcBorders>
                    <w:shd w:val="clear" w:color="auto" w:fill="auto"/>
                  </w:tcPr>
                  <w:p>
                    <w:pPr>
                      <w:rPr>
                        <w:bCs/>
                        <w:sz w:val="20"/>
                      </w:rPr>
                    </w:pPr>
                    <w:r>
                      <w:rPr>
                        <w:bCs/>
                        <w:sz w:val="20"/>
                      </w:rPr>
                      <w:t>4.7.1.10.</w:t>
                    </w:r>
                  </w:p>
                </w:tc>
                <w:tc>
                  <w:tcPr>
                    <w:tcW w:w="7762" w:type="dxa"/>
                    <w:tcBorders>
                      <w:top w:val="nil"/>
                      <w:left w:val="single" w:sz="4" w:space="0" w:color="auto"/>
                      <w:bottom w:val="nil"/>
                    </w:tcBorders>
                    <w:shd w:val="clear" w:color="auto" w:fill="auto"/>
                  </w:tcPr>
                  <w:p>
                    <w:pPr>
                      <w:rPr>
                        <w:bCs/>
                        <w:sz w:val="20"/>
                        <w:lang w:val="pt-BR"/>
                      </w:rPr>
                    </w:pPr>
                    <w:r>
                      <w:rPr>
                        <w:bCs/>
                        <w:sz w:val="20"/>
                        <w:lang w:val="pt-BR"/>
                      </w:rPr>
                      <w:t>pilvo raumenų;</w:t>
                    </w:r>
                  </w:p>
                </w:tc>
              </w:tr>
              <w:tr>
                <w:tblPrEx>
                  <w:tblBorders>
                    <w:insideH w:val="none" w:sz="0" w:space="0" w:color="auto"/>
                    <w:insideV w:val="none" w:sz="0" w:space="0" w:color="auto"/>
                  </w:tblBorders>
                </w:tblPrEx>
                <w:trPr>
                  <w:trHeight w:val="93"/>
                </w:trPr>
                <w:tc>
                  <w:tcPr>
                    <w:tcW w:w="1308" w:type="dxa"/>
                    <w:tcBorders>
                      <w:right w:val="single" w:sz="4" w:space="0" w:color="auto"/>
                    </w:tcBorders>
                    <w:shd w:val="clear" w:color="auto" w:fill="auto"/>
                  </w:tcPr>
                  <w:p>
                    <w:pPr>
                      <w:rPr>
                        <w:bCs/>
                        <w:sz w:val="20"/>
                      </w:rPr>
                    </w:pPr>
                    <w:r>
                      <w:rPr>
                        <w:bCs/>
                        <w:sz w:val="20"/>
                      </w:rPr>
                      <w:t>4.7.1.11.</w:t>
                    </w:r>
                  </w:p>
                </w:tc>
                <w:tc>
                  <w:tcPr>
                    <w:tcW w:w="7762" w:type="dxa"/>
                    <w:tcBorders>
                      <w:top w:val="nil"/>
                      <w:left w:val="single" w:sz="4" w:space="0" w:color="auto"/>
                      <w:bottom w:val="nil"/>
                    </w:tcBorders>
                    <w:shd w:val="clear" w:color="auto" w:fill="auto"/>
                  </w:tcPr>
                  <w:p>
                    <w:pPr>
                      <w:rPr>
                        <w:bCs/>
                        <w:sz w:val="20"/>
                        <w:lang w:val="pt-BR"/>
                      </w:rPr>
                    </w:pPr>
                    <w:r>
                      <w:rPr>
                        <w:bCs/>
                        <w:sz w:val="20"/>
                        <w:lang w:val="pt-BR"/>
                      </w:rPr>
                      <w:t>juosmens ir kryžkaulio srities segmentinis;</w:t>
                    </w:r>
                  </w:p>
                </w:tc>
              </w:tr>
              <w:tr>
                <w:tblPrEx>
                  <w:tblBorders>
                    <w:insideH w:val="none" w:sz="0" w:space="0" w:color="auto"/>
                    <w:insideV w:val="none" w:sz="0" w:space="0" w:color="auto"/>
                  </w:tblBorders>
                </w:tblPrEx>
                <w:trPr>
                  <w:trHeight w:val="57"/>
                </w:trPr>
                <w:tc>
                  <w:tcPr>
                    <w:tcW w:w="1308" w:type="dxa"/>
                    <w:tcBorders>
                      <w:right w:val="single" w:sz="4" w:space="0" w:color="auto"/>
                    </w:tcBorders>
                    <w:shd w:val="clear" w:color="auto" w:fill="auto"/>
                  </w:tcPr>
                  <w:p>
                    <w:pPr>
                      <w:rPr>
                        <w:bCs/>
                        <w:sz w:val="20"/>
                      </w:rPr>
                    </w:pPr>
                    <w:r>
                      <w:rPr>
                        <w:bCs/>
                        <w:sz w:val="20"/>
                      </w:rPr>
                      <w:t>4.7.1.12.</w:t>
                    </w:r>
                  </w:p>
                </w:tc>
                <w:tc>
                  <w:tcPr>
                    <w:tcW w:w="7762" w:type="dxa"/>
                    <w:tcBorders>
                      <w:top w:val="nil"/>
                      <w:left w:val="single" w:sz="4" w:space="0" w:color="auto"/>
                      <w:bottom w:val="nil"/>
                    </w:tcBorders>
                    <w:shd w:val="clear" w:color="auto" w:fill="auto"/>
                  </w:tcPr>
                  <w:p>
                    <w:pPr>
                      <w:rPr>
                        <w:bCs/>
                        <w:sz w:val="20"/>
                        <w:lang w:val="pt-BR"/>
                      </w:rPr>
                    </w:pPr>
                    <w:r>
                      <w:rPr>
                        <w:bCs/>
                        <w:sz w:val="20"/>
                        <w:lang w:val="pt-BR"/>
                      </w:rPr>
                      <w:t>nugaros ir juosmens srities;</w:t>
                    </w:r>
                  </w:p>
                </w:tc>
              </w:tr>
              <w:tr>
                <w:tblPrEx>
                  <w:tblBorders>
                    <w:insideH w:val="none" w:sz="0" w:space="0" w:color="auto"/>
                    <w:insideV w:val="none" w:sz="0" w:space="0" w:color="auto"/>
                  </w:tblBorders>
                </w:tblPrEx>
                <w:trPr>
                  <w:trHeight w:val="57"/>
                </w:trPr>
                <w:tc>
                  <w:tcPr>
                    <w:tcW w:w="1308" w:type="dxa"/>
                    <w:tcBorders>
                      <w:right w:val="single" w:sz="4" w:space="0" w:color="auto"/>
                    </w:tcBorders>
                    <w:shd w:val="clear" w:color="auto" w:fill="auto"/>
                  </w:tcPr>
                  <w:p>
                    <w:pPr>
                      <w:rPr>
                        <w:bCs/>
                        <w:sz w:val="20"/>
                      </w:rPr>
                    </w:pPr>
                    <w:r>
                      <w:rPr>
                        <w:bCs/>
                        <w:sz w:val="20"/>
                      </w:rPr>
                      <w:t>4.7.1.13.</w:t>
                    </w:r>
                  </w:p>
                </w:tc>
                <w:tc>
                  <w:tcPr>
                    <w:tcW w:w="7762" w:type="dxa"/>
                    <w:tcBorders>
                      <w:top w:val="nil"/>
                      <w:left w:val="single" w:sz="4" w:space="0" w:color="auto"/>
                      <w:bottom w:val="nil"/>
                    </w:tcBorders>
                    <w:shd w:val="clear" w:color="auto" w:fill="auto"/>
                  </w:tcPr>
                  <w:p>
                    <w:pPr>
                      <w:rPr>
                        <w:bCs/>
                        <w:sz w:val="20"/>
                        <w:lang w:val="pt-BR"/>
                      </w:rPr>
                    </w:pPr>
                    <w:r>
                      <w:rPr>
                        <w:bCs/>
                        <w:sz w:val="20"/>
                        <w:lang w:val="pt-BR"/>
                      </w:rPr>
                      <w:t>segmentinis kaklo, stuburo ir krūtinės srities;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4.7.1.14.</w:t>
                    </w:r>
                  </w:p>
                </w:tc>
                <w:tc>
                  <w:tcPr>
                    <w:tcW w:w="7762" w:type="dxa"/>
                    <w:tcBorders>
                      <w:top w:val="nil"/>
                      <w:left w:val="single" w:sz="4" w:space="0" w:color="auto"/>
                      <w:bottom w:val="nil"/>
                    </w:tcBorders>
                    <w:shd w:val="clear" w:color="auto" w:fill="auto"/>
                  </w:tcPr>
                  <w:p>
                    <w:pPr>
                      <w:rPr>
                        <w:bCs/>
                        <w:sz w:val="20"/>
                        <w:lang w:val="pt-BR"/>
                      </w:rPr>
                    </w:pPr>
                    <w:r>
                      <w:rPr>
                        <w:bCs/>
                        <w:sz w:val="20"/>
                        <w:lang w:val="pt-BR"/>
                      </w:rPr>
                      <w:t>stuburo srities;</w:t>
                    </w:r>
                  </w:p>
                </w:tc>
              </w:tr>
              <w:tr>
                <w:tblPrEx>
                  <w:tblBorders>
                    <w:insideH w:val="none" w:sz="0" w:space="0" w:color="auto"/>
                    <w:insideV w:val="none" w:sz="0" w:space="0" w:color="auto"/>
                  </w:tblBorders>
                </w:tblPrEx>
                <w:trPr>
                  <w:trHeight w:val="168"/>
                </w:trPr>
                <w:tc>
                  <w:tcPr>
                    <w:tcW w:w="1308" w:type="dxa"/>
                    <w:tcBorders>
                      <w:right w:val="single" w:sz="4" w:space="0" w:color="auto"/>
                    </w:tcBorders>
                    <w:shd w:val="clear" w:color="auto" w:fill="auto"/>
                  </w:tcPr>
                  <w:p>
                    <w:pPr>
                      <w:rPr>
                        <w:bCs/>
                        <w:sz w:val="20"/>
                      </w:rPr>
                    </w:pPr>
                    <w:r>
                      <w:rPr>
                        <w:bCs/>
                        <w:sz w:val="20"/>
                      </w:rPr>
                      <w:t>4.7.1.15.</w:t>
                    </w:r>
                  </w:p>
                </w:tc>
                <w:tc>
                  <w:tcPr>
                    <w:tcW w:w="7762" w:type="dxa"/>
                    <w:tcBorders>
                      <w:top w:val="nil"/>
                      <w:left w:val="single" w:sz="4" w:space="0" w:color="auto"/>
                      <w:bottom w:val="nil"/>
                    </w:tcBorders>
                    <w:shd w:val="clear" w:color="auto" w:fill="auto"/>
                  </w:tcPr>
                  <w:p>
                    <w:pPr>
                      <w:rPr>
                        <w:bCs/>
                        <w:sz w:val="20"/>
                        <w:lang w:val="pt-BR"/>
                      </w:rPr>
                    </w:pPr>
                    <w:r>
                      <w:rPr>
                        <w:bCs/>
                        <w:sz w:val="20"/>
                        <w:lang w:val="pt-BR"/>
                      </w:rPr>
                      <w:t>apatinių galūnių;</w:t>
                    </w:r>
                  </w:p>
                </w:tc>
              </w:tr>
              <w:tr>
                <w:tblPrEx>
                  <w:tblBorders>
                    <w:insideH w:val="none" w:sz="0" w:space="0" w:color="auto"/>
                    <w:insideV w:val="none" w:sz="0" w:space="0" w:color="auto"/>
                  </w:tblBorders>
                </w:tblPrEx>
                <w:trPr>
                  <w:trHeight w:val="224"/>
                </w:trPr>
                <w:tc>
                  <w:tcPr>
                    <w:tcW w:w="1308" w:type="dxa"/>
                    <w:tcBorders>
                      <w:right w:val="single" w:sz="4" w:space="0" w:color="auto"/>
                    </w:tcBorders>
                    <w:shd w:val="clear" w:color="auto" w:fill="auto"/>
                  </w:tcPr>
                  <w:p>
                    <w:pPr>
                      <w:rPr>
                        <w:bCs/>
                        <w:sz w:val="20"/>
                      </w:rPr>
                    </w:pPr>
                    <w:r>
                      <w:rPr>
                        <w:bCs/>
                        <w:sz w:val="20"/>
                      </w:rPr>
                      <w:t>4.7.1.16.</w:t>
                    </w:r>
                  </w:p>
                </w:tc>
                <w:tc>
                  <w:tcPr>
                    <w:tcW w:w="7762" w:type="dxa"/>
                    <w:tcBorders>
                      <w:top w:val="nil"/>
                      <w:left w:val="single" w:sz="4" w:space="0" w:color="auto"/>
                      <w:bottom w:val="nil"/>
                    </w:tcBorders>
                    <w:shd w:val="clear" w:color="auto" w:fill="auto"/>
                  </w:tcPr>
                  <w:p>
                    <w:pPr>
                      <w:rPr>
                        <w:bCs/>
                        <w:sz w:val="20"/>
                        <w:lang w:val="pt-BR"/>
                      </w:rPr>
                    </w:pPr>
                    <w:r>
                      <w:rPr>
                        <w:bCs/>
                        <w:sz w:val="20"/>
                        <w:lang w:val="pt-BR"/>
                      </w:rPr>
                      <w:t>klubo sąnario;</w:t>
                    </w:r>
                  </w:p>
                </w:tc>
              </w:tr>
              <w:tr>
                <w:tblPrEx>
                  <w:tblBorders>
                    <w:insideH w:val="none" w:sz="0" w:space="0" w:color="auto"/>
                    <w:insideV w:val="none" w:sz="0" w:space="0" w:color="auto"/>
                  </w:tblBorders>
                </w:tblPrEx>
                <w:trPr>
                  <w:trHeight w:val="281"/>
                </w:trPr>
                <w:tc>
                  <w:tcPr>
                    <w:tcW w:w="1308" w:type="dxa"/>
                    <w:tcBorders>
                      <w:right w:val="single" w:sz="4" w:space="0" w:color="auto"/>
                    </w:tcBorders>
                    <w:shd w:val="clear" w:color="auto" w:fill="auto"/>
                  </w:tcPr>
                  <w:p>
                    <w:pPr>
                      <w:rPr>
                        <w:bCs/>
                        <w:sz w:val="20"/>
                      </w:rPr>
                    </w:pPr>
                    <w:r>
                      <w:rPr>
                        <w:bCs/>
                        <w:sz w:val="20"/>
                      </w:rPr>
                      <w:t>4.7.1.17.</w:t>
                    </w:r>
                  </w:p>
                </w:tc>
                <w:tc>
                  <w:tcPr>
                    <w:tcW w:w="7762" w:type="dxa"/>
                    <w:tcBorders>
                      <w:top w:val="nil"/>
                      <w:left w:val="single" w:sz="4" w:space="0" w:color="auto"/>
                      <w:bottom w:val="nil"/>
                    </w:tcBorders>
                    <w:shd w:val="clear" w:color="auto" w:fill="auto"/>
                  </w:tcPr>
                  <w:p>
                    <w:pPr>
                      <w:rPr>
                        <w:bCs/>
                        <w:sz w:val="20"/>
                        <w:lang w:val="pt-BR"/>
                      </w:rPr>
                    </w:pPr>
                    <w:r>
                      <w:rPr>
                        <w:bCs/>
                        <w:sz w:val="20"/>
                        <w:lang w:val="pt-BR"/>
                      </w:rPr>
                      <w:t>kelio sąnario;</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4.7.1.18.</w:t>
                    </w:r>
                  </w:p>
                </w:tc>
                <w:tc>
                  <w:tcPr>
                    <w:tcW w:w="7762" w:type="dxa"/>
                    <w:tcBorders>
                      <w:top w:val="nil"/>
                      <w:left w:val="single" w:sz="4" w:space="0" w:color="auto"/>
                      <w:bottom w:val="nil"/>
                    </w:tcBorders>
                    <w:shd w:val="clear" w:color="auto" w:fill="auto"/>
                  </w:tcPr>
                  <w:p>
                    <w:pPr>
                      <w:rPr>
                        <w:bCs/>
                        <w:sz w:val="20"/>
                        <w:lang w:val="pt-BR"/>
                      </w:rPr>
                    </w:pPr>
                    <w:r>
                      <w:rPr>
                        <w:bCs/>
                        <w:sz w:val="20"/>
                        <w:lang w:val="pt-BR"/>
                      </w:rPr>
                      <w:t>čiurnos sąnario;</w:t>
                    </w:r>
                  </w:p>
                </w:tc>
              </w:tr>
              <w:tr>
                <w:tblPrEx>
                  <w:tblBorders>
                    <w:insideH w:val="none" w:sz="0" w:space="0" w:color="auto"/>
                    <w:insideV w:val="none" w:sz="0" w:space="0" w:color="auto"/>
                  </w:tblBorders>
                </w:tblPrEx>
                <w:trPr>
                  <w:trHeight w:val="180"/>
                </w:trPr>
                <w:tc>
                  <w:tcPr>
                    <w:tcW w:w="1308" w:type="dxa"/>
                    <w:tcBorders>
                      <w:right w:val="single" w:sz="4" w:space="0" w:color="auto"/>
                    </w:tcBorders>
                    <w:shd w:val="clear" w:color="auto" w:fill="auto"/>
                  </w:tcPr>
                  <w:p>
                    <w:pPr>
                      <w:rPr>
                        <w:bCs/>
                        <w:sz w:val="20"/>
                      </w:rPr>
                    </w:pPr>
                    <w:r>
                      <w:rPr>
                        <w:bCs/>
                        <w:sz w:val="20"/>
                      </w:rPr>
                      <w:t>4.7.1.19.</w:t>
                    </w:r>
                  </w:p>
                </w:tc>
                <w:tc>
                  <w:tcPr>
                    <w:tcW w:w="7762" w:type="dxa"/>
                    <w:tcBorders>
                      <w:top w:val="nil"/>
                      <w:left w:val="single" w:sz="4" w:space="0" w:color="auto"/>
                      <w:bottom w:val="nil"/>
                    </w:tcBorders>
                    <w:shd w:val="clear" w:color="auto" w:fill="auto"/>
                  </w:tcPr>
                  <w:p>
                    <w:pPr>
                      <w:rPr>
                        <w:bCs/>
                        <w:sz w:val="20"/>
                        <w:lang w:val="pt-BR"/>
                      </w:rPr>
                    </w:pPr>
                    <w:r>
                      <w:rPr>
                        <w:bCs/>
                        <w:sz w:val="20"/>
                        <w:lang w:val="pt-BR"/>
                      </w:rPr>
                      <w:t>pėdos ir blauzdos.</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rPr>
                    </w:pPr>
                    <w:r>
                      <w:rPr>
                        <w:bCs/>
                        <w:sz w:val="20"/>
                      </w:rPr>
                      <w:t>4.7.2.</w:t>
                    </w:r>
                  </w:p>
                </w:tc>
                <w:tc>
                  <w:tcPr>
                    <w:tcW w:w="7762" w:type="dxa"/>
                    <w:tcBorders>
                      <w:top w:val="nil"/>
                      <w:left w:val="single" w:sz="4" w:space="0" w:color="auto"/>
                      <w:bottom w:val="single" w:sz="4" w:space="0" w:color="auto"/>
                    </w:tcBorders>
                    <w:shd w:val="clear" w:color="auto" w:fill="auto"/>
                  </w:tcPr>
                  <w:p>
                    <w:pPr>
                      <w:rPr>
                        <w:bCs/>
                        <w:sz w:val="20"/>
                        <w:lang w:val="pt-BR"/>
                      </w:rPr>
                    </w:pPr>
                    <w:r>
                      <w:rPr>
                        <w:bCs/>
                        <w:sz w:val="20"/>
                        <w:lang w:val="pt-BR"/>
                      </w:rPr>
                      <w:t>Sportinis masažas.</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4.8.</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 xml:space="preserve">GYDYTOJO OFTALMOLOGO </w:t>
                    </w:r>
                  </w:p>
                </w:tc>
              </w:tr>
              <w:tr>
                <w:tblPrEx>
                  <w:tblBorders>
                    <w:insideH w:val="none" w:sz="0" w:space="0" w:color="auto"/>
                    <w:insideV w:val="none" w:sz="0" w:space="0" w:color="auto"/>
                  </w:tblBorders>
                </w:tblPrEx>
                <w:trPr>
                  <w:trHeight w:val="168"/>
                </w:trPr>
                <w:tc>
                  <w:tcPr>
                    <w:tcW w:w="1308" w:type="dxa"/>
                    <w:tcBorders>
                      <w:right w:val="single" w:sz="4" w:space="0" w:color="auto"/>
                    </w:tcBorders>
                    <w:shd w:val="clear" w:color="auto" w:fill="auto"/>
                  </w:tcPr>
                  <w:p>
                    <w:pPr>
                      <w:rPr>
                        <w:bCs/>
                        <w:sz w:val="20"/>
                      </w:rPr>
                    </w:pPr>
                    <w:r>
                      <w:rPr>
                        <w:bCs/>
                        <w:sz w:val="20"/>
                      </w:rPr>
                      <w:t>4.8.1.</w:t>
                    </w:r>
                  </w:p>
                </w:tc>
                <w:tc>
                  <w:tcPr>
                    <w:tcW w:w="7762" w:type="dxa"/>
                    <w:tcBorders>
                      <w:top w:val="single" w:sz="4" w:space="0" w:color="auto"/>
                      <w:left w:val="single" w:sz="4" w:space="0" w:color="auto"/>
                      <w:bottom w:val="nil"/>
                    </w:tcBorders>
                    <w:shd w:val="clear" w:color="auto" w:fill="auto"/>
                  </w:tcPr>
                  <w:p>
                    <w:pPr>
                      <w:rPr>
                        <w:bCs/>
                        <w:sz w:val="20"/>
                      </w:rPr>
                    </w:pPr>
                    <w:r>
                      <w:rPr>
                        <w:bCs/>
                        <w:sz w:val="20"/>
                      </w:rPr>
                      <w:t>Anamnezės surinkimas.</w:t>
                    </w:r>
                  </w:p>
                </w:tc>
              </w:tr>
              <w:tr>
                <w:tblPrEx>
                  <w:tblBorders>
                    <w:insideH w:val="none" w:sz="0" w:space="0" w:color="auto"/>
                    <w:insideV w:val="none" w:sz="0" w:space="0" w:color="auto"/>
                  </w:tblBorders>
                </w:tblPrEx>
                <w:trPr>
                  <w:trHeight w:val="103"/>
                </w:trPr>
                <w:tc>
                  <w:tcPr>
                    <w:tcW w:w="1308" w:type="dxa"/>
                    <w:tcBorders>
                      <w:right w:val="single" w:sz="4" w:space="0" w:color="auto"/>
                    </w:tcBorders>
                    <w:shd w:val="clear" w:color="auto" w:fill="auto"/>
                  </w:tcPr>
                  <w:p>
                    <w:pPr>
                      <w:rPr>
                        <w:bCs/>
                        <w:sz w:val="20"/>
                      </w:rPr>
                    </w:pPr>
                    <w:r>
                      <w:rPr>
                        <w:bCs/>
                        <w:sz w:val="20"/>
                      </w:rPr>
                      <w:t>4.8.2.</w:t>
                    </w:r>
                  </w:p>
                </w:tc>
                <w:tc>
                  <w:tcPr>
                    <w:tcW w:w="7762" w:type="dxa"/>
                    <w:tcBorders>
                      <w:top w:val="nil"/>
                      <w:left w:val="single" w:sz="4" w:space="0" w:color="auto"/>
                      <w:bottom w:val="nil"/>
                    </w:tcBorders>
                    <w:shd w:val="clear" w:color="auto" w:fill="auto"/>
                  </w:tcPr>
                  <w:p>
                    <w:pPr>
                      <w:rPr>
                        <w:bCs/>
                        <w:sz w:val="20"/>
                      </w:rPr>
                    </w:pPr>
                    <w:r>
                      <w:rPr>
                        <w:bCs/>
                        <w:sz w:val="20"/>
                      </w:rPr>
                      <w:t>Ligonio apžiūra, regos organų būklės įvertinimas, preliminarios diagnozės nustatymas.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4.8.3.</w:t>
                    </w:r>
                  </w:p>
                </w:tc>
                <w:tc>
                  <w:tcPr>
                    <w:tcW w:w="7762" w:type="dxa"/>
                    <w:tcBorders>
                      <w:top w:val="nil"/>
                      <w:left w:val="single" w:sz="4" w:space="0" w:color="auto"/>
                      <w:bottom w:val="nil"/>
                    </w:tcBorders>
                    <w:shd w:val="clear" w:color="auto" w:fill="auto"/>
                  </w:tcPr>
                  <w:p>
                    <w:pPr>
                      <w:rPr>
                        <w:bCs/>
                        <w:sz w:val="20"/>
                      </w:rPr>
                    </w:pPr>
                    <w:r>
                      <w:rPr>
                        <w:bCs/>
                        <w:sz w:val="20"/>
                      </w:rPr>
                      <w:t>Papildomų ištyrimų atlikimas.</w:t>
                    </w:r>
                  </w:p>
                </w:tc>
              </w:tr>
              <w:tr>
                <w:tblPrEx>
                  <w:tblBorders>
                    <w:insideH w:val="none" w:sz="0" w:space="0" w:color="auto"/>
                    <w:insideV w:val="none" w:sz="0" w:space="0" w:color="auto"/>
                  </w:tblBorders>
                </w:tblPrEx>
                <w:trPr>
                  <w:trHeight w:val="159"/>
                </w:trPr>
                <w:tc>
                  <w:tcPr>
                    <w:tcW w:w="1308" w:type="dxa"/>
                    <w:tcBorders>
                      <w:right w:val="single" w:sz="4" w:space="0" w:color="auto"/>
                    </w:tcBorders>
                    <w:shd w:val="clear" w:color="auto" w:fill="auto"/>
                  </w:tcPr>
                  <w:p>
                    <w:pPr>
                      <w:rPr>
                        <w:bCs/>
                        <w:sz w:val="20"/>
                      </w:rPr>
                    </w:pPr>
                    <w:r>
                      <w:rPr>
                        <w:bCs/>
                        <w:sz w:val="20"/>
                      </w:rPr>
                      <w:t>4.8.4.</w:t>
                    </w:r>
                  </w:p>
                </w:tc>
                <w:tc>
                  <w:tcPr>
                    <w:tcW w:w="7762" w:type="dxa"/>
                    <w:tcBorders>
                      <w:top w:val="nil"/>
                      <w:left w:val="single" w:sz="4" w:space="0" w:color="auto"/>
                      <w:bottom w:val="nil"/>
                    </w:tcBorders>
                    <w:shd w:val="clear" w:color="auto" w:fill="auto"/>
                  </w:tcPr>
                  <w:p>
                    <w:pPr>
                      <w:rPr>
                        <w:bCs/>
                        <w:sz w:val="20"/>
                      </w:rPr>
                    </w:pPr>
                    <w:r>
                      <w:rPr>
                        <w:bCs/>
                        <w:sz w:val="20"/>
                      </w:rPr>
                      <w:t>Rekomendacijų dėl galimybės treniruotis pagal pasirinktą sporto šaką teikimas.</w:t>
                    </w:r>
                  </w:p>
                </w:tc>
              </w:tr>
              <w:tr>
                <w:tblPrEx>
                  <w:tblBorders>
                    <w:insideH w:val="none" w:sz="0" w:space="0" w:color="auto"/>
                    <w:insideV w:val="none" w:sz="0" w:space="0" w:color="auto"/>
                  </w:tblBorders>
                </w:tblPrEx>
                <w:trPr>
                  <w:trHeight w:val="281"/>
                </w:trPr>
                <w:tc>
                  <w:tcPr>
                    <w:tcW w:w="1308" w:type="dxa"/>
                    <w:tcBorders>
                      <w:right w:val="single" w:sz="4" w:space="0" w:color="auto"/>
                    </w:tcBorders>
                    <w:shd w:val="clear" w:color="auto" w:fill="auto"/>
                  </w:tcPr>
                  <w:p>
                    <w:pPr>
                      <w:rPr>
                        <w:bCs/>
                        <w:sz w:val="20"/>
                      </w:rPr>
                    </w:pPr>
                    <w:r>
                      <w:rPr>
                        <w:bCs/>
                        <w:sz w:val="20"/>
                      </w:rPr>
                      <w:t>4.8.5.</w:t>
                    </w:r>
                  </w:p>
                </w:tc>
                <w:tc>
                  <w:tcPr>
                    <w:tcW w:w="7762" w:type="dxa"/>
                    <w:tcBorders>
                      <w:top w:val="nil"/>
                      <w:left w:val="single" w:sz="4" w:space="0" w:color="auto"/>
                      <w:bottom w:val="nil"/>
                    </w:tcBorders>
                    <w:shd w:val="clear" w:color="auto" w:fill="auto"/>
                  </w:tcPr>
                  <w:p>
                    <w:pPr>
                      <w:rPr>
                        <w:bCs/>
                        <w:sz w:val="20"/>
                      </w:rPr>
                    </w:pPr>
                    <w:r>
                      <w:rPr>
                        <w:bCs/>
                        <w:sz w:val="20"/>
                        <w:lang w:val="pt-BR"/>
                      </w:rPr>
                      <w:t>Gydymo paskyrimas, receptų išrašymas, sekimas ir kontrolė.</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4.8.6.</w:t>
                    </w:r>
                  </w:p>
                </w:tc>
                <w:tc>
                  <w:tcPr>
                    <w:tcW w:w="7762" w:type="dxa"/>
                    <w:tcBorders>
                      <w:top w:val="nil"/>
                      <w:left w:val="single" w:sz="4" w:space="0" w:color="auto"/>
                      <w:bottom w:val="nil"/>
                    </w:tcBorders>
                    <w:shd w:val="clear" w:color="auto" w:fill="auto"/>
                  </w:tcPr>
                  <w:p>
                    <w:pPr>
                      <w:rPr>
                        <w:bCs/>
                        <w:sz w:val="20"/>
                        <w:lang w:val="pt-BR"/>
                      </w:rPr>
                    </w:pPr>
                    <w:r>
                      <w:rPr>
                        <w:bCs/>
                        <w:sz w:val="20"/>
                        <w:lang w:val="pt-BR"/>
                      </w:rPr>
                      <w:t>Rekomendacijos sveikatos išsaugojimo ir stiprinimo klausimais.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4.8.7.</w:t>
                    </w:r>
                  </w:p>
                </w:tc>
                <w:tc>
                  <w:tcPr>
                    <w:tcW w:w="7762" w:type="dxa"/>
                    <w:tcBorders>
                      <w:top w:val="nil"/>
                      <w:left w:val="single" w:sz="4" w:space="0" w:color="auto"/>
                      <w:bottom w:val="nil"/>
                    </w:tcBorders>
                    <w:shd w:val="clear" w:color="auto" w:fill="auto"/>
                  </w:tcPr>
                  <w:p>
                    <w:pPr>
                      <w:rPr>
                        <w:bCs/>
                        <w:sz w:val="20"/>
                        <w:lang w:val="pt-BR"/>
                      </w:rPr>
                    </w:pPr>
                    <w:r>
                      <w:rPr>
                        <w:bCs/>
                        <w:sz w:val="20"/>
                        <w:lang w:val="pt-BR"/>
                      </w:rPr>
                      <w:t>Būtinų veiksmų, reikalingų paciento sveikatai gerinti, vykdymas.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4.8.8.</w:t>
                    </w:r>
                  </w:p>
                </w:tc>
                <w:tc>
                  <w:tcPr>
                    <w:tcW w:w="7762" w:type="dxa"/>
                    <w:tcBorders>
                      <w:top w:val="nil"/>
                      <w:left w:val="single" w:sz="4" w:space="0" w:color="auto"/>
                      <w:bottom w:val="nil"/>
                    </w:tcBorders>
                    <w:shd w:val="clear" w:color="auto" w:fill="auto"/>
                  </w:tcPr>
                  <w:p>
                    <w:pPr>
                      <w:rPr>
                        <w:bCs/>
                        <w:sz w:val="20"/>
                        <w:lang w:val="pt-BR"/>
                      </w:rPr>
                    </w:pPr>
                    <w:r>
                      <w:rPr>
                        <w:bCs/>
                        <w:sz w:val="20"/>
                        <w:lang w:val="pt-BR"/>
                      </w:rPr>
                      <w:t>Profilaktinė regos organų apžiūra:</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4.8.8.1.</w:t>
                    </w:r>
                  </w:p>
                </w:tc>
                <w:tc>
                  <w:tcPr>
                    <w:tcW w:w="7762" w:type="dxa"/>
                    <w:tcBorders>
                      <w:top w:val="nil"/>
                      <w:left w:val="single" w:sz="4" w:space="0" w:color="auto"/>
                      <w:bottom w:val="nil"/>
                    </w:tcBorders>
                    <w:shd w:val="clear" w:color="auto" w:fill="auto"/>
                  </w:tcPr>
                  <w:p>
                    <w:pPr>
                      <w:rPr>
                        <w:bCs/>
                        <w:sz w:val="20"/>
                        <w:lang w:val="pt-BR"/>
                      </w:rPr>
                    </w:pPr>
                    <w:r>
                      <w:rPr>
                        <w:bCs/>
                        <w:sz w:val="20"/>
                        <w:lang w:val="pt-BR"/>
                      </w:rPr>
                      <w:t>regėjimo aštrumo ištyrimas;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4.8.8.2.</w:t>
                    </w:r>
                  </w:p>
                </w:tc>
                <w:tc>
                  <w:tcPr>
                    <w:tcW w:w="7762" w:type="dxa"/>
                    <w:tcBorders>
                      <w:top w:val="nil"/>
                      <w:left w:val="single" w:sz="4" w:space="0" w:color="auto"/>
                      <w:bottom w:val="nil"/>
                    </w:tcBorders>
                    <w:shd w:val="clear" w:color="auto" w:fill="auto"/>
                  </w:tcPr>
                  <w:p>
                    <w:pPr>
                      <w:rPr>
                        <w:bCs/>
                        <w:sz w:val="20"/>
                        <w:lang w:val="pt-BR"/>
                      </w:rPr>
                    </w:pPr>
                    <w:r>
                      <w:rPr>
                        <w:bCs/>
                        <w:sz w:val="20"/>
                        <w:lang w:val="pt-BR"/>
                      </w:rPr>
                      <w:t>akinių parinkimas;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4.8.8.3.</w:t>
                    </w:r>
                  </w:p>
                </w:tc>
                <w:tc>
                  <w:tcPr>
                    <w:tcW w:w="7762" w:type="dxa"/>
                    <w:tcBorders>
                      <w:top w:val="nil"/>
                      <w:left w:val="single" w:sz="4" w:space="0" w:color="auto"/>
                      <w:bottom w:val="nil"/>
                    </w:tcBorders>
                    <w:shd w:val="clear" w:color="auto" w:fill="auto"/>
                  </w:tcPr>
                  <w:p>
                    <w:pPr>
                      <w:rPr>
                        <w:bCs/>
                        <w:sz w:val="20"/>
                        <w:lang w:val="pt-BR"/>
                      </w:rPr>
                    </w:pPr>
                    <w:r>
                      <w:rPr>
                        <w:bCs/>
                        <w:sz w:val="20"/>
                        <w:lang w:val="pt-BR"/>
                      </w:rPr>
                      <w:t>refrakcijos ištyrimas;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4.8.8.4.</w:t>
                    </w:r>
                  </w:p>
                </w:tc>
                <w:tc>
                  <w:tcPr>
                    <w:tcW w:w="7762" w:type="dxa"/>
                    <w:tcBorders>
                      <w:top w:val="nil"/>
                      <w:left w:val="single" w:sz="4" w:space="0" w:color="auto"/>
                      <w:bottom w:val="nil"/>
                    </w:tcBorders>
                    <w:shd w:val="clear" w:color="auto" w:fill="auto"/>
                  </w:tcPr>
                  <w:p>
                    <w:pPr>
                      <w:rPr>
                        <w:bCs/>
                        <w:sz w:val="20"/>
                        <w:lang w:val="pt-BR"/>
                      </w:rPr>
                    </w:pPr>
                    <w:r>
                      <w:rPr>
                        <w:bCs/>
                        <w:sz w:val="20"/>
                        <w:lang w:val="pt-BR"/>
                      </w:rPr>
                      <w:t>spalvų jutimo tyrimas;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4.8.8.5.</w:t>
                    </w:r>
                  </w:p>
                </w:tc>
                <w:tc>
                  <w:tcPr>
                    <w:tcW w:w="7762" w:type="dxa"/>
                    <w:tcBorders>
                      <w:top w:val="nil"/>
                      <w:left w:val="single" w:sz="4" w:space="0" w:color="auto"/>
                      <w:bottom w:val="nil"/>
                    </w:tcBorders>
                    <w:shd w:val="clear" w:color="auto" w:fill="auto"/>
                  </w:tcPr>
                  <w:p>
                    <w:pPr>
                      <w:rPr>
                        <w:bCs/>
                        <w:sz w:val="20"/>
                        <w:lang w:val="pt-BR"/>
                      </w:rPr>
                    </w:pPr>
                    <w:r>
                      <w:rPr>
                        <w:bCs/>
                        <w:sz w:val="20"/>
                        <w:lang w:val="pt-BR"/>
                      </w:rPr>
                      <w:t>akių apžiūra plyšine lempa su akių dugno tyrimu „Volk linze”;</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4.8.8.6.</w:t>
                    </w:r>
                  </w:p>
                </w:tc>
                <w:tc>
                  <w:tcPr>
                    <w:tcW w:w="7762" w:type="dxa"/>
                    <w:tcBorders>
                      <w:top w:val="nil"/>
                      <w:left w:val="single" w:sz="4" w:space="0" w:color="auto"/>
                      <w:bottom w:val="nil"/>
                    </w:tcBorders>
                    <w:shd w:val="clear" w:color="auto" w:fill="auto"/>
                  </w:tcPr>
                  <w:p>
                    <w:pPr>
                      <w:rPr>
                        <w:bCs/>
                        <w:sz w:val="20"/>
                        <w:lang w:val="pt-BR"/>
                      </w:rPr>
                    </w:pPr>
                    <w:r>
                      <w:rPr>
                        <w:bCs/>
                        <w:sz w:val="20"/>
                        <w:lang w:val="pt-BR"/>
                      </w:rPr>
                      <w:t>akių padėties akiduobėje bei jų judrumo ištyrimas;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4.8.8.7.</w:t>
                    </w:r>
                  </w:p>
                </w:tc>
                <w:tc>
                  <w:tcPr>
                    <w:tcW w:w="7762" w:type="dxa"/>
                    <w:tcBorders>
                      <w:top w:val="nil"/>
                      <w:left w:val="single" w:sz="4" w:space="0" w:color="auto"/>
                      <w:bottom w:val="nil"/>
                    </w:tcBorders>
                    <w:shd w:val="clear" w:color="auto" w:fill="auto"/>
                  </w:tcPr>
                  <w:p>
                    <w:pPr>
                      <w:rPr>
                        <w:bCs/>
                        <w:sz w:val="20"/>
                        <w:lang w:val="pt-BR"/>
                      </w:rPr>
                    </w:pPr>
                    <w:r>
                      <w:rPr>
                        <w:bCs/>
                        <w:sz w:val="20"/>
                        <w:lang w:val="pt-BR"/>
                      </w:rPr>
                      <w:t>akipločio tyrimas;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4.8.8.8.</w:t>
                    </w:r>
                  </w:p>
                </w:tc>
                <w:tc>
                  <w:tcPr>
                    <w:tcW w:w="7762" w:type="dxa"/>
                    <w:tcBorders>
                      <w:top w:val="nil"/>
                      <w:left w:val="single" w:sz="4" w:space="0" w:color="auto"/>
                      <w:bottom w:val="nil"/>
                    </w:tcBorders>
                    <w:shd w:val="clear" w:color="auto" w:fill="auto"/>
                  </w:tcPr>
                  <w:p>
                    <w:pPr>
                      <w:rPr>
                        <w:bCs/>
                        <w:sz w:val="20"/>
                        <w:lang w:val="pt-BR"/>
                      </w:rPr>
                    </w:pPr>
                    <w:r>
                      <w:rPr>
                        <w:bCs/>
                        <w:sz w:val="20"/>
                        <w:lang w:val="pt-BR"/>
                      </w:rPr>
                      <w:t>akispūdžio tyrimas;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4.8.9</w:t>
                    </w:r>
                  </w:p>
                </w:tc>
                <w:tc>
                  <w:tcPr>
                    <w:tcW w:w="7762" w:type="dxa"/>
                    <w:tcBorders>
                      <w:top w:val="nil"/>
                      <w:left w:val="single" w:sz="4" w:space="0" w:color="auto"/>
                      <w:bottom w:val="nil"/>
                    </w:tcBorders>
                    <w:shd w:val="clear" w:color="auto" w:fill="auto"/>
                  </w:tcPr>
                  <w:p>
                    <w:pPr>
                      <w:rPr>
                        <w:bCs/>
                        <w:sz w:val="20"/>
                        <w:lang w:val="pt-BR"/>
                      </w:rPr>
                    </w:pPr>
                    <w:r>
                      <w:rPr>
                        <w:bCs/>
                        <w:sz w:val="20"/>
                        <w:lang w:val="pt-BR"/>
                      </w:rPr>
                      <w:t>Lašų lašinimas ir tepalų įterpimas į jungties maišelį.</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4.8.10.</w:t>
                    </w:r>
                  </w:p>
                </w:tc>
                <w:tc>
                  <w:tcPr>
                    <w:tcW w:w="7762" w:type="dxa"/>
                    <w:tcBorders>
                      <w:top w:val="nil"/>
                      <w:left w:val="single" w:sz="4" w:space="0" w:color="auto"/>
                      <w:bottom w:val="nil"/>
                    </w:tcBorders>
                    <w:shd w:val="clear" w:color="auto" w:fill="auto"/>
                  </w:tcPr>
                  <w:p>
                    <w:pPr>
                      <w:rPr>
                        <w:bCs/>
                        <w:sz w:val="20"/>
                        <w:lang w:val="pt-BR"/>
                      </w:rPr>
                    </w:pPr>
                    <w:r>
                      <w:rPr>
                        <w:bCs/>
                        <w:sz w:val="20"/>
                        <w:lang w:val="pt-BR"/>
                      </w:rPr>
                      <w:t>Vokų krašto uždegimų diagnozavimas ir gydymas.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4.8.11.</w:t>
                    </w:r>
                  </w:p>
                </w:tc>
                <w:tc>
                  <w:tcPr>
                    <w:tcW w:w="7762" w:type="dxa"/>
                    <w:tcBorders>
                      <w:top w:val="nil"/>
                      <w:left w:val="single" w:sz="4" w:space="0" w:color="auto"/>
                      <w:bottom w:val="nil"/>
                    </w:tcBorders>
                    <w:shd w:val="clear" w:color="auto" w:fill="auto"/>
                  </w:tcPr>
                  <w:p>
                    <w:pPr>
                      <w:rPr>
                        <w:bCs/>
                        <w:sz w:val="20"/>
                        <w:lang w:val="pt-BR"/>
                      </w:rPr>
                    </w:pPr>
                    <w:r>
                      <w:rPr>
                        <w:bCs/>
                        <w:sz w:val="20"/>
                        <w:lang w:val="pt-BR"/>
                      </w:rPr>
                      <w:t>Svetimkūnių pašalinimas iš jungties.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4.8.12.</w:t>
                    </w:r>
                  </w:p>
                </w:tc>
                <w:tc>
                  <w:tcPr>
                    <w:tcW w:w="7762" w:type="dxa"/>
                    <w:tcBorders>
                      <w:top w:val="nil"/>
                      <w:left w:val="single" w:sz="4" w:space="0" w:color="auto"/>
                      <w:bottom w:val="nil"/>
                    </w:tcBorders>
                    <w:shd w:val="clear" w:color="auto" w:fill="auto"/>
                  </w:tcPr>
                  <w:p>
                    <w:pPr>
                      <w:rPr>
                        <w:bCs/>
                        <w:sz w:val="20"/>
                        <w:lang w:val="pt-BR"/>
                      </w:rPr>
                    </w:pPr>
                    <w:r>
                      <w:rPr>
                        <w:bCs/>
                        <w:sz w:val="20"/>
                        <w:lang w:val="pt-BR"/>
                      </w:rPr>
                      <w:t>Konjunktyvitų diagnozavimas ir gydymas.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4.8.13.</w:t>
                    </w:r>
                  </w:p>
                </w:tc>
                <w:tc>
                  <w:tcPr>
                    <w:tcW w:w="7762" w:type="dxa"/>
                    <w:tcBorders>
                      <w:top w:val="nil"/>
                      <w:left w:val="single" w:sz="4" w:space="0" w:color="auto"/>
                      <w:bottom w:val="nil"/>
                    </w:tcBorders>
                    <w:shd w:val="clear" w:color="auto" w:fill="auto"/>
                  </w:tcPr>
                  <w:p>
                    <w:pPr>
                      <w:rPr>
                        <w:bCs/>
                        <w:sz w:val="20"/>
                        <w:lang w:val="pt-BR"/>
                      </w:rPr>
                    </w:pPr>
                    <w:r>
                      <w:rPr>
                        <w:bCs/>
                        <w:sz w:val="20"/>
                        <w:lang w:val="pt-BR"/>
                      </w:rPr>
                      <w:t>Ašarų liaukų uždegimo diagnozavimas ir gydymas.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4.8.14.</w:t>
                    </w:r>
                  </w:p>
                </w:tc>
                <w:tc>
                  <w:tcPr>
                    <w:tcW w:w="7762" w:type="dxa"/>
                    <w:tcBorders>
                      <w:top w:val="nil"/>
                      <w:left w:val="single" w:sz="4" w:space="0" w:color="auto"/>
                      <w:bottom w:val="nil"/>
                    </w:tcBorders>
                    <w:shd w:val="clear" w:color="auto" w:fill="auto"/>
                  </w:tcPr>
                  <w:p>
                    <w:pPr>
                      <w:rPr>
                        <w:bCs/>
                        <w:sz w:val="20"/>
                        <w:lang w:val="pt-BR"/>
                      </w:rPr>
                    </w:pPr>
                    <w:r>
                      <w:rPr>
                        <w:bCs/>
                        <w:sz w:val="20"/>
                        <w:lang w:val="pt-BR"/>
                      </w:rPr>
                      <w:t>Ašarų kanalo uždegimo diagnozavimas ir gydymas.</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4.8.15.</w:t>
                    </w:r>
                  </w:p>
                </w:tc>
                <w:tc>
                  <w:tcPr>
                    <w:tcW w:w="7762" w:type="dxa"/>
                    <w:tcBorders>
                      <w:top w:val="nil"/>
                      <w:left w:val="single" w:sz="4" w:space="0" w:color="auto"/>
                      <w:bottom w:val="nil"/>
                    </w:tcBorders>
                    <w:shd w:val="clear" w:color="auto" w:fill="auto"/>
                  </w:tcPr>
                  <w:p>
                    <w:pPr>
                      <w:rPr>
                        <w:bCs/>
                        <w:sz w:val="20"/>
                        <w:lang w:val="pt-BR"/>
                      </w:rPr>
                    </w:pPr>
                    <w:r>
                      <w:rPr>
                        <w:bCs/>
                        <w:sz w:val="20"/>
                        <w:lang w:val="pt-BR"/>
                      </w:rPr>
                      <w:t>Episklerito ir sklerito diagnozavimas ir gydymas.</w:t>
                    </w:r>
                  </w:p>
                </w:tc>
              </w:tr>
              <w:tr>
                <w:tblPrEx>
                  <w:tblBorders>
                    <w:insideH w:val="none" w:sz="0" w:space="0" w:color="auto"/>
                    <w:insideV w:val="none" w:sz="0" w:space="0" w:color="auto"/>
                  </w:tblBorders>
                </w:tblPrEx>
                <w:trPr>
                  <w:trHeight w:val="244"/>
                </w:trPr>
                <w:tc>
                  <w:tcPr>
                    <w:tcW w:w="1308" w:type="dxa"/>
                    <w:tcBorders>
                      <w:right w:val="single" w:sz="4" w:space="0" w:color="auto"/>
                    </w:tcBorders>
                    <w:shd w:val="clear" w:color="auto" w:fill="auto"/>
                  </w:tcPr>
                  <w:p>
                    <w:pPr>
                      <w:rPr>
                        <w:bCs/>
                        <w:sz w:val="20"/>
                      </w:rPr>
                    </w:pPr>
                    <w:r>
                      <w:rPr>
                        <w:bCs/>
                        <w:sz w:val="20"/>
                      </w:rPr>
                      <w:t>4.8.16.</w:t>
                    </w:r>
                  </w:p>
                </w:tc>
                <w:tc>
                  <w:tcPr>
                    <w:tcW w:w="7762" w:type="dxa"/>
                    <w:tcBorders>
                      <w:top w:val="nil"/>
                      <w:left w:val="single" w:sz="4" w:space="0" w:color="auto"/>
                      <w:bottom w:val="nil"/>
                    </w:tcBorders>
                    <w:shd w:val="clear" w:color="auto" w:fill="auto"/>
                  </w:tcPr>
                  <w:p>
                    <w:pPr>
                      <w:rPr>
                        <w:bCs/>
                        <w:sz w:val="20"/>
                        <w:lang w:val="pt-BR"/>
                      </w:rPr>
                    </w:pPr>
                    <w:r>
                      <w:rPr>
                        <w:bCs/>
                        <w:sz w:val="20"/>
                        <w:lang w:val="pt-BR"/>
                      </w:rPr>
                      <w:t>Tinklainės ligų diagnozavimas.</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rPr>
                    </w:pPr>
                    <w:r>
                      <w:rPr>
                        <w:bCs/>
                        <w:sz w:val="20"/>
                      </w:rPr>
                      <w:t>4.8.17.</w:t>
                    </w:r>
                  </w:p>
                </w:tc>
                <w:tc>
                  <w:tcPr>
                    <w:tcW w:w="7762" w:type="dxa"/>
                    <w:tcBorders>
                      <w:top w:val="nil"/>
                      <w:left w:val="single" w:sz="4" w:space="0" w:color="auto"/>
                      <w:bottom w:val="nil"/>
                    </w:tcBorders>
                    <w:shd w:val="clear" w:color="auto" w:fill="auto"/>
                  </w:tcPr>
                  <w:p>
                    <w:pPr>
                      <w:rPr>
                        <w:bCs/>
                        <w:sz w:val="20"/>
                        <w:lang w:val="pt-BR"/>
                      </w:rPr>
                    </w:pPr>
                    <w:r>
                      <w:rPr>
                        <w:bCs/>
                        <w:sz w:val="20"/>
                        <w:lang w:val="pt-BR"/>
                      </w:rPr>
                      <w:t>Regos nervo ligų diagnozavimas ir gydymas.</w:t>
                    </w:r>
                  </w:p>
                </w:tc>
              </w:tr>
              <w:tr>
                <w:tblPrEx>
                  <w:tblBorders>
                    <w:insideH w:val="none" w:sz="0" w:space="0" w:color="auto"/>
                    <w:insideV w:val="none" w:sz="0" w:space="0" w:color="auto"/>
                  </w:tblBorders>
                </w:tblPrEx>
                <w:trPr>
                  <w:trHeight w:val="103"/>
                </w:trPr>
                <w:tc>
                  <w:tcPr>
                    <w:tcW w:w="1308" w:type="dxa"/>
                    <w:tcBorders>
                      <w:right w:val="single" w:sz="4" w:space="0" w:color="auto"/>
                    </w:tcBorders>
                    <w:shd w:val="clear" w:color="auto" w:fill="auto"/>
                  </w:tcPr>
                  <w:p>
                    <w:pPr>
                      <w:rPr>
                        <w:bCs/>
                        <w:sz w:val="20"/>
                      </w:rPr>
                    </w:pPr>
                    <w:r>
                      <w:rPr>
                        <w:bCs/>
                        <w:sz w:val="20"/>
                      </w:rPr>
                      <w:t>4.8.18.</w:t>
                    </w:r>
                  </w:p>
                </w:tc>
                <w:tc>
                  <w:tcPr>
                    <w:tcW w:w="7762" w:type="dxa"/>
                    <w:tcBorders>
                      <w:top w:val="nil"/>
                      <w:left w:val="single" w:sz="4" w:space="0" w:color="auto"/>
                      <w:bottom w:val="nil"/>
                    </w:tcBorders>
                    <w:shd w:val="clear" w:color="auto" w:fill="auto"/>
                  </w:tcPr>
                  <w:p>
                    <w:pPr>
                      <w:rPr>
                        <w:bCs/>
                        <w:sz w:val="20"/>
                        <w:lang w:val="pt-BR"/>
                      </w:rPr>
                    </w:pPr>
                    <w:r>
                      <w:rPr>
                        <w:bCs/>
                        <w:sz w:val="20"/>
                        <w:lang w:val="pt-BR"/>
                      </w:rPr>
                      <w:t>Akiduobės ligų diagnozavimas ir gydymas.</w:t>
                    </w:r>
                  </w:p>
                </w:tc>
              </w:tr>
              <w:tr>
                <w:tblPrEx>
                  <w:tblBorders>
                    <w:insideH w:val="none" w:sz="0" w:space="0" w:color="auto"/>
                    <w:insideV w:val="none" w:sz="0" w:space="0" w:color="auto"/>
                  </w:tblBorders>
                </w:tblPrEx>
                <w:trPr>
                  <w:trHeight w:val="235"/>
                </w:trPr>
                <w:tc>
                  <w:tcPr>
                    <w:tcW w:w="1308" w:type="dxa"/>
                    <w:tcBorders>
                      <w:right w:val="single" w:sz="4" w:space="0" w:color="auto"/>
                    </w:tcBorders>
                    <w:shd w:val="clear" w:color="auto" w:fill="auto"/>
                  </w:tcPr>
                  <w:p>
                    <w:pPr>
                      <w:rPr>
                        <w:bCs/>
                        <w:sz w:val="20"/>
                      </w:rPr>
                    </w:pPr>
                    <w:r>
                      <w:rPr>
                        <w:bCs/>
                        <w:sz w:val="20"/>
                      </w:rPr>
                      <w:t>4.8.19.</w:t>
                    </w:r>
                  </w:p>
                </w:tc>
                <w:tc>
                  <w:tcPr>
                    <w:tcW w:w="7762" w:type="dxa"/>
                    <w:tcBorders>
                      <w:top w:val="nil"/>
                      <w:left w:val="single" w:sz="4" w:space="0" w:color="auto"/>
                      <w:bottom w:val="nil"/>
                    </w:tcBorders>
                    <w:shd w:val="clear" w:color="auto" w:fill="auto"/>
                  </w:tcPr>
                  <w:p>
                    <w:pPr>
                      <w:rPr>
                        <w:bCs/>
                        <w:sz w:val="20"/>
                        <w:lang w:val="pt-BR"/>
                      </w:rPr>
                    </w:pPr>
                    <w:r>
                      <w:rPr>
                        <w:bCs/>
                        <w:sz w:val="20"/>
                        <w:lang w:val="pt-BR"/>
                      </w:rPr>
                      <w:t>Pirmosios pagalbos suteikimas įvykus akių traumoms.</w:t>
                    </w:r>
                  </w:p>
                </w:tc>
              </w:tr>
              <w:tr>
                <w:tblPrEx>
                  <w:tblBorders>
                    <w:insideH w:val="none" w:sz="0" w:space="0" w:color="auto"/>
                    <w:insideV w:val="none" w:sz="0" w:space="0" w:color="auto"/>
                  </w:tblBorders>
                </w:tblPrEx>
                <w:trPr>
                  <w:trHeight w:val="62"/>
                </w:trPr>
                <w:tc>
                  <w:tcPr>
                    <w:tcW w:w="1308" w:type="dxa"/>
                    <w:tcBorders>
                      <w:right w:val="single" w:sz="4" w:space="0" w:color="auto"/>
                    </w:tcBorders>
                    <w:shd w:val="clear" w:color="auto" w:fill="auto"/>
                  </w:tcPr>
                  <w:p>
                    <w:pPr>
                      <w:rPr>
                        <w:bCs/>
                        <w:sz w:val="20"/>
                      </w:rPr>
                    </w:pPr>
                    <w:r>
                      <w:rPr>
                        <w:bCs/>
                        <w:sz w:val="20"/>
                      </w:rPr>
                      <w:t>4.8.20.</w:t>
                    </w:r>
                  </w:p>
                </w:tc>
                <w:tc>
                  <w:tcPr>
                    <w:tcW w:w="7762" w:type="dxa"/>
                    <w:tcBorders>
                      <w:top w:val="nil"/>
                      <w:left w:val="single" w:sz="4" w:space="0" w:color="auto"/>
                      <w:bottom w:val="single" w:sz="4" w:space="0" w:color="auto"/>
                    </w:tcBorders>
                    <w:shd w:val="clear" w:color="auto" w:fill="auto"/>
                  </w:tcPr>
                  <w:p>
                    <w:pPr>
                      <w:rPr>
                        <w:rFonts w:ascii="TimesLT" w:hAnsi="TimesLT"/>
                        <w:bCs/>
                        <w:sz w:val="20"/>
                        <w:lang w:val="pt-BR"/>
                      </w:rPr>
                    </w:pPr>
                    <w:r>
                      <w:rPr>
                        <w:rFonts w:ascii="TimesLT" w:hAnsi="TimesLT"/>
                        <w:bCs/>
                        <w:sz w:val="20"/>
                        <w:lang w:val="pt-BR"/>
                      </w:rPr>
                      <w:t>Žvairumo nustatymas.</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4.9.</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 xml:space="preserve">GYDYTOJO OTORINOLARINGOLOGO </w:t>
                    </w:r>
                  </w:p>
                </w:tc>
              </w:tr>
              <w:tr>
                <w:tblPrEx>
                  <w:tblBorders>
                    <w:insideH w:val="none" w:sz="0" w:space="0" w:color="auto"/>
                    <w:insideV w:val="none" w:sz="0" w:space="0" w:color="auto"/>
                  </w:tblBorders>
                </w:tblPrEx>
                <w:trPr>
                  <w:trHeight w:val="187"/>
                </w:trPr>
                <w:tc>
                  <w:tcPr>
                    <w:tcW w:w="1308" w:type="dxa"/>
                    <w:tcBorders>
                      <w:right w:val="single" w:sz="4" w:space="0" w:color="auto"/>
                    </w:tcBorders>
                    <w:shd w:val="clear" w:color="auto" w:fill="auto"/>
                  </w:tcPr>
                  <w:p>
                    <w:pPr>
                      <w:rPr>
                        <w:bCs/>
                        <w:sz w:val="20"/>
                        <w:lang w:val="en-US"/>
                      </w:rPr>
                    </w:pPr>
                    <w:r>
                      <w:rPr>
                        <w:bCs/>
                        <w:sz w:val="20"/>
                      </w:rPr>
                      <w:t>4.9.1.</w:t>
                    </w:r>
                  </w:p>
                </w:tc>
                <w:tc>
                  <w:tcPr>
                    <w:tcW w:w="7762" w:type="dxa"/>
                    <w:tcBorders>
                      <w:top w:val="single" w:sz="4" w:space="0" w:color="auto"/>
                      <w:left w:val="single" w:sz="4" w:space="0" w:color="auto"/>
                      <w:bottom w:val="nil"/>
                    </w:tcBorders>
                    <w:shd w:val="clear" w:color="auto" w:fill="auto"/>
                  </w:tcPr>
                  <w:p>
                    <w:pPr>
                      <w:rPr>
                        <w:bCs/>
                        <w:sz w:val="20"/>
                      </w:rPr>
                    </w:pPr>
                    <w:r>
                      <w:rPr>
                        <w:bCs/>
                        <w:sz w:val="20"/>
                      </w:rPr>
                      <w:t>Anamnezės surinkimas.</w:t>
                    </w:r>
                  </w:p>
                </w:tc>
              </w:tr>
              <w:tr>
                <w:tblPrEx>
                  <w:tblBorders>
                    <w:insideH w:val="none" w:sz="0" w:space="0" w:color="auto"/>
                    <w:insideV w:val="none" w:sz="0" w:space="0" w:color="auto"/>
                  </w:tblBorders>
                </w:tblPrEx>
                <w:trPr>
                  <w:trHeight w:val="122"/>
                </w:trPr>
                <w:tc>
                  <w:tcPr>
                    <w:tcW w:w="1308" w:type="dxa"/>
                    <w:tcBorders>
                      <w:right w:val="single" w:sz="4" w:space="0" w:color="auto"/>
                    </w:tcBorders>
                    <w:shd w:val="clear" w:color="auto" w:fill="auto"/>
                  </w:tcPr>
                  <w:p>
                    <w:pPr>
                      <w:rPr>
                        <w:bCs/>
                        <w:sz w:val="20"/>
                      </w:rPr>
                    </w:pPr>
                    <w:r>
                      <w:rPr>
                        <w:bCs/>
                        <w:sz w:val="20"/>
                      </w:rPr>
                      <w:t>4.9.2.</w:t>
                    </w:r>
                  </w:p>
                </w:tc>
                <w:tc>
                  <w:tcPr>
                    <w:tcW w:w="7762" w:type="dxa"/>
                    <w:tcBorders>
                      <w:top w:val="nil"/>
                      <w:left w:val="single" w:sz="4" w:space="0" w:color="auto"/>
                      <w:bottom w:val="nil"/>
                    </w:tcBorders>
                    <w:shd w:val="clear" w:color="auto" w:fill="auto"/>
                  </w:tcPr>
                  <w:p>
                    <w:pPr>
                      <w:rPr>
                        <w:bCs/>
                        <w:sz w:val="20"/>
                      </w:rPr>
                    </w:pPr>
                    <w:r>
                      <w:rPr>
                        <w:bCs/>
                        <w:sz w:val="20"/>
                      </w:rPr>
                      <w:t>Išorinių LOR organų apžiūra ir įvertinimas.</w:t>
                    </w:r>
                  </w:p>
                </w:tc>
              </w:tr>
              <w:tr>
                <w:tblPrEx>
                  <w:tblBorders>
                    <w:insideH w:val="none" w:sz="0" w:space="0" w:color="auto"/>
                    <w:insideV w:val="none" w:sz="0" w:space="0" w:color="auto"/>
                  </w:tblBorders>
                </w:tblPrEx>
                <w:trPr>
                  <w:trHeight w:val="234"/>
                </w:trPr>
                <w:tc>
                  <w:tcPr>
                    <w:tcW w:w="1308" w:type="dxa"/>
                    <w:tcBorders>
                      <w:right w:val="single" w:sz="4" w:space="0" w:color="auto"/>
                    </w:tcBorders>
                    <w:shd w:val="clear" w:color="auto" w:fill="auto"/>
                  </w:tcPr>
                  <w:p>
                    <w:pPr>
                      <w:rPr>
                        <w:bCs/>
                        <w:sz w:val="20"/>
                      </w:rPr>
                    </w:pPr>
                    <w:r>
                      <w:rPr>
                        <w:bCs/>
                        <w:sz w:val="20"/>
                      </w:rPr>
                      <w:t>4.9.3.</w:t>
                    </w:r>
                  </w:p>
                </w:tc>
                <w:tc>
                  <w:tcPr>
                    <w:tcW w:w="7762" w:type="dxa"/>
                    <w:tcBorders>
                      <w:top w:val="nil"/>
                      <w:left w:val="single" w:sz="4" w:space="0" w:color="auto"/>
                      <w:bottom w:val="nil"/>
                    </w:tcBorders>
                    <w:shd w:val="clear" w:color="auto" w:fill="auto"/>
                  </w:tcPr>
                  <w:p>
                    <w:pPr>
                      <w:rPr>
                        <w:bCs/>
                        <w:sz w:val="20"/>
                      </w:rPr>
                    </w:pPr>
                    <w:r>
                      <w:rPr>
                        <w:bCs/>
                        <w:sz w:val="20"/>
                      </w:rPr>
                      <w:t>Nuoseklus LOR organų ištyrimas: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4.9.3.1.</w:t>
                    </w:r>
                  </w:p>
                </w:tc>
                <w:tc>
                  <w:tcPr>
                    <w:tcW w:w="7762" w:type="dxa"/>
                    <w:tcBorders>
                      <w:top w:val="nil"/>
                      <w:left w:val="single" w:sz="4" w:space="0" w:color="auto"/>
                      <w:bottom w:val="nil"/>
                    </w:tcBorders>
                    <w:shd w:val="clear" w:color="auto" w:fill="auto"/>
                  </w:tcPr>
                  <w:p>
                    <w:pPr>
                      <w:rPr>
                        <w:bCs/>
                        <w:sz w:val="20"/>
                      </w:rPr>
                    </w:pPr>
                    <w:r>
                      <w:rPr>
                        <w:bCs/>
                        <w:sz w:val="20"/>
                      </w:rPr>
                      <w:t>Nosies apžiūra:</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4.9.3.1.1.</w:t>
                    </w:r>
                  </w:p>
                </w:tc>
                <w:tc>
                  <w:tcPr>
                    <w:tcW w:w="7762" w:type="dxa"/>
                    <w:tcBorders>
                      <w:top w:val="nil"/>
                      <w:left w:val="single" w:sz="4" w:space="0" w:color="auto"/>
                      <w:bottom w:val="nil"/>
                    </w:tcBorders>
                    <w:shd w:val="clear" w:color="auto" w:fill="auto"/>
                  </w:tcPr>
                  <w:p>
                    <w:pPr>
                      <w:rPr>
                        <w:bCs/>
                        <w:sz w:val="20"/>
                      </w:rPr>
                    </w:pPr>
                    <w:r>
                      <w:rPr>
                        <w:bCs/>
                        <w:sz w:val="20"/>
                      </w:rPr>
                      <w:t>išorinė nosies apžiūra;</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rPr>
                    </w:pPr>
                    <w:r>
                      <w:rPr>
                        <w:bCs/>
                        <w:sz w:val="20"/>
                      </w:rPr>
                      <w:t>4.9.3.1.2.</w:t>
                    </w:r>
                  </w:p>
                </w:tc>
                <w:tc>
                  <w:tcPr>
                    <w:tcW w:w="7762" w:type="dxa"/>
                    <w:tcBorders>
                      <w:top w:val="nil"/>
                      <w:left w:val="single" w:sz="4" w:space="0" w:color="auto"/>
                      <w:bottom w:val="nil"/>
                    </w:tcBorders>
                    <w:shd w:val="clear" w:color="auto" w:fill="auto"/>
                  </w:tcPr>
                  <w:p>
                    <w:pPr>
                      <w:rPr>
                        <w:bCs/>
                        <w:sz w:val="20"/>
                      </w:rPr>
                    </w:pPr>
                    <w:r>
                      <w:rPr>
                        <w:bCs/>
                        <w:sz w:val="20"/>
                      </w:rPr>
                      <w:t>priekinė nosies rinoskopija naudojant išplėtiklį;</w:t>
                    </w:r>
                  </w:p>
                </w:tc>
              </w:tr>
              <w:tr>
                <w:tblPrEx>
                  <w:tblBorders>
                    <w:insideH w:val="none" w:sz="0" w:space="0" w:color="auto"/>
                    <w:insideV w:val="none" w:sz="0" w:space="0" w:color="auto"/>
                  </w:tblBorders>
                </w:tblPrEx>
                <w:trPr>
                  <w:trHeight w:val="243"/>
                </w:trPr>
                <w:tc>
                  <w:tcPr>
                    <w:tcW w:w="1308" w:type="dxa"/>
                    <w:tcBorders>
                      <w:right w:val="single" w:sz="4" w:space="0" w:color="auto"/>
                    </w:tcBorders>
                    <w:shd w:val="clear" w:color="auto" w:fill="auto"/>
                  </w:tcPr>
                  <w:p>
                    <w:pPr>
                      <w:rPr>
                        <w:bCs/>
                        <w:sz w:val="20"/>
                      </w:rPr>
                    </w:pPr>
                    <w:r>
                      <w:rPr>
                        <w:bCs/>
                        <w:sz w:val="20"/>
                      </w:rPr>
                      <w:t>4.9.3.1.3.</w:t>
                    </w:r>
                  </w:p>
                </w:tc>
                <w:tc>
                  <w:tcPr>
                    <w:tcW w:w="7762" w:type="dxa"/>
                    <w:tcBorders>
                      <w:top w:val="nil"/>
                      <w:left w:val="single" w:sz="4" w:space="0" w:color="auto"/>
                      <w:bottom w:val="nil"/>
                    </w:tcBorders>
                    <w:shd w:val="clear" w:color="auto" w:fill="auto"/>
                  </w:tcPr>
                  <w:p>
                    <w:pPr>
                      <w:rPr>
                        <w:bCs/>
                        <w:sz w:val="20"/>
                      </w:rPr>
                    </w:pPr>
                    <w:r>
                      <w:rPr>
                        <w:bCs/>
                        <w:sz w:val="20"/>
                      </w:rPr>
                      <w:t>gleivinės, nosies kriauklių, pertvaros būklės, išskyrų nosies ertmėje, papildomų darinių įvertinimas;</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rPr>
                    </w:pPr>
                    <w:r>
                      <w:rPr>
                        <w:bCs/>
                        <w:sz w:val="20"/>
                      </w:rPr>
                      <w:t>4.9.3.1.4.</w:t>
                    </w:r>
                  </w:p>
                </w:tc>
                <w:tc>
                  <w:tcPr>
                    <w:tcW w:w="7762" w:type="dxa"/>
                    <w:tcBorders>
                      <w:top w:val="nil"/>
                      <w:left w:val="single" w:sz="4" w:space="0" w:color="auto"/>
                      <w:bottom w:val="nil"/>
                    </w:tcBorders>
                    <w:shd w:val="clear" w:color="auto" w:fill="auto"/>
                  </w:tcPr>
                  <w:p>
                    <w:pPr>
                      <w:rPr>
                        <w:bCs/>
                        <w:sz w:val="20"/>
                      </w:rPr>
                    </w:pPr>
                    <w:r>
                      <w:rPr>
                        <w:bCs/>
                        <w:sz w:val="20"/>
                      </w:rPr>
                      <w:t>kvėpavimo per nosį įvertinimas;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4.9.3.1.5.</w:t>
                    </w:r>
                  </w:p>
                </w:tc>
                <w:tc>
                  <w:tcPr>
                    <w:tcW w:w="7762" w:type="dxa"/>
                    <w:tcBorders>
                      <w:top w:val="nil"/>
                      <w:left w:val="single" w:sz="4" w:space="0" w:color="auto"/>
                      <w:bottom w:val="nil"/>
                    </w:tcBorders>
                    <w:shd w:val="clear" w:color="auto" w:fill="auto"/>
                  </w:tcPr>
                  <w:p>
                    <w:pPr>
                      <w:rPr>
                        <w:bCs/>
                        <w:sz w:val="20"/>
                      </w:rPr>
                    </w:pPr>
                    <w:r>
                      <w:rPr>
                        <w:bCs/>
                        <w:sz w:val="20"/>
                      </w:rPr>
                      <w:t>prienosinių ančių fluorografinio bei rentgenografinio ištyrimo įvertinimas.</w:t>
                    </w:r>
                  </w:p>
                </w:tc>
              </w:tr>
              <w:tr>
                <w:tblPrEx>
                  <w:tblBorders>
                    <w:insideH w:val="none" w:sz="0" w:space="0" w:color="auto"/>
                    <w:insideV w:val="none" w:sz="0" w:space="0" w:color="auto"/>
                  </w:tblBorders>
                </w:tblPrEx>
                <w:trPr>
                  <w:trHeight w:val="234"/>
                </w:trPr>
                <w:tc>
                  <w:tcPr>
                    <w:tcW w:w="1308" w:type="dxa"/>
                    <w:tcBorders>
                      <w:right w:val="single" w:sz="4" w:space="0" w:color="auto"/>
                    </w:tcBorders>
                    <w:shd w:val="clear" w:color="auto" w:fill="auto"/>
                  </w:tcPr>
                  <w:p>
                    <w:pPr>
                      <w:rPr>
                        <w:bCs/>
                        <w:sz w:val="20"/>
                      </w:rPr>
                    </w:pPr>
                    <w:r>
                      <w:rPr>
                        <w:bCs/>
                        <w:sz w:val="20"/>
                      </w:rPr>
                      <w:t>4.9.3.2.</w:t>
                    </w:r>
                  </w:p>
                </w:tc>
                <w:tc>
                  <w:tcPr>
                    <w:tcW w:w="7762" w:type="dxa"/>
                    <w:tcBorders>
                      <w:top w:val="nil"/>
                      <w:left w:val="single" w:sz="4" w:space="0" w:color="auto"/>
                      <w:bottom w:val="nil"/>
                    </w:tcBorders>
                    <w:shd w:val="clear" w:color="auto" w:fill="auto"/>
                  </w:tcPr>
                  <w:p>
                    <w:pPr>
                      <w:rPr>
                        <w:bCs/>
                        <w:sz w:val="20"/>
                      </w:rPr>
                    </w:pPr>
                    <w:r>
                      <w:rPr>
                        <w:bCs/>
                        <w:sz w:val="20"/>
                      </w:rPr>
                      <w:t>Nosiaryklės apžiūra (nosiaryklės apžiūrėjimas užpakalinės rinoskopijos metodu ir įvertinimas).</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rPr>
                    </w:pPr>
                    <w:r>
                      <w:rPr>
                        <w:bCs/>
                        <w:sz w:val="20"/>
                      </w:rPr>
                      <w:t>4.9.3.3.</w:t>
                    </w:r>
                  </w:p>
                </w:tc>
                <w:tc>
                  <w:tcPr>
                    <w:tcW w:w="7762" w:type="dxa"/>
                    <w:tcBorders>
                      <w:top w:val="nil"/>
                      <w:left w:val="single" w:sz="4" w:space="0" w:color="auto"/>
                      <w:bottom w:val="nil"/>
                    </w:tcBorders>
                    <w:shd w:val="clear" w:color="auto" w:fill="auto"/>
                  </w:tcPr>
                  <w:p>
                    <w:pPr>
                      <w:rPr>
                        <w:bCs/>
                        <w:sz w:val="20"/>
                      </w:rPr>
                    </w:pPr>
                    <w:r>
                      <w:rPr>
                        <w:bCs/>
                        <w:sz w:val="20"/>
                      </w:rPr>
                      <w:t>Ryklės ištyrimas (ryklės užpakalinės sienelės, gomurio lankų, tonzilių ir kaklo limfmazgių apžiūra ir įvertinimas).</w:t>
                    </w:r>
                  </w:p>
                </w:tc>
              </w:tr>
              <w:tr>
                <w:tblPrEx>
                  <w:tblBorders>
                    <w:insideH w:val="none" w:sz="0" w:space="0" w:color="auto"/>
                    <w:insideV w:val="none" w:sz="0" w:space="0" w:color="auto"/>
                  </w:tblBorders>
                </w:tblPrEx>
                <w:trPr>
                  <w:trHeight w:val="103"/>
                </w:trPr>
                <w:tc>
                  <w:tcPr>
                    <w:tcW w:w="1308" w:type="dxa"/>
                    <w:tcBorders>
                      <w:right w:val="single" w:sz="4" w:space="0" w:color="auto"/>
                    </w:tcBorders>
                    <w:shd w:val="clear" w:color="auto" w:fill="auto"/>
                  </w:tcPr>
                  <w:p>
                    <w:pPr>
                      <w:rPr>
                        <w:bCs/>
                        <w:sz w:val="20"/>
                      </w:rPr>
                    </w:pPr>
                    <w:r>
                      <w:rPr>
                        <w:bCs/>
                        <w:sz w:val="20"/>
                      </w:rPr>
                      <w:t>4.9.3.4.</w:t>
                    </w:r>
                  </w:p>
                </w:tc>
                <w:tc>
                  <w:tcPr>
                    <w:tcW w:w="7762" w:type="dxa"/>
                    <w:tcBorders>
                      <w:top w:val="nil"/>
                      <w:left w:val="single" w:sz="4" w:space="0" w:color="auto"/>
                      <w:bottom w:val="nil"/>
                    </w:tcBorders>
                    <w:shd w:val="clear" w:color="auto" w:fill="auto"/>
                  </w:tcPr>
                  <w:p>
                    <w:pPr>
                      <w:rPr>
                        <w:bCs/>
                        <w:sz w:val="20"/>
                      </w:rPr>
                    </w:pPr>
                    <w:r>
                      <w:rPr>
                        <w:bCs/>
                        <w:sz w:val="20"/>
                      </w:rPr>
                      <w:t>Gerklų ištyrimas:</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rPr>
                    </w:pPr>
                    <w:r>
                      <w:rPr>
                        <w:bCs/>
                        <w:sz w:val="20"/>
                        <w:lang w:val="en-US"/>
                      </w:rPr>
                      <w:t>4.9.3.4.1.</w:t>
                    </w:r>
                  </w:p>
                </w:tc>
                <w:tc>
                  <w:tcPr>
                    <w:tcW w:w="7762" w:type="dxa"/>
                    <w:tcBorders>
                      <w:top w:val="nil"/>
                      <w:left w:val="single" w:sz="4" w:space="0" w:color="auto"/>
                      <w:bottom w:val="nil"/>
                    </w:tcBorders>
                    <w:shd w:val="clear" w:color="auto" w:fill="auto"/>
                  </w:tcPr>
                  <w:p>
                    <w:pPr>
                      <w:rPr>
                        <w:bCs/>
                        <w:sz w:val="20"/>
                      </w:rPr>
                    </w:pPr>
                    <w:r>
                      <w:rPr>
                        <w:bCs/>
                        <w:sz w:val="20"/>
                      </w:rPr>
                      <w:t>viršutinių kvėpavimo takų būklės įvertinimas;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lang w:val="en-US"/>
                      </w:rPr>
                      <w:t>4.9.3.4.2.</w:t>
                    </w:r>
                  </w:p>
                </w:tc>
                <w:tc>
                  <w:tcPr>
                    <w:tcW w:w="7762" w:type="dxa"/>
                    <w:tcBorders>
                      <w:top w:val="nil"/>
                      <w:left w:val="single" w:sz="4" w:space="0" w:color="auto"/>
                      <w:bottom w:val="nil"/>
                    </w:tcBorders>
                    <w:shd w:val="clear" w:color="auto" w:fill="auto"/>
                  </w:tcPr>
                  <w:p>
                    <w:pPr>
                      <w:rPr>
                        <w:bCs/>
                        <w:sz w:val="20"/>
                      </w:rPr>
                    </w:pPr>
                    <w:r>
                      <w:rPr>
                        <w:bCs/>
                        <w:sz w:val="20"/>
                        <w:lang w:val="pt-BR"/>
                      </w:rPr>
                      <w:t>balso tembro, mikčiojimo ar kitų sutrikimų įvertinimas;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lang w:val="en-US"/>
                      </w:rPr>
                    </w:pPr>
                    <w:r>
                      <w:rPr>
                        <w:bCs/>
                        <w:sz w:val="20"/>
                        <w:lang w:val="en-US"/>
                      </w:rPr>
                      <w:t>4.9.3.4.3.</w:t>
                    </w:r>
                  </w:p>
                </w:tc>
                <w:tc>
                  <w:tcPr>
                    <w:tcW w:w="7762" w:type="dxa"/>
                    <w:tcBorders>
                      <w:top w:val="nil"/>
                      <w:left w:val="single" w:sz="4" w:space="0" w:color="auto"/>
                      <w:bottom w:val="nil"/>
                    </w:tcBorders>
                    <w:shd w:val="clear" w:color="auto" w:fill="auto"/>
                  </w:tcPr>
                  <w:p>
                    <w:pPr>
                      <w:rPr>
                        <w:bCs/>
                        <w:sz w:val="20"/>
                        <w:lang w:val="pt-BR"/>
                      </w:rPr>
                    </w:pPr>
                    <w:r>
                      <w:rPr>
                        <w:bCs/>
                        <w:sz w:val="20"/>
                        <w:lang w:val="pt-BR"/>
                      </w:rPr>
                      <w:t>antgerklio įvertinimas;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lang w:val="en-US"/>
                      </w:rPr>
                    </w:pPr>
                    <w:r>
                      <w:rPr>
                        <w:bCs/>
                        <w:sz w:val="20"/>
                        <w:lang w:val="en-US"/>
                      </w:rPr>
                      <w:t>4.9.3.4.4.</w:t>
                    </w:r>
                  </w:p>
                </w:tc>
                <w:tc>
                  <w:tcPr>
                    <w:tcW w:w="7762" w:type="dxa"/>
                    <w:tcBorders>
                      <w:top w:val="nil"/>
                      <w:left w:val="single" w:sz="4" w:space="0" w:color="auto"/>
                      <w:bottom w:val="nil"/>
                    </w:tcBorders>
                    <w:shd w:val="clear" w:color="auto" w:fill="auto"/>
                  </w:tcPr>
                  <w:p>
                    <w:pPr>
                      <w:rPr>
                        <w:bCs/>
                        <w:sz w:val="20"/>
                        <w:lang w:val="pt-BR"/>
                      </w:rPr>
                    </w:pPr>
                    <w:r>
                      <w:rPr>
                        <w:bCs/>
                        <w:sz w:val="20"/>
                        <w:lang w:val="pt-BR"/>
                      </w:rPr>
                      <w:t>balso klosčių būklės įvertinimas naudojant gerklų veidrodėlį;</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lang w:val="en-US"/>
                      </w:rPr>
                    </w:pPr>
                    <w:r>
                      <w:rPr>
                        <w:bCs/>
                        <w:sz w:val="20"/>
                        <w:lang w:val="en-US"/>
                      </w:rPr>
                      <w:t>4.9.3.4.5.</w:t>
                    </w:r>
                  </w:p>
                </w:tc>
                <w:tc>
                  <w:tcPr>
                    <w:tcW w:w="7762" w:type="dxa"/>
                    <w:tcBorders>
                      <w:top w:val="nil"/>
                      <w:left w:val="single" w:sz="4" w:space="0" w:color="auto"/>
                      <w:bottom w:val="nil"/>
                    </w:tcBorders>
                    <w:shd w:val="clear" w:color="auto" w:fill="auto"/>
                  </w:tcPr>
                  <w:p>
                    <w:pPr>
                      <w:rPr>
                        <w:bCs/>
                        <w:sz w:val="20"/>
                        <w:lang w:val="pt-BR"/>
                      </w:rPr>
                    </w:pPr>
                    <w:r>
                      <w:rPr>
                        <w:bCs/>
                        <w:sz w:val="20"/>
                        <w:lang w:val="pt-BR"/>
                      </w:rPr>
                      <w:t>papildomų darinių įvertinimas;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lang w:val="en-US"/>
                      </w:rPr>
                    </w:pPr>
                    <w:r>
                      <w:rPr>
                        <w:bCs/>
                        <w:sz w:val="20"/>
                        <w:lang w:val="en-US"/>
                      </w:rPr>
                      <w:t>4.9.3.4.6.</w:t>
                    </w:r>
                  </w:p>
                </w:tc>
                <w:tc>
                  <w:tcPr>
                    <w:tcW w:w="7762" w:type="dxa"/>
                    <w:tcBorders>
                      <w:top w:val="nil"/>
                      <w:left w:val="single" w:sz="4" w:space="0" w:color="auto"/>
                      <w:bottom w:val="nil"/>
                    </w:tcBorders>
                    <w:shd w:val="clear" w:color="auto" w:fill="auto"/>
                  </w:tcPr>
                  <w:p>
                    <w:pPr>
                      <w:rPr>
                        <w:bCs/>
                        <w:sz w:val="20"/>
                        <w:lang w:val="pt-BR"/>
                      </w:rPr>
                    </w:pPr>
                    <w:r>
                      <w:rPr>
                        <w:bCs/>
                        <w:sz w:val="20"/>
                        <w:lang w:val="pt-BR"/>
                      </w:rPr>
                      <w:t>gerklų funkcijos įvertinimas.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lang w:val="en-US"/>
                      </w:rPr>
                    </w:pPr>
                    <w:r>
                      <w:rPr>
                        <w:bCs/>
                        <w:sz w:val="20"/>
                        <w:lang w:val="en-US"/>
                      </w:rPr>
                      <w:t>4.9.3.5.</w:t>
                    </w:r>
                  </w:p>
                </w:tc>
                <w:tc>
                  <w:tcPr>
                    <w:tcW w:w="7762" w:type="dxa"/>
                    <w:tcBorders>
                      <w:top w:val="nil"/>
                      <w:left w:val="single" w:sz="4" w:space="0" w:color="auto"/>
                      <w:bottom w:val="nil"/>
                    </w:tcBorders>
                    <w:shd w:val="clear" w:color="auto" w:fill="auto"/>
                  </w:tcPr>
                  <w:p>
                    <w:pPr>
                      <w:rPr>
                        <w:bCs/>
                        <w:sz w:val="20"/>
                        <w:lang w:val="pt-BR"/>
                      </w:rPr>
                    </w:pPr>
                    <w:r>
                      <w:rPr>
                        <w:bCs/>
                        <w:sz w:val="20"/>
                        <w:lang w:val="pt-BR"/>
                      </w:rPr>
                      <w:t>Klausos organų įvertinimas:</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lang w:val="en-US"/>
                      </w:rPr>
                    </w:pPr>
                    <w:r>
                      <w:rPr>
                        <w:bCs/>
                        <w:sz w:val="20"/>
                        <w:lang w:val="en-US"/>
                      </w:rPr>
                      <w:t>4.9.3.5.1.</w:t>
                    </w:r>
                  </w:p>
                </w:tc>
                <w:tc>
                  <w:tcPr>
                    <w:tcW w:w="7762" w:type="dxa"/>
                    <w:tcBorders>
                      <w:top w:val="nil"/>
                      <w:left w:val="single" w:sz="4" w:space="0" w:color="auto"/>
                      <w:bottom w:val="nil"/>
                    </w:tcBorders>
                    <w:shd w:val="clear" w:color="auto" w:fill="auto"/>
                  </w:tcPr>
                  <w:p>
                    <w:pPr>
                      <w:rPr>
                        <w:bCs/>
                        <w:sz w:val="20"/>
                        <w:lang w:val="pt-BR"/>
                      </w:rPr>
                    </w:pPr>
                    <w:r>
                      <w:rPr>
                        <w:bCs/>
                        <w:sz w:val="20"/>
                        <w:lang w:val="pt-BR"/>
                      </w:rPr>
                      <w:t>išorinės ausies, kaušelio, speninės ataugos ir landos apžiūra;</w:t>
                    </w:r>
                  </w:p>
                </w:tc>
              </w:tr>
              <w:tr>
                <w:tblPrEx>
                  <w:tblBorders>
                    <w:insideH w:val="none" w:sz="0" w:space="0" w:color="auto"/>
                    <w:insideV w:val="none" w:sz="0" w:space="0" w:color="auto"/>
                  </w:tblBorders>
                </w:tblPrEx>
                <w:trPr>
                  <w:trHeight w:val="243"/>
                </w:trPr>
                <w:tc>
                  <w:tcPr>
                    <w:tcW w:w="1308" w:type="dxa"/>
                    <w:tcBorders>
                      <w:right w:val="single" w:sz="4" w:space="0" w:color="auto"/>
                    </w:tcBorders>
                    <w:shd w:val="clear" w:color="auto" w:fill="auto"/>
                  </w:tcPr>
                  <w:p>
                    <w:pPr>
                      <w:rPr>
                        <w:bCs/>
                        <w:sz w:val="20"/>
                        <w:lang w:val="en-US"/>
                      </w:rPr>
                    </w:pPr>
                    <w:r>
                      <w:rPr>
                        <w:bCs/>
                        <w:sz w:val="20"/>
                        <w:lang w:val="en-US"/>
                      </w:rPr>
                      <w:t>4.9.3.5.2.</w:t>
                    </w:r>
                  </w:p>
                </w:tc>
                <w:tc>
                  <w:tcPr>
                    <w:tcW w:w="7762" w:type="dxa"/>
                    <w:tcBorders>
                      <w:top w:val="nil"/>
                      <w:left w:val="single" w:sz="4" w:space="0" w:color="auto"/>
                      <w:bottom w:val="nil"/>
                    </w:tcBorders>
                    <w:shd w:val="clear" w:color="auto" w:fill="auto"/>
                  </w:tcPr>
                  <w:p>
                    <w:pPr>
                      <w:rPr>
                        <w:bCs/>
                        <w:sz w:val="20"/>
                        <w:lang w:val="pt-BR"/>
                      </w:rPr>
                    </w:pPr>
                    <w:r>
                      <w:rPr>
                        <w:bCs/>
                        <w:sz w:val="20"/>
                        <w:lang w:val="pt-BR"/>
                      </w:rPr>
                      <w:t>ausies būgnelio ir jo pakitimų įvertinimas;</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lang w:val="en-US"/>
                      </w:rPr>
                    </w:pPr>
                    <w:r>
                      <w:rPr>
                        <w:bCs/>
                        <w:sz w:val="20"/>
                        <w:lang w:val="en-US"/>
                      </w:rPr>
                      <w:t>4.9.3.5.3.</w:t>
                    </w:r>
                  </w:p>
                </w:tc>
                <w:tc>
                  <w:tcPr>
                    <w:tcW w:w="7762" w:type="dxa"/>
                    <w:tcBorders>
                      <w:top w:val="nil"/>
                      <w:left w:val="single" w:sz="4" w:space="0" w:color="auto"/>
                      <w:bottom w:val="nil"/>
                    </w:tcBorders>
                    <w:shd w:val="clear" w:color="auto" w:fill="auto"/>
                  </w:tcPr>
                  <w:p>
                    <w:pPr>
                      <w:rPr>
                        <w:bCs/>
                        <w:sz w:val="20"/>
                        <w:lang w:val="pt-BR"/>
                      </w:rPr>
                    </w:pPr>
                    <w:r>
                      <w:rPr>
                        <w:bCs/>
                        <w:sz w:val="20"/>
                        <w:lang w:val="pt-BR"/>
                      </w:rPr>
                      <w:t>randų ir perforacijų įvertinimas;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lang w:val="en-US"/>
                      </w:rPr>
                    </w:pPr>
                    <w:r>
                      <w:rPr>
                        <w:bCs/>
                        <w:sz w:val="20"/>
                        <w:lang w:val="en-US"/>
                      </w:rPr>
                      <w:t>4.9.3.5.4.</w:t>
                    </w:r>
                  </w:p>
                </w:tc>
                <w:tc>
                  <w:tcPr>
                    <w:tcW w:w="7762" w:type="dxa"/>
                    <w:tcBorders>
                      <w:top w:val="nil"/>
                      <w:left w:val="single" w:sz="4" w:space="0" w:color="auto"/>
                      <w:bottom w:val="nil"/>
                    </w:tcBorders>
                    <w:shd w:val="clear" w:color="auto" w:fill="auto"/>
                  </w:tcPr>
                  <w:p>
                    <w:pPr>
                      <w:rPr>
                        <w:bCs/>
                        <w:sz w:val="20"/>
                        <w:lang w:val="pt-BR"/>
                      </w:rPr>
                    </w:pPr>
                    <w:r>
                      <w:rPr>
                        <w:bCs/>
                        <w:sz w:val="20"/>
                        <w:lang w:val="pt-BR"/>
                      </w:rPr>
                      <w:t>klausomojo vamzdžio funkcijos įvertinimas;</w:t>
                    </w:r>
                  </w:p>
                </w:tc>
              </w:tr>
              <w:tr>
                <w:tblPrEx>
                  <w:tblBorders>
                    <w:insideH w:val="none" w:sz="0" w:space="0" w:color="auto"/>
                    <w:insideV w:val="none" w:sz="0" w:space="0" w:color="auto"/>
                  </w:tblBorders>
                </w:tblPrEx>
                <w:trPr>
                  <w:trHeight w:val="234"/>
                </w:trPr>
                <w:tc>
                  <w:tcPr>
                    <w:tcW w:w="1308" w:type="dxa"/>
                    <w:tcBorders>
                      <w:right w:val="single" w:sz="4" w:space="0" w:color="auto"/>
                    </w:tcBorders>
                    <w:shd w:val="clear" w:color="auto" w:fill="auto"/>
                  </w:tcPr>
                  <w:p>
                    <w:pPr>
                      <w:rPr>
                        <w:bCs/>
                        <w:sz w:val="20"/>
                        <w:lang w:val="en-US"/>
                      </w:rPr>
                    </w:pPr>
                    <w:r>
                      <w:rPr>
                        <w:bCs/>
                        <w:sz w:val="20"/>
                        <w:lang w:val="en-US"/>
                      </w:rPr>
                      <w:t>4.9.3.5.5.</w:t>
                    </w:r>
                  </w:p>
                </w:tc>
                <w:tc>
                  <w:tcPr>
                    <w:tcW w:w="7762" w:type="dxa"/>
                    <w:tcBorders>
                      <w:top w:val="nil"/>
                      <w:left w:val="single" w:sz="4" w:space="0" w:color="auto"/>
                      <w:bottom w:val="nil"/>
                    </w:tcBorders>
                    <w:shd w:val="clear" w:color="auto" w:fill="auto"/>
                  </w:tcPr>
                  <w:p>
                    <w:pPr>
                      <w:rPr>
                        <w:bCs/>
                        <w:sz w:val="20"/>
                        <w:lang w:val="pt-BR"/>
                      </w:rPr>
                    </w:pPr>
                    <w:r>
                      <w:rPr>
                        <w:bCs/>
                        <w:sz w:val="20"/>
                        <w:lang w:val="pt-BR"/>
                      </w:rPr>
                      <w:t>kamertoninis tyrimas;</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lang w:val="en-US"/>
                      </w:rPr>
                    </w:pPr>
                    <w:r>
                      <w:rPr>
                        <w:bCs/>
                        <w:sz w:val="20"/>
                        <w:lang w:val="en-US"/>
                      </w:rPr>
                      <w:t>4.9.3.5.6.</w:t>
                    </w:r>
                  </w:p>
                </w:tc>
                <w:tc>
                  <w:tcPr>
                    <w:tcW w:w="7762" w:type="dxa"/>
                    <w:tcBorders>
                      <w:top w:val="nil"/>
                      <w:left w:val="single" w:sz="4" w:space="0" w:color="auto"/>
                      <w:bottom w:val="nil"/>
                    </w:tcBorders>
                    <w:shd w:val="clear" w:color="auto" w:fill="auto"/>
                  </w:tcPr>
                  <w:p>
                    <w:pPr>
                      <w:rPr>
                        <w:bCs/>
                        <w:sz w:val="20"/>
                        <w:lang w:val="pt-BR"/>
                      </w:rPr>
                    </w:pPr>
                    <w:r>
                      <w:rPr>
                        <w:bCs/>
                        <w:sz w:val="20"/>
                        <w:lang w:val="pt-BR"/>
                      </w:rPr>
                      <w:t>klausos aštrumo įvertinimas;</w:t>
                    </w:r>
                  </w:p>
                </w:tc>
              </w:tr>
              <w:tr>
                <w:tblPrEx>
                  <w:tblBorders>
                    <w:insideH w:val="none" w:sz="0" w:space="0" w:color="auto"/>
                    <w:insideV w:val="none" w:sz="0" w:space="0" w:color="auto"/>
                  </w:tblBorders>
                </w:tblPrEx>
                <w:trPr>
                  <w:trHeight w:val="103"/>
                </w:trPr>
                <w:tc>
                  <w:tcPr>
                    <w:tcW w:w="1308" w:type="dxa"/>
                    <w:tcBorders>
                      <w:right w:val="single" w:sz="4" w:space="0" w:color="auto"/>
                    </w:tcBorders>
                    <w:shd w:val="clear" w:color="auto" w:fill="auto"/>
                  </w:tcPr>
                  <w:p>
                    <w:pPr>
                      <w:rPr>
                        <w:bCs/>
                        <w:sz w:val="20"/>
                        <w:lang w:val="en-US"/>
                      </w:rPr>
                    </w:pPr>
                    <w:r>
                      <w:rPr>
                        <w:bCs/>
                        <w:sz w:val="20"/>
                        <w:lang w:val="en-US"/>
                      </w:rPr>
                      <w:t>4.9.3.5.7.</w:t>
                    </w:r>
                  </w:p>
                </w:tc>
                <w:tc>
                  <w:tcPr>
                    <w:tcW w:w="7762" w:type="dxa"/>
                    <w:tcBorders>
                      <w:top w:val="nil"/>
                      <w:left w:val="single" w:sz="4" w:space="0" w:color="auto"/>
                      <w:bottom w:val="nil"/>
                    </w:tcBorders>
                    <w:shd w:val="clear" w:color="auto" w:fill="auto"/>
                  </w:tcPr>
                  <w:p>
                    <w:pPr>
                      <w:rPr>
                        <w:bCs/>
                        <w:sz w:val="20"/>
                        <w:lang w:val="pt-BR"/>
                      </w:rPr>
                    </w:pPr>
                    <w:r>
                      <w:rPr>
                        <w:bCs/>
                        <w:sz w:val="20"/>
                        <w:lang w:val="pt-BR"/>
                      </w:rPr>
                      <w:t>audiometrinio klausos ištyrimo įvertinimas.</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lang w:val="en-US"/>
                      </w:rPr>
                    </w:pPr>
                    <w:r>
                      <w:rPr>
                        <w:bCs/>
                        <w:sz w:val="20"/>
                        <w:lang w:val="en-US"/>
                      </w:rPr>
                      <w:t>4.9.4.</w:t>
                    </w:r>
                  </w:p>
                </w:tc>
                <w:tc>
                  <w:tcPr>
                    <w:tcW w:w="7762" w:type="dxa"/>
                    <w:tcBorders>
                      <w:top w:val="nil"/>
                      <w:left w:val="single" w:sz="4" w:space="0" w:color="auto"/>
                      <w:bottom w:val="nil"/>
                    </w:tcBorders>
                    <w:shd w:val="clear" w:color="auto" w:fill="auto"/>
                  </w:tcPr>
                  <w:p>
                    <w:pPr>
                      <w:rPr>
                        <w:bCs/>
                        <w:sz w:val="20"/>
                        <w:lang w:val="pt-BR"/>
                      </w:rPr>
                    </w:pPr>
                    <w:r>
                      <w:rPr>
                        <w:bCs/>
                        <w:sz w:val="20"/>
                        <w:lang w:val="pt-BR"/>
                      </w:rPr>
                      <w:t>Atliekamos gydymo procedūros: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lang w:val="en-US"/>
                      </w:rPr>
                    </w:pPr>
                    <w:r>
                      <w:rPr>
                        <w:bCs/>
                        <w:sz w:val="20"/>
                        <w:lang w:val="en-US"/>
                      </w:rPr>
                      <w:t>4.9.4.1.</w:t>
                    </w:r>
                  </w:p>
                </w:tc>
                <w:tc>
                  <w:tcPr>
                    <w:tcW w:w="7762" w:type="dxa"/>
                    <w:tcBorders>
                      <w:top w:val="nil"/>
                      <w:left w:val="single" w:sz="4" w:space="0" w:color="auto"/>
                      <w:bottom w:val="nil"/>
                    </w:tcBorders>
                    <w:shd w:val="clear" w:color="auto" w:fill="auto"/>
                  </w:tcPr>
                  <w:p>
                    <w:pPr>
                      <w:rPr>
                        <w:bCs/>
                        <w:sz w:val="20"/>
                        <w:lang w:val="pt-BR"/>
                      </w:rPr>
                    </w:pPr>
                    <w:r>
                      <w:rPr>
                        <w:bCs/>
                        <w:sz w:val="20"/>
                        <w:lang w:val="pt-BR"/>
                      </w:rPr>
                      <w:t>ausų prapūtimas pagal Policerį;</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lang w:val="en-US"/>
                      </w:rPr>
                    </w:pPr>
                    <w:r>
                      <w:rPr>
                        <w:bCs/>
                        <w:sz w:val="20"/>
                        <w:lang w:val="en-US"/>
                      </w:rPr>
                      <w:t>4.9.4.2.</w:t>
                    </w:r>
                  </w:p>
                </w:tc>
                <w:tc>
                  <w:tcPr>
                    <w:tcW w:w="7762" w:type="dxa"/>
                    <w:tcBorders>
                      <w:top w:val="nil"/>
                      <w:left w:val="single" w:sz="4" w:space="0" w:color="auto"/>
                      <w:bottom w:val="nil"/>
                    </w:tcBorders>
                    <w:shd w:val="clear" w:color="auto" w:fill="auto"/>
                  </w:tcPr>
                  <w:p>
                    <w:pPr>
                      <w:rPr>
                        <w:bCs/>
                        <w:sz w:val="20"/>
                        <w:lang w:val="pt-BR"/>
                      </w:rPr>
                    </w:pPr>
                    <w:r>
                      <w:rPr>
                        <w:bCs/>
                        <w:sz w:val="20"/>
                        <w:lang w:val="pt-BR"/>
                      </w:rPr>
                      <w:t>ausų hematomų punktavimas;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lang w:val="en-US"/>
                      </w:rPr>
                    </w:pPr>
                    <w:r>
                      <w:rPr>
                        <w:bCs/>
                        <w:sz w:val="20"/>
                        <w:lang w:val="en-US"/>
                      </w:rPr>
                      <w:t>4.9.4.3.</w:t>
                    </w:r>
                  </w:p>
                </w:tc>
                <w:tc>
                  <w:tcPr>
                    <w:tcW w:w="7762" w:type="dxa"/>
                    <w:tcBorders>
                      <w:top w:val="nil"/>
                      <w:left w:val="single" w:sz="4" w:space="0" w:color="auto"/>
                      <w:bottom w:val="nil"/>
                    </w:tcBorders>
                    <w:shd w:val="clear" w:color="auto" w:fill="auto"/>
                  </w:tcPr>
                  <w:p>
                    <w:pPr>
                      <w:rPr>
                        <w:bCs/>
                        <w:sz w:val="20"/>
                        <w:lang w:val="pt-BR"/>
                      </w:rPr>
                    </w:pPr>
                    <w:r>
                      <w:rPr>
                        <w:bCs/>
                        <w:sz w:val="20"/>
                        <w:lang w:val="pt-BR"/>
                      </w:rPr>
                      <w:t>tvarsčių uždėjimas po punkcijos;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lang w:val="en-US"/>
                      </w:rPr>
                    </w:pPr>
                    <w:r>
                      <w:rPr>
                        <w:bCs/>
                        <w:sz w:val="20"/>
                        <w:lang w:val="en-US"/>
                      </w:rPr>
                      <w:t>4.9.4.4.</w:t>
                    </w:r>
                  </w:p>
                </w:tc>
                <w:tc>
                  <w:tcPr>
                    <w:tcW w:w="7762" w:type="dxa"/>
                    <w:tcBorders>
                      <w:top w:val="nil"/>
                      <w:left w:val="single" w:sz="4" w:space="0" w:color="auto"/>
                      <w:bottom w:val="nil"/>
                    </w:tcBorders>
                    <w:shd w:val="clear" w:color="auto" w:fill="auto"/>
                  </w:tcPr>
                  <w:p>
                    <w:pPr>
                      <w:rPr>
                        <w:bCs/>
                        <w:sz w:val="20"/>
                        <w:lang w:val="pt-BR"/>
                      </w:rPr>
                    </w:pPr>
                    <w:r>
                      <w:rPr>
                        <w:bCs/>
                        <w:sz w:val="20"/>
                        <w:lang w:val="pt-BR"/>
                      </w:rPr>
                      <w:t>sieros kamščių plovimas;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lang w:val="en-US"/>
                      </w:rPr>
                    </w:pPr>
                    <w:r>
                      <w:rPr>
                        <w:bCs/>
                        <w:sz w:val="20"/>
                        <w:lang w:val="en-US"/>
                      </w:rPr>
                      <w:t>4.9.4.5.</w:t>
                    </w:r>
                  </w:p>
                </w:tc>
                <w:tc>
                  <w:tcPr>
                    <w:tcW w:w="7762" w:type="dxa"/>
                    <w:tcBorders>
                      <w:top w:val="nil"/>
                      <w:left w:val="single" w:sz="4" w:space="0" w:color="auto"/>
                      <w:bottom w:val="nil"/>
                    </w:tcBorders>
                    <w:shd w:val="clear" w:color="auto" w:fill="auto"/>
                  </w:tcPr>
                  <w:p>
                    <w:pPr>
                      <w:rPr>
                        <w:bCs/>
                        <w:sz w:val="20"/>
                        <w:lang w:val="pt-BR"/>
                      </w:rPr>
                    </w:pPr>
                    <w:r>
                      <w:rPr>
                        <w:bCs/>
                        <w:sz w:val="20"/>
                        <w:lang w:val="pt-BR"/>
                      </w:rPr>
                      <w:t>nosies kraujagyslių prideginimas;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lang w:val="en-US"/>
                      </w:rPr>
                    </w:pPr>
                    <w:r>
                      <w:rPr>
                        <w:bCs/>
                        <w:sz w:val="20"/>
                        <w:lang w:val="en-US"/>
                      </w:rPr>
                      <w:t>4.9.4.6.</w:t>
                    </w:r>
                  </w:p>
                </w:tc>
                <w:tc>
                  <w:tcPr>
                    <w:tcW w:w="7762" w:type="dxa"/>
                    <w:tcBorders>
                      <w:top w:val="nil"/>
                      <w:left w:val="single" w:sz="4" w:space="0" w:color="auto"/>
                      <w:bottom w:val="nil"/>
                    </w:tcBorders>
                    <w:shd w:val="clear" w:color="auto" w:fill="auto"/>
                  </w:tcPr>
                  <w:p>
                    <w:pPr>
                      <w:rPr>
                        <w:bCs/>
                        <w:sz w:val="20"/>
                        <w:lang w:val="pt-BR"/>
                      </w:rPr>
                    </w:pPr>
                    <w:r>
                      <w:rPr>
                        <w:bCs/>
                        <w:sz w:val="20"/>
                        <w:lang w:val="pt-BR"/>
                      </w:rPr>
                      <w:t>nosies punkcijos atlikimas;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lang w:val="en-US"/>
                      </w:rPr>
                    </w:pPr>
                    <w:r>
                      <w:rPr>
                        <w:bCs/>
                        <w:sz w:val="20"/>
                        <w:lang w:val="en-US"/>
                      </w:rPr>
                      <w:t>4.9.4.7.</w:t>
                    </w:r>
                  </w:p>
                </w:tc>
                <w:tc>
                  <w:tcPr>
                    <w:tcW w:w="7762" w:type="dxa"/>
                    <w:tcBorders>
                      <w:top w:val="nil"/>
                      <w:left w:val="single" w:sz="4" w:space="0" w:color="auto"/>
                      <w:bottom w:val="nil"/>
                    </w:tcBorders>
                    <w:shd w:val="clear" w:color="auto" w:fill="auto"/>
                  </w:tcPr>
                  <w:p>
                    <w:pPr>
                      <w:rPr>
                        <w:bCs/>
                        <w:sz w:val="20"/>
                        <w:lang w:val="pt-BR"/>
                      </w:rPr>
                    </w:pPr>
                    <w:r>
                      <w:rPr>
                        <w:bCs/>
                        <w:sz w:val="20"/>
                        <w:lang w:val="pt-BR"/>
                      </w:rPr>
                      <w:t>nosies priekin</w:t>
                    </w:r>
                    <w:r>
                      <w:rPr>
                        <w:bCs/>
                        <w:sz w:val="20"/>
                      </w:rPr>
                      <w:t>ė</w:t>
                    </w:r>
                    <w:r>
                      <w:rPr>
                        <w:bCs/>
                        <w:sz w:val="20"/>
                        <w:lang w:val="pt-BR"/>
                      </w:rPr>
                      <w:t xml:space="preserve"> tamponada;</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lang w:val="en-US"/>
                      </w:rPr>
                    </w:pPr>
                    <w:r>
                      <w:rPr>
                        <w:bCs/>
                        <w:sz w:val="20"/>
                        <w:lang w:val="en-US"/>
                      </w:rPr>
                      <w:t>4.9.4.8.</w:t>
                    </w:r>
                  </w:p>
                </w:tc>
                <w:tc>
                  <w:tcPr>
                    <w:tcW w:w="7762" w:type="dxa"/>
                    <w:tcBorders>
                      <w:top w:val="nil"/>
                      <w:left w:val="single" w:sz="4" w:space="0" w:color="auto"/>
                      <w:bottom w:val="nil"/>
                    </w:tcBorders>
                    <w:shd w:val="clear" w:color="auto" w:fill="auto"/>
                  </w:tcPr>
                  <w:p>
                    <w:pPr>
                      <w:rPr>
                        <w:bCs/>
                        <w:sz w:val="20"/>
                        <w:lang w:val="pt-BR"/>
                      </w:rPr>
                    </w:pPr>
                    <w:r>
                      <w:rPr>
                        <w:bCs/>
                        <w:sz w:val="20"/>
                        <w:lang w:val="pt-BR"/>
                      </w:rPr>
                      <w:t>paratonziliarinių injekcijų atlikimas;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lang w:val="en-US"/>
                      </w:rPr>
                    </w:pPr>
                    <w:r>
                      <w:rPr>
                        <w:bCs/>
                        <w:sz w:val="20"/>
                        <w:lang w:val="en-US"/>
                      </w:rPr>
                      <w:t>4.9.4.9.</w:t>
                    </w:r>
                  </w:p>
                </w:tc>
                <w:tc>
                  <w:tcPr>
                    <w:tcW w:w="7762" w:type="dxa"/>
                    <w:tcBorders>
                      <w:top w:val="nil"/>
                      <w:left w:val="single" w:sz="4" w:space="0" w:color="auto"/>
                      <w:bottom w:val="nil"/>
                    </w:tcBorders>
                    <w:shd w:val="clear" w:color="auto" w:fill="auto"/>
                  </w:tcPr>
                  <w:p>
                    <w:pPr>
                      <w:rPr>
                        <w:bCs/>
                        <w:sz w:val="20"/>
                        <w:lang w:val="pt-BR"/>
                      </w:rPr>
                    </w:pPr>
                    <w:r>
                      <w:rPr>
                        <w:bCs/>
                        <w:sz w:val="20"/>
                        <w:lang w:val="pt-BR"/>
                      </w:rPr>
                      <w:t>paratonzilinio pūlinio punkcija ir invazija;</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lang w:val="en-US"/>
                      </w:rPr>
                    </w:pPr>
                    <w:r>
                      <w:rPr>
                        <w:bCs/>
                        <w:sz w:val="20"/>
                        <w:lang w:val="en-US"/>
                      </w:rPr>
                      <w:t>4.9.4.10.</w:t>
                    </w:r>
                  </w:p>
                </w:tc>
                <w:tc>
                  <w:tcPr>
                    <w:tcW w:w="7762" w:type="dxa"/>
                    <w:tcBorders>
                      <w:top w:val="nil"/>
                      <w:left w:val="single" w:sz="4" w:space="0" w:color="auto"/>
                      <w:bottom w:val="nil"/>
                    </w:tcBorders>
                    <w:shd w:val="clear" w:color="auto" w:fill="auto"/>
                  </w:tcPr>
                  <w:p>
                    <w:pPr>
                      <w:rPr>
                        <w:bCs/>
                        <w:sz w:val="20"/>
                        <w:lang w:val="pt-BR"/>
                      </w:rPr>
                    </w:pPr>
                    <w:r>
                      <w:rPr>
                        <w:bCs/>
                        <w:sz w:val="20"/>
                        <w:lang w:val="pt-BR"/>
                      </w:rPr>
                      <w:t>tonzilių plovimas;</w:t>
                    </w:r>
                  </w:p>
                </w:tc>
              </w:tr>
              <w:tr>
                <w:tblPrEx>
                  <w:tblBorders>
                    <w:insideH w:val="none" w:sz="0" w:space="0" w:color="auto"/>
                    <w:insideV w:val="none" w:sz="0" w:space="0" w:color="auto"/>
                  </w:tblBorders>
                </w:tblPrEx>
                <w:trPr>
                  <w:trHeight w:val="243"/>
                </w:trPr>
                <w:tc>
                  <w:tcPr>
                    <w:tcW w:w="1308" w:type="dxa"/>
                    <w:tcBorders>
                      <w:right w:val="single" w:sz="4" w:space="0" w:color="auto"/>
                    </w:tcBorders>
                    <w:shd w:val="clear" w:color="auto" w:fill="auto"/>
                  </w:tcPr>
                  <w:p>
                    <w:pPr>
                      <w:rPr>
                        <w:bCs/>
                        <w:sz w:val="20"/>
                        <w:lang w:val="en-US"/>
                      </w:rPr>
                    </w:pPr>
                    <w:r>
                      <w:rPr>
                        <w:bCs/>
                        <w:sz w:val="20"/>
                        <w:lang w:val="en-US"/>
                      </w:rPr>
                      <w:t>4.9.4.11.</w:t>
                    </w:r>
                  </w:p>
                </w:tc>
                <w:tc>
                  <w:tcPr>
                    <w:tcW w:w="7762" w:type="dxa"/>
                    <w:tcBorders>
                      <w:top w:val="nil"/>
                      <w:left w:val="single" w:sz="4" w:space="0" w:color="auto"/>
                      <w:bottom w:val="nil"/>
                    </w:tcBorders>
                    <w:shd w:val="clear" w:color="auto" w:fill="auto"/>
                  </w:tcPr>
                  <w:p>
                    <w:pPr>
                      <w:rPr>
                        <w:bCs/>
                        <w:sz w:val="20"/>
                        <w:lang w:val="pt-BR"/>
                      </w:rPr>
                    </w:pPr>
                    <w:r>
                      <w:rPr>
                        <w:bCs/>
                        <w:sz w:val="20"/>
                        <w:lang w:val="pt-BR"/>
                      </w:rPr>
                      <w:t>tonzilių medikamentinis tepimas;</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lang w:val="en-US"/>
                      </w:rPr>
                    </w:pPr>
                    <w:r>
                      <w:rPr>
                        <w:bCs/>
                        <w:sz w:val="20"/>
                        <w:lang w:val="en-US"/>
                      </w:rPr>
                      <w:t>4.9.4.12.</w:t>
                    </w:r>
                  </w:p>
                </w:tc>
                <w:tc>
                  <w:tcPr>
                    <w:tcW w:w="7762" w:type="dxa"/>
                    <w:tcBorders>
                      <w:top w:val="nil"/>
                      <w:left w:val="single" w:sz="4" w:space="0" w:color="auto"/>
                      <w:bottom w:val="nil"/>
                    </w:tcBorders>
                    <w:shd w:val="clear" w:color="auto" w:fill="auto"/>
                  </w:tcPr>
                  <w:p>
                    <w:pPr>
                      <w:rPr>
                        <w:bCs/>
                        <w:sz w:val="20"/>
                        <w:lang w:val="pt-BR"/>
                      </w:rPr>
                    </w:pPr>
                    <w:r>
                      <w:rPr>
                        <w:bCs/>
                        <w:sz w:val="20"/>
                        <w:lang w:val="pt-BR"/>
                      </w:rPr>
                      <w:t>ryklės prideginimas skystu azotu;</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lang w:val="en-US"/>
                      </w:rPr>
                    </w:pPr>
                    <w:r>
                      <w:rPr>
                        <w:bCs/>
                        <w:sz w:val="20"/>
                        <w:lang w:val="en-US"/>
                      </w:rPr>
                      <w:t>4.9.4.13.</w:t>
                    </w:r>
                  </w:p>
                </w:tc>
                <w:tc>
                  <w:tcPr>
                    <w:tcW w:w="7762" w:type="dxa"/>
                    <w:tcBorders>
                      <w:top w:val="nil"/>
                      <w:left w:val="single" w:sz="4" w:space="0" w:color="auto"/>
                      <w:bottom w:val="single" w:sz="4" w:space="0" w:color="auto"/>
                    </w:tcBorders>
                    <w:shd w:val="clear" w:color="auto" w:fill="auto"/>
                  </w:tcPr>
                  <w:p>
                    <w:pPr>
                      <w:rPr>
                        <w:rFonts w:ascii="TimesLT" w:hAnsi="TimesLT"/>
                        <w:bCs/>
                        <w:sz w:val="20"/>
                        <w:lang w:val="pt-BR"/>
                      </w:rPr>
                    </w:pPr>
                    <w:r>
                      <w:rPr>
                        <w:rFonts w:ascii="TimesLT" w:hAnsi="TimesLT"/>
                        <w:bCs/>
                        <w:sz w:val="20"/>
                        <w:lang w:val="pt-BR"/>
                      </w:rPr>
                      <w:t>gerklų instiliacija medikamentais.</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4.10.</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 xml:space="preserve">GYDYTOJO ORTOPEDO TRAUMATOLOGO </w:t>
                    </w:r>
                  </w:p>
                </w:tc>
              </w:tr>
              <w:tr>
                <w:tblPrEx>
                  <w:tblBorders>
                    <w:insideH w:val="none" w:sz="0" w:space="0" w:color="auto"/>
                    <w:insideV w:val="none" w:sz="0" w:space="0" w:color="auto"/>
                  </w:tblBorders>
                </w:tblPrEx>
                <w:trPr>
                  <w:trHeight w:val="234"/>
                </w:trPr>
                <w:tc>
                  <w:tcPr>
                    <w:tcW w:w="1308" w:type="dxa"/>
                    <w:tcBorders>
                      <w:right w:val="single" w:sz="4" w:space="0" w:color="auto"/>
                    </w:tcBorders>
                    <w:shd w:val="clear" w:color="auto" w:fill="auto"/>
                  </w:tcPr>
                  <w:p>
                    <w:pPr>
                      <w:rPr>
                        <w:bCs/>
                        <w:sz w:val="20"/>
                      </w:rPr>
                    </w:pPr>
                    <w:r>
                      <w:rPr>
                        <w:bCs/>
                        <w:sz w:val="20"/>
                      </w:rPr>
                      <w:t>4.10.1.</w:t>
                    </w:r>
                  </w:p>
                </w:tc>
                <w:tc>
                  <w:tcPr>
                    <w:tcW w:w="7762" w:type="dxa"/>
                    <w:tcBorders>
                      <w:top w:val="single" w:sz="4" w:space="0" w:color="auto"/>
                      <w:left w:val="single" w:sz="4" w:space="0" w:color="auto"/>
                      <w:bottom w:val="nil"/>
                    </w:tcBorders>
                    <w:shd w:val="clear" w:color="auto" w:fill="auto"/>
                  </w:tcPr>
                  <w:p>
                    <w:pPr>
                      <w:rPr>
                        <w:bCs/>
                        <w:sz w:val="20"/>
                      </w:rPr>
                    </w:pPr>
                    <w:r>
                      <w:rPr>
                        <w:bCs/>
                        <w:sz w:val="20"/>
                      </w:rPr>
                      <w:t>Ligonio anamnezės surinkimas.</w:t>
                    </w:r>
                  </w:p>
                </w:tc>
              </w:tr>
              <w:tr>
                <w:tblPrEx>
                  <w:tblBorders>
                    <w:insideH w:val="none" w:sz="0" w:space="0" w:color="auto"/>
                    <w:insideV w:val="none" w:sz="0" w:space="0" w:color="auto"/>
                  </w:tblBorders>
                </w:tblPrEx>
                <w:trPr>
                  <w:trHeight w:val="159"/>
                </w:trPr>
                <w:tc>
                  <w:tcPr>
                    <w:tcW w:w="1308" w:type="dxa"/>
                    <w:tcBorders>
                      <w:right w:val="single" w:sz="4" w:space="0" w:color="auto"/>
                    </w:tcBorders>
                    <w:shd w:val="clear" w:color="auto" w:fill="auto"/>
                  </w:tcPr>
                  <w:p>
                    <w:pPr>
                      <w:rPr>
                        <w:bCs/>
                        <w:sz w:val="20"/>
                      </w:rPr>
                    </w:pPr>
                    <w:r>
                      <w:rPr>
                        <w:bCs/>
                        <w:sz w:val="20"/>
                      </w:rPr>
                      <w:t>4.10.2.</w:t>
                    </w:r>
                  </w:p>
                </w:tc>
                <w:tc>
                  <w:tcPr>
                    <w:tcW w:w="7762" w:type="dxa"/>
                    <w:tcBorders>
                      <w:top w:val="nil"/>
                      <w:left w:val="single" w:sz="4" w:space="0" w:color="auto"/>
                      <w:bottom w:val="nil"/>
                    </w:tcBorders>
                    <w:shd w:val="clear" w:color="auto" w:fill="auto"/>
                  </w:tcPr>
                  <w:p>
                    <w:pPr>
                      <w:rPr>
                        <w:bCs/>
                        <w:sz w:val="20"/>
                      </w:rPr>
                    </w:pPr>
                    <w:r>
                      <w:rPr>
                        <w:bCs/>
                        <w:sz w:val="20"/>
                      </w:rPr>
                      <w:t>Ligonio apžiūrėjimas, palpacija, surinktų duomenų įvertinimas, preliminarios diagnozės nustatymas.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4.10.3.</w:t>
                    </w:r>
                  </w:p>
                </w:tc>
                <w:tc>
                  <w:tcPr>
                    <w:tcW w:w="7762" w:type="dxa"/>
                    <w:tcBorders>
                      <w:top w:val="nil"/>
                      <w:left w:val="single" w:sz="4" w:space="0" w:color="auto"/>
                      <w:bottom w:val="nil"/>
                    </w:tcBorders>
                    <w:shd w:val="clear" w:color="auto" w:fill="auto"/>
                  </w:tcPr>
                  <w:p>
                    <w:pPr>
                      <w:rPr>
                        <w:bCs/>
                        <w:sz w:val="20"/>
                      </w:rPr>
                    </w:pPr>
                    <w:r>
                      <w:rPr>
                        <w:bCs/>
                        <w:sz w:val="20"/>
                      </w:rPr>
                      <w:t>Profilaktinis sveikatos tikrinimas.</w:t>
                    </w:r>
                  </w:p>
                </w:tc>
              </w:tr>
              <w:tr>
                <w:tblPrEx>
                  <w:tblBorders>
                    <w:insideH w:val="none" w:sz="0" w:space="0" w:color="auto"/>
                    <w:insideV w:val="none" w:sz="0" w:space="0" w:color="auto"/>
                  </w:tblBorders>
                </w:tblPrEx>
                <w:trPr>
                  <w:trHeight w:val="160"/>
                </w:trPr>
                <w:tc>
                  <w:tcPr>
                    <w:tcW w:w="1308" w:type="dxa"/>
                    <w:tcBorders>
                      <w:right w:val="single" w:sz="4" w:space="0" w:color="auto"/>
                    </w:tcBorders>
                    <w:shd w:val="clear" w:color="auto" w:fill="auto"/>
                  </w:tcPr>
                  <w:p>
                    <w:pPr>
                      <w:rPr>
                        <w:bCs/>
                        <w:sz w:val="20"/>
                      </w:rPr>
                    </w:pPr>
                    <w:r>
                      <w:rPr>
                        <w:bCs/>
                        <w:sz w:val="20"/>
                      </w:rPr>
                      <w:t>4.10.4.</w:t>
                    </w:r>
                  </w:p>
                </w:tc>
                <w:tc>
                  <w:tcPr>
                    <w:tcW w:w="7762" w:type="dxa"/>
                    <w:tcBorders>
                      <w:top w:val="nil"/>
                      <w:left w:val="single" w:sz="4" w:space="0" w:color="auto"/>
                      <w:bottom w:val="nil"/>
                    </w:tcBorders>
                    <w:shd w:val="clear" w:color="auto" w:fill="auto"/>
                  </w:tcPr>
                  <w:p>
                    <w:pPr>
                      <w:rPr>
                        <w:bCs/>
                        <w:sz w:val="20"/>
                      </w:rPr>
                    </w:pPr>
                    <w:r>
                      <w:rPr>
                        <w:bCs/>
                        <w:sz w:val="20"/>
                      </w:rPr>
                      <w:t>Papildomų tyrimų skyrimas.</w:t>
                    </w:r>
                  </w:p>
                </w:tc>
              </w:tr>
              <w:tr>
                <w:tblPrEx>
                  <w:tblBorders>
                    <w:insideH w:val="none" w:sz="0" w:space="0" w:color="auto"/>
                    <w:insideV w:val="none" w:sz="0" w:space="0" w:color="auto"/>
                  </w:tblBorders>
                </w:tblPrEx>
                <w:trPr>
                  <w:trHeight w:val="272"/>
                </w:trPr>
                <w:tc>
                  <w:tcPr>
                    <w:tcW w:w="1308" w:type="dxa"/>
                    <w:tcBorders>
                      <w:right w:val="single" w:sz="4" w:space="0" w:color="auto"/>
                    </w:tcBorders>
                    <w:shd w:val="clear" w:color="auto" w:fill="auto"/>
                  </w:tcPr>
                  <w:p>
                    <w:pPr>
                      <w:rPr>
                        <w:bCs/>
                        <w:sz w:val="20"/>
                      </w:rPr>
                    </w:pPr>
                    <w:r>
                      <w:rPr>
                        <w:bCs/>
                        <w:sz w:val="20"/>
                      </w:rPr>
                      <w:t>4.10.5.</w:t>
                    </w:r>
                  </w:p>
                </w:tc>
                <w:tc>
                  <w:tcPr>
                    <w:tcW w:w="7762" w:type="dxa"/>
                    <w:tcBorders>
                      <w:top w:val="nil"/>
                      <w:left w:val="single" w:sz="4" w:space="0" w:color="auto"/>
                      <w:bottom w:val="nil"/>
                    </w:tcBorders>
                    <w:shd w:val="clear" w:color="auto" w:fill="auto"/>
                  </w:tcPr>
                  <w:p>
                    <w:pPr>
                      <w:rPr>
                        <w:bCs/>
                        <w:sz w:val="20"/>
                      </w:rPr>
                    </w:pPr>
                    <w:r>
                      <w:rPr>
                        <w:bCs/>
                        <w:sz w:val="20"/>
                      </w:rPr>
                      <w:t>Tvarstymas.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4.10.6.</w:t>
                    </w:r>
                  </w:p>
                </w:tc>
                <w:tc>
                  <w:tcPr>
                    <w:tcW w:w="7762" w:type="dxa"/>
                    <w:tcBorders>
                      <w:top w:val="nil"/>
                      <w:left w:val="single" w:sz="4" w:space="0" w:color="auto"/>
                      <w:bottom w:val="nil"/>
                    </w:tcBorders>
                    <w:shd w:val="clear" w:color="auto" w:fill="auto"/>
                  </w:tcPr>
                  <w:p>
                    <w:pPr>
                      <w:rPr>
                        <w:bCs/>
                        <w:sz w:val="20"/>
                      </w:rPr>
                    </w:pPr>
                    <w:r>
                      <w:rPr>
                        <w:bCs/>
                        <w:sz w:val="20"/>
                      </w:rPr>
                      <w:t>Žaizdų perrišimas.</w:t>
                    </w:r>
                  </w:p>
                </w:tc>
              </w:tr>
              <w:tr>
                <w:tblPrEx>
                  <w:tblBorders>
                    <w:insideH w:val="none" w:sz="0" w:space="0" w:color="auto"/>
                    <w:insideV w:val="none" w:sz="0" w:space="0" w:color="auto"/>
                  </w:tblBorders>
                </w:tblPrEx>
                <w:trPr>
                  <w:trHeight w:val="122"/>
                </w:trPr>
                <w:tc>
                  <w:tcPr>
                    <w:tcW w:w="1308" w:type="dxa"/>
                    <w:tcBorders>
                      <w:right w:val="single" w:sz="4" w:space="0" w:color="auto"/>
                    </w:tcBorders>
                    <w:shd w:val="clear" w:color="auto" w:fill="auto"/>
                  </w:tcPr>
                  <w:p>
                    <w:pPr>
                      <w:rPr>
                        <w:bCs/>
                        <w:sz w:val="20"/>
                      </w:rPr>
                    </w:pPr>
                    <w:r>
                      <w:rPr>
                        <w:bCs/>
                        <w:sz w:val="20"/>
                      </w:rPr>
                      <w:t>4.10.7.</w:t>
                    </w:r>
                  </w:p>
                </w:tc>
                <w:tc>
                  <w:tcPr>
                    <w:tcW w:w="7762" w:type="dxa"/>
                    <w:tcBorders>
                      <w:top w:val="nil"/>
                      <w:left w:val="single" w:sz="4" w:space="0" w:color="auto"/>
                      <w:bottom w:val="nil"/>
                    </w:tcBorders>
                    <w:shd w:val="clear" w:color="auto" w:fill="auto"/>
                  </w:tcPr>
                  <w:p>
                    <w:pPr>
                      <w:rPr>
                        <w:bCs/>
                        <w:sz w:val="20"/>
                      </w:rPr>
                    </w:pPr>
                    <w:r>
                      <w:rPr>
                        <w:bCs/>
                        <w:sz w:val="20"/>
                      </w:rPr>
                      <w:t>Žaizdų priežiūra.</w:t>
                    </w:r>
                  </w:p>
                </w:tc>
              </w:tr>
              <w:tr>
                <w:tblPrEx>
                  <w:tblBorders>
                    <w:insideH w:val="none" w:sz="0" w:space="0" w:color="auto"/>
                    <w:insideV w:val="none" w:sz="0" w:space="0" w:color="auto"/>
                  </w:tblBorders>
                </w:tblPrEx>
                <w:trPr>
                  <w:trHeight w:val="234"/>
                </w:trPr>
                <w:tc>
                  <w:tcPr>
                    <w:tcW w:w="1308" w:type="dxa"/>
                    <w:tcBorders>
                      <w:right w:val="single" w:sz="4" w:space="0" w:color="auto"/>
                    </w:tcBorders>
                    <w:shd w:val="clear" w:color="auto" w:fill="auto"/>
                  </w:tcPr>
                  <w:p>
                    <w:pPr>
                      <w:rPr>
                        <w:bCs/>
                        <w:sz w:val="20"/>
                      </w:rPr>
                    </w:pPr>
                    <w:r>
                      <w:rPr>
                        <w:bCs/>
                        <w:sz w:val="20"/>
                      </w:rPr>
                      <w:t>4.10.8.</w:t>
                    </w:r>
                  </w:p>
                </w:tc>
                <w:tc>
                  <w:tcPr>
                    <w:tcW w:w="7762" w:type="dxa"/>
                    <w:tcBorders>
                      <w:top w:val="nil"/>
                      <w:left w:val="single" w:sz="4" w:space="0" w:color="auto"/>
                      <w:bottom w:val="nil"/>
                    </w:tcBorders>
                    <w:shd w:val="clear" w:color="auto" w:fill="auto"/>
                  </w:tcPr>
                  <w:p>
                    <w:pPr>
                      <w:rPr>
                        <w:bCs/>
                        <w:sz w:val="20"/>
                      </w:rPr>
                    </w:pPr>
                    <w:r>
                      <w:rPr>
                        <w:bCs/>
                        <w:sz w:val="20"/>
                      </w:rPr>
                      <w:t>Išorinio kraujavimo stabdymas.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4.10.9.</w:t>
                    </w:r>
                  </w:p>
                </w:tc>
                <w:tc>
                  <w:tcPr>
                    <w:tcW w:w="7762" w:type="dxa"/>
                    <w:tcBorders>
                      <w:top w:val="nil"/>
                      <w:left w:val="single" w:sz="4" w:space="0" w:color="auto"/>
                      <w:bottom w:val="nil"/>
                    </w:tcBorders>
                    <w:shd w:val="clear" w:color="auto" w:fill="auto"/>
                  </w:tcPr>
                  <w:p>
                    <w:pPr>
                      <w:rPr>
                        <w:bCs/>
                        <w:sz w:val="20"/>
                      </w:rPr>
                    </w:pPr>
                    <w:r>
                      <w:rPr>
                        <w:bCs/>
                        <w:sz w:val="20"/>
                      </w:rPr>
                      <w:t>Vietinės blokados lidokainu, novokainu.</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4.10.10.</w:t>
                    </w:r>
                  </w:p>
                </w:tc>
                <w:tc>
                  <w:tcPr>
                    <w:tcW w:w="7762" w:type="dxa"/>
                    <w:tcBorders>
                      <w:top w:val="nil"/>
                      <w:left w:val="single" w:sz="4" w:space="0" w:color="auto"/>
                      <w:bottom w:val="nil"/>
                    </w:tcBorders>
                    <w:shd w:val="clear" w:color="auto" w:fill="auto"/>
                  </w:tcPr>
                  <w:p>
                    <w:pPr>
                      <w:rPr>
                        <w:bCs/>
                        <w:sz w:val="20"/>
                      </w:rPr>
                    </w:pPr>
                    <w:r>
                      <w:rPr>
                        <w:bCs/>
                        <w:sz w:val="20"/>
                      </w:rPr>
                      <w:t>Vietinė infiltracinė anestezija.</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4.10.11.</w:t>
                    </w:r>
                  </w:p>
                </w:tc>
                <w:tc>
                  <w:tcPr>
                    <w:tcW w:w="7762" w:type="dxa"/>
                    <w:tcBorders>
                      <w:top w:val="nil"/>
                      <w:left w:val="single" w:sz="4" w:space="0" w:color="auto"/>
                      <w:bottom w:val="nil"/>
                    </w:tcBorders>
                    <w:shd w:val="clear" w:color="auto" w:fill="auto"/>
                  </w:tcPr>
                  <w:p>
                    <w:pPr>
                      <w:rPr>
                        <w:bCs/>
                        <w:sz w:val="20"/>
                      </w:rPr>
                    </w:pPr>
                    <w:r>
                      <w:rPr>
                        <w:bCs/>
                        <w:sz w:val="20"/>
                      </w:rPr>
                      <w:t>Pirminis chirurginis žaizdų sutvarkymas.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4.10.12.</w:t>
                    </w:r>
                  </w:p>
                </w:tc>
                <w:tc>
                  <w:tcPr>
                    <w:tcW w:w="7762" w:type="dxa"/>
                    <w:tcBorders>
                      <w:top w:val="nil"/>
                      <w:left w:val="single" w:sz="4" w:space="0" w:color="auto"/>
                      <w:bottom w:val="nil"/>
                    </w:tcBorders>
                    <w:shd w:val="clear" w:color="auto" w:fill="auto"/>
                  </w:tcPr>
                  <w:p>
                    <w:pPr>
                      <w:rPr>
                        <w:bCs/>
                        <w:sz w:val="20"/>
                      </w:rPr>
                    </w:pPr>
                    <w:r>
                      <w:rPr>
                        <w:bCs/>
                        <w:sz w:val="20"/>
                      </w:rPr>
                      <w:t>Siūlų išėmimas.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4.10.13.</w:t>
                    </w:r>
                  </w:p>
                </w:tc>
                <w:tc>
                  <w:tcPr>
                    <w:tcW w:w="7762" w:type="dxa"/>
                    <w:tcBorders>
                      <w:top w:val="nil"/>
                      <w:left w:val="single" w:sz="4" w:space="0" w:color="auto"/>
                      <w:bottom w:val="nil"/>
                    </w:tcBorders>
                    <w:shd w:val="clear" w:color="auto" w:fill="auto"/>
                  </w:tcPr>
                  <w:p>
                    <w:pPr>
                      <w:rPr>
                        <w:bCs/>
                        <w:sz w:val="20"/>
                      </w:rPr>
                    </w:pPr>
                    <w:r>
                      <w:rPr>
                        <w:bCs/>
                        <w:sz w:val="20"/>
                      </w:rPr>
                      <w:t xml:space="preserve">Odos pūlingos infekcijos chirurginis gydymas. </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4.10.14.</w:t>
                    </w:r>
                  </w:p>
                </w:tc>
                <w:tc>
                  <w:tcPr>
                    <w:tcW w:w="7762" w:type="dxa"/>
                    <w:tcBorders>
                      <w:top w:val="nil"/>
                      <w:left w:val="single" w:sz="4" w:space="0" w:color="auto"/>
                      <w:bottom w:val="nil"/>
                    </w:tcBorders>
                    <w:shd w:val="clear" w:color="auto" w:fill="auto"/>
                  </w:tcPr>
                  <w:p>
                    <w:pPr>
                      <w:rPr>
                        <w:bCs/>
                        <w:sz w:val="20"/>
                      </w:rPr>
                    </w:pPr>
                    <w:r>
                      <w:rPr>
                        <w:bCs/>
                        <w:sz w:val="20"/>
                      </w:rPr>
                      <w:t>Sąnarių punkcijos.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4.10.15.</w:t>
                    </w:r>
                  </w:p>
                </w:tc>
                <w:tc>
                  <w:tcPr>
                    <w:tcW w:w="7762" w:type="dxa"/>
                    <w:tcBorders>
                      <w:top w:val="nil"/>
                      <w:left w:val="single" w:sz="4" w:space="0" w:color="auto"/>
                      <w:bottom w:val="nil"/>
                    </w:tcBorders>
                    <w:shd w:val="clear" w:color="auto" w:fill="auto"/>
                  </w:tcPr>
                  <w:p>
                    <w:pPr>
                      <w:rPr>
                        <w:bCs/>
                        <w:sz w:val="20"/>
                      </w:rPr>
                    </w:pPr>
                    <w:r>
                      <w:rPr>
                        <w:bCs/>
                        <w:sz w:val="20"/>
                      </w:rPr>
                      <w:t>Svetimkūnių, esančių odoje, šalinimas.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4.10.16.</w:t>
                    </w:r>
                  </w:p>
                </w:tc>
                <w:tc>
                  <w:tcPr>
                    <w:tcW w:w="7762" w:type="dxa"/>
                    <w:tcBorders>
                      <w:top w:val="nil"/>
                      <w:left w:val="single" w:sz="4" w:space="0" w:color="auto"/>
                      <w:bottom w:val="nil"/>
                    </w:tcBorders>
                    <w:shd w:val="clear" w:color="auto" w:fill="auto"/>
                  </w:tcPr>
                  <w:p>
                    <w:pPr>
                      <w:rPr>
                        <w:bCs/>
                        <w:sz w:val="20"/>
                      </w:rPr>
                    </w:pPr>
                    <w:r>
                      <w:rPr>
                        <w:bCs/>
                        <w:sz w:val="20"/>
                      </w:rPr>
                      <w:t>Įaugusio nago pašalinimas.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4.10.17.</w:t>
                    </w:r>
                  </w:p>
                </w:tc>
                <w:tc>
                  <w:tcPr>
                    <w:tcW w:w="7762" w:type="dxa"/>
                    <w:tcBorders>
                      <w:top w:val="nil"/>
                      <w:left w:val="single" w:sz="4" w:space="0" w:color="auto"/>
                      <w:bottom w:val="nil"/>
                    </w:tcBorders>
                    <w:shd w:val="clear" w:color="auto" w:fill="auto"/>
                  </w:tcPr>
                  <w:p>
                    <w:pPr>
                      <w:rPr>
                        <w:bCs/>
                        <w:sz w:val="20"/>
                      </w:rPr>
                    </w:pPr>
                    <w:r>
                      <w:rPr>
                        <w:bCs/>
                        <w:sz w:val="20"/>
                      </w:rPr>
                      <w:t>Venos punkcija.</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4.10.18.</w:t>
                    </w:r>
                  </w:p>
                </w:tc>
                <w:tc>
                  <w:tcPr>
                    <w:tcW w:w="7762" w:type="dxa"/>
                    <w:tcBorders>
                      <w:top w:val="nil"/>
                      <w:left w:val="single" w:sz="4" w:space="0" w:color="auto"/>
                      <w:bottom w:val="nil"/>
                    </w:tcBorders>
                    <w:shd w:val="clear" w:color="auto" w:fill="auto"/>
                  </w:tcPr>
                  <w:p>
                    <w:pPr>
                      <w:rPr>
                        <w:bCs/>
                        <w:sz w:val="20"/>
                      </w:rPr>
                    </w:pPr>
                    <w:r>
                      <w:rPr>
                        <w:bCs/>
                        <w:sz w:val="20"/>
                      </w:rPr>
                      <w:t>Gipso tvarsčio uždėjimas ir nuėmimas.</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rPr>
                    </w:pPr>
                    <w:r>
                      <w:rPr>
                        <w:bCs/>
                        <w:sz w:val="20"/>
                      </w:rPr>
                      <w:t>4.10.19.</w:t>
                    </w:r>
                  </w:p>
                </w:tc>
                <w:tc>
                  <w:tcPr>
                    <w:tcW w:w="7762" w:type="dxa"/>
                    <w:tcBorders>
                      <w:top w:val="nil"/>
                      <w:left w:val="single" w:sz="4" w:space="0" w:color="auto"/>
                      <w:bottom w:val="nil"/>
                    </w:tcBorders>
                    <w:shd w:val="clear" w:color="auto" w:fill="auto"/>
                  </w:tcPr>
                  <w:p>
                    <w:pPr>
                      <w:rPr>
                        <w:bCs/>
                        <w:sz w:val="20"/>
                      </w:rPr>
                    </w:pPr>
                    <w:r>
                      <w:rPr>
                        <w:bCs/>
                        <w:sz w:val="20"/>
                      </w:rPr>
                      <w:t xml:space="preserve">Vaistų paskyrimas. Esant indikacijų, siuntimas fizinės medicinos ir reabilitacijos gydytojo konsultacijai dėl nemedikamentinio gydymo ir (ar) medicininės reabilitacijos. </w:t>
                    </w:r>
                  </w:p>
                </w:tc>
              </w:tr>
              <w:tr>
                <w:tblPrEx>
                  <w:tblBorders>
                    <w:insideH w:val="none" w:sz="0" w:space="0" w:color="auto"/>
                    <w:insideV w:val="none" w:sz="0" w:space="0" w:color="auto"/>
                  </w:tblBorders>
                </w:tblPrEx>
                <w:trPr>
                  <w:trHeight w:val="206"/>
                </w:trPr>
                <w:tc>
                  <w:tcPr>
                    <w:tcW w:w="1308" w:type="dxa"/>
                    <w:tcBorders>
                      <w:right w:val="single" w:sz="4" w:space="0" w:color="auto"/>
                    </w:tcBorders>
                    <w:shd w:val="clear" w:color="auto" w:fill="auto"/>
                  </w:tcPr>
                  <w:p>
                    <w:pPr>
                      <w:rPr>
                        <w:bCs/>
                        <w:sz w:val="20"/>
                      </w:rPr>
                    </w:pPr>
                    <w:r>
                      <w:rPr>
                        <w:bCs/>
                        <w:sz w:val="20"/>
                      </w:rPr>
                      <w:t>4.10.20.</w:t>
                    </w:r>
                  </w:p>
                </w:tc>
                <w:tc>
                  <w:tcPr>
                    <w:tcW w:w="7762" w:type="dxa"/>
                    <w:tcBorders>
                      <w:top w:val="nil"/>
                      <w:left w:val="single" w:sz="4" w:space="0" w:color="auto"/>
                      <w:bottom w:val="nil"/>
                    </w:tcBorders>
                    <w:shd w:val="clear" w:color="auto" w:fill="auto"/>
                  </w:tcPr>
                  <w:p>
                    <w:pPr>
                      <w:rPr>
                        <w:bCs/>
                        <w:sz w:val="20"/>
                      </w:rPr>
                    </w:pPr>
                    <w:r>
                      <w:rPr>
                        <w:bCs/>
                        <w:sz w:val="20"/>
                      </w:rPr>
                      <w:t>Raumenų ir skeleto, sąnarių ultragarsinis tyrimas.</w:t>
                    </w:r>
                  </w:p>
                </w:tc>
              </w:tr>
              <w:tr>
                <w:tblPrEx>
                  <w:tblBorders>
                    <w:insideH w:val="none" w:sz="0" w:space="0" w:color="auto"/>
                    <w:insideV w:val="none" w:sz="0" w:space="0" w:color="auto"/>
                  </w:tblBorders>
                </w:tblPrEx>
                <w:trPr>
                  <w:trHeight w:val="150"/>
                </w:trPr>
                <w:tc>
                  <w:tcPr>
                    <w:tcW w:w="1308" w:type="dxa"/>
                    <w:tcBorders>
                      <w:right w:val="single" w:sz="4" w:space="0" w:color="auto"/>
                    </w:tcBorders>
                    <w:shd w:val="clear" w:color="auto" w:fill="auto"/>
                  </w:tcPr>
                  <w:p>
                    <w:pPr>
                      <w:rPr>
                        <w:bCs/>
                        <w:sz w:val="20"/>
                      </w:rPr>
                    </w:pPr>
                    <w:r>
                      <w:rPr>
                        <w:bCs/>
                        <w:sz w:val="20"/>
                      </w:rPr>
                      <w:t>4.10.21.</w:t>
                    </w:r>
                  </w:p>
                </w:tc>
                <w:tc>
                  <w:tcPr>
                    <w:tcW w:w="7762" w:type="dxa"/>
                    <w:tcBorders>
                      <w:top w:val="nil"/>
                      <w:left w:val="single" w:sz="4" w:space="0" w:color="auto"/>
                      <w:bottom w:val="nil"/>
                    </w:tcBorders>
                    <w:shd w:val="clear" w:color="auto" w:fill="auto"/>
                  </w:tcPr>
                  <w:p>
                    <w:pPr>
                      <w:rPr>
                        <w:bCs/>
                        <w:sz w:val="20"/>
                      </w:rPr>
                    </w:pPr>
                    <w:r>
                      <w:rPr>
                        <w:bCs/>
                        <w:sz w:val="20"/>
                      </w:rPr>
                      <w:t>Gydymo sekimas, koregavimas, kontrolė.</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4.10.22.</w:t>
                    </w:r>
                  </w:p>
                </w:tc>
                <w:tc>
                  <w:tcPr>
                    <w:tcW w:w="7762" w:type="dxa"/>
                    <w:tcBorders>
                      <w:top w:val="nil"/>
                      <w:left w:val="single" w:sz="4" w:space="0" w:color="auto"/>
                      <w:bottom w:val="single" w:sz="4" w:space="0" w:color="auto"/>
                    </w:tcBorders>
                    <w:shd w:val="clear" w:color="auto" w:fill="auto"/>
                  </w:tcPr>
                  <w:p>
                    <w:pPr>
                      <w:rPr>
                        <w:bCs/>
                        <w:sz w:val="20"/>
                      </w:rPr>
                    </w:pPr>
                    <w:r>
                      <w:rPr>
                        <w:bCs/>
                        <w:sz w:val="20"/>
                      </w:rPr>
                      <w:t>Rekomendacijos sveikatos išsaugojimo ir stiprinimo klausimais.</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4.11.</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 xml:space="preserve">GYDYTOJO NEUROLOGO </w:t>
                    </w:r>
                  </w:p>
                </w:tc>
              </w:tr>
              <w:tr>
                <w:tblPrEx>
                  <w:tblBorders>
                    <w:insideH w:val="none" w:sz="0" w:space="0" w:color="auto"/>
                    <w:insideV w:val="none" w:sz="0" w:space="0" w:color="auto"/>
                  </w:tblBorders>
                </w:tblPrEx>
                <w:trPr>
                  <w:trHeight w:val="168"/>
                </w:trPr>
                <w:tc>
                  <w:tcPr>
                    <w:tcW w:w="1308" w:type="dxa"/>
                    <w:tcBorders>
                      <w:right w:val="single" w:sz="4" w:space="0" w:color="auto"/>
                    </w:tcBorders>
                    <w:shd w:val="clear" w:color="auto" w:fill="auto"/>
                  </w:tcPr>
                  <w:p>
                    <w:pPr>
                      <w:rPr>
                        <w:bCs/>
                        <w:sz w:val="20"/>
                      </w:rPr>
                    </w:pPr>
                    <w:r>
                      <w:rPr>
                        <w:bCs/>
                        <w:sz w:val="20"/>
                      </w:rPr>
                      <w:t>4.11.1.</w:t>
                    </w:r>
                  </w:p>
                </w:tc>
                <w:tc>
                  <w:tcPr>
                    <w:tcW w:w="7762" w:type="dxa"/>
                    <w:tcBorders>
                      <w:top w:val="single" w:sz="4" w:space="0" w:color="auto"/>
                      <w:left w:val="single" w:sz="4" w:space="0" w:color="auto"/>
                      <w:bottom w:val="nil"/>
                    </w:tcBorders>
                    <w:shd w:val="clear" w:color="auto" w:fill="auto"/>
                  </w:tcPr>
                  <w:p>
                    <w:pPr>
                      <w:rPr>
                        <w:bCs/>
                        <w:sz w:val="20"/>
                      </w:rPr>
                    </w:pPr>
                    <w:r>
                      <w:rPr>
                        <w:bCs/>
                        <w:sz w:val="20"/>
                      </w:rPr>
                      <w:t>Ligonio gyvenimo bei neurologinės anamnezės surinkimas.</w:t>
                    </w:r>
                  </w:p>
                </w:tc>
              </w:tr>
              <w:tr>
                <w:tblPrEx>
                  <w:tblBorders>
                    <w:insideH w:val="none" w:sz="0" w:space="0" w:color="auto"/>
                    <w:insideV w:val="none" w:sz="0" w:space="0" w:color="auto"/>
                  </w:tblBorders>
                </w:tblPrEx>
                <w:trPr>
                  <w:trHeight w:val="281"/>
                </w:trPr>
                <w:tc>
                  <w:tcPr>
                    <w:tcW w:w="1308" w:type="dxa"/>
                    <w:tcBorders>
                      <w:right w:val="single" w:sz="4" w:space="0" w:color="auto"/>
                    </w:tcBorders>
                    <w:shd w:val="clear" w:color="auto" w:fill="auto"/>
                  </w:tcPr>
                  <w:p>
                    <w:pPr>
                      <w:rPr>
                        <w:bCs/>
                        <w:sz w:val="20"/>
                      </w:rPr>
                    </w:pPr>
                    <w:r>
                      <w:rPr>
                        <w:bCs/>
                        <w:sz w:val="20"/>
                      </w:rPr>
                      <w:t>4.11.2.</w:t>
                    </w:r>
                  </w:p>
                </w:tc>
                <w:tc>
                  <w:tcPr>
                    <w:tcW w:w="7762" w:type="dxa"/>
                    <w:tcBorders>
                      <w:top w:val="nil"/>
                      <w:left w:val="single" w:sz="4" w:space="0" w:color="auto"/>
                      <w:bottom w:val="nil"/>
                    </w:tcBorders>
                    <w:shd w:val="clear" w:color="auto" w:fill="auto"/>
                  </w:tcPr>
                  <w:p>
                    <w:pPr>
                      <w:rPr>
                        <w:rFonts w:ascii="TimesLT" w:hAnsi="TimesLT"/>
                        <w:bCs/>
                        <w:sz w:val="20"/>
                      </w:rPr>
                    </w:pPr>
                    <w:r>
                      <w:rPr>
                        <w:bCs/>
                        <w:sz w:val="20"/>
                      </w:rPr>
                      <w:t>Neurologinis</w:t>
                    </w:r>
                    <w:r>
                      <w:rPr>
                        <w:rFonts w:ascii="TimesLT" w:hAnsi="TimesLT"/>
                        <w:bCs/>
                        <w:sz w:val="20"/>
                      </w:rPr>
                      <w:t xml:space="preserve"> </w:t>
                    </w:r>
                    <w:r>
                      <w:rPr>
                        <w:bCs/>
                        <w:sz w:val="20"/>
                      </w:rPr>
                      <w:t>ligonio apžiūrėjimas: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4.11.2.1.</w:t>
                    </w:r>
                  </w:p>
                </w:tc>
                <w:tc>
                  <w:tcPr>
                    <w:tcW w:w="7762" w:type="dxa"/>
                    <w:tcBorders>
                      <w:top w:val="nil"/>
                      <w:left w:val="single" w:sz="4" w:space="0" w:color="auto"/>
                      <w:bottom w:val="nil"/>
                    </w:tcBorders>
                    <w:shd w:val="clear" w:color="auto" w:fill="auto"/>
                  </w:tcPr>
                  <w:p>
                    <w:pPr>
                      <w:rPr>
                        <w:bCs/>
                        <w:sz w:val="20"/>
                      </w:rPr>
                    </w:pPr>
                    <w:r>
                      <w:rPr>
                        <w:bCs/>
                        <w:sz w:val="20"/>
                      </w:rPr>
                      <w:t>cerebro bulbarinių nervų funkcijos įvertinimas;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4.11.2.2.</w:t>
                    </w:r>
                  </w:p>
                </w:tc>
                <w:tc>
                  <w:tcPr>
                    <w:tcW w:w="7762" w:type="dxa"/>
                    <w:tcBorders>
                      <w:top w:val="nil"/>
                      <w:left w:val="single" w:sz="4" w:space="0" w:color="auto"/>
                      <w:bottom w:val="nil"/>
                    </w:tcBorders>
                    <w:shd w:val="clear" w:color="auto" w:fill="auto"/>
                  </w:tcPr>
                  <w:p>
                    <w:pPr>
                      <w:rPr>
                        <w:bCs/>
                        <w:sz w:val="20"/>
                      </w:rPr>
                    </w:pPr>
                    <w:r>
                      <w:rPr>
                        <w:bCs/>
                        <w:sz w:val="20"/>
                      </w:rPr>
                      <w:t>sausgyslinių, periostalinių refleksų ir patologinių refleksų buvimo nustatymas;</w:t>
                    </w:r>
                  </w:p>
                </w:tc>
              </w:tr>
              <w:tr>
                <w:tblPrEx>
                  <w:tblBorders>
                    <w:insideH w:val="none" w:sz="0" w:space="0" w:color="auto"/>
                    <w:insideV w:val="none" w:sz="0" w:space="0" w:color="auto"/>
                  </w:tblBorders>
                </w:tblPrEx>
                <w:trPr>
                  <w:trHeight w:val="58"/>
                </w:trPr>
                <w:tc>
                  <w:tcPr>
                    <w:tcW w:w="1308" w:type="dxa"/>
                    <w:tcBorders>
                      <w:right w:val="single" w:sz="4" w:space="0" w:color="auto"/>
                    </w:tcBorders>
                    <w:shd w:val="clear" w:color="auto" w:fill="auto"/>
                  </w:tcPr>
                  <w:p>
                    <w:pPr>
                      <w:rPr>
                        <w:bCs/>
                        <w:sz w:val="20"/>
                      </w:rPr>
                    </w:pPr>
                    <w:r>
                      <w:rPr>
                        <w:bCs/>
                        <w:sz w:val="20"/>
                      </w:rPr>
                      <w:t>4.11.2.3.</w:t>
                    </w:r>
                  </w:p>
                </w:tc>
                <w:tc>
                  <w:tcPr>
                    <w:tcW w:w="7762" w:type="dxa"/>
                    <w:tcBorders>
                      <w:top w:val="nil"/>
                      <w:left w:val="single" w:sz="4" w:space="0" w:color="auto"/>
                      <w:bottom w:val="nil"/>
                    </w:tcBorders>
                    <w:shd w:val="clear" w:color="auto" w:fill="auto"/>
                  </w:tcPr>
                  <w:p>
                    <w:pPr>
                      <w:rPr>
                        <w:bCs/>
                        <w:sz w:val="20"/>
                      </w:rPr>
                    </w:pPr>
                    <w:r>
                      <w:rPr>
                        <w:bCs/>
                        <w:sz w:val="20"/>
                        <w:lang w:val="pt-BR"/>
                      </w:rPr>
                      <w:t>galūnių skausminio, temperatūrinio jautrumo įvertinimas;</w:t>
                    </w:r>
                  </w:p>
                </w:tc>
              </w:tr>
              <w:tr>
                <w:tblPrEx>
                  <w:tblBorders>
                    <w:insideH w:val="none" w:sz="0" w:space="0" w:color="auto"/>
                    <w:insideV w:val="none" w:sz="0" w:space="0" w:color="auto"/>
                  </w:tblBorders>
                </w:tblPrEx>
                <w:trPr>
                  <w:trHeight w:val="244"/>
                </w:trPr>
                <w:tc>
                  <w:tcPr>
                    <w:tcW w:w="1308" w:type="dxa"/>
                    <w:tcBorders>
                      <w:right w:val="single" w:sz="4" w:space="0" w:color="auto"/>
                    </w:tcBorders>
                    <w:shd w:val="clear" w:color="auto" w:fill="auto"/>
                  </w:tcPr>
                  <w:p>
                    <w:pPr>
                      <w:rPr>
                        <w:bCs/>
                        <w:sz w:val="20"/>
                      </w:rPr>
                    </w:pPr>
                    <w:r>
                      <w:rPr>
                        <w:bCs/>
                        <w:sz w:val="20"/>
                      </w:rPr>
                      <w:t>4.11.2.4.</w:t>
                    </w:r>
                  </w:p>
                </w:tc>
                <w:tc>
                  <w:tcPr>
                    <w:tcW w:w="7762" w:type="dxa"/>
                    <w:tcBorders>
                      <w:top w:val="nil"/>
                      <w:left w:val="single" w:sz="4" w:space="0" w:color="auto"/>
                      <w:bottom w:val="nil"/>
                    </w:tcBorders>
                    <w:shd w:val="clear" w:color="auto" w:fill="auto"/>
                  </w:tcPr>
                  <w:p>
                    <w:pPr>
                      <w:rPr>
                        <w:bCs/>
                        <w:sz w:val="20"/>
                      </w:rPr>
                    </w:pPr>
                    <w:r>
                      <w:rPr>
                        <w:bCs/>
                        <w:sz w:val="20"/>
                        <w:lang w:val="pt-BR"/>
                      </w:rPr>
                      <w:t>autonominės sistemos būklės įvertinimas;</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rPr>
                    </w:pPr>
                    <w:r>
                      <w:rPr>
                        <w:bCs/>
                        <w:sz w:val="20"/>
                      </w:rPr>
                      <w:t>4.11.2.5.</w:t>
                    </w:r>
                  </w:p>
                </w:tc>
                <w:tc>
                  <w:tcPr>
                    <w:tcW w:w="7762" w:type="dxa"/>
                    <w:tcBorders>
                      <w:top w:val="nil"/>
                      <w:left w:val="single" w:sz="4" w:space="0" w:color="auto"/>
                      <w:bottom w:val="nil"/>
                    </w:tcBorders>
                    <w:shd w:val="clear" w:color="auto" w:fill="auto"/>
                  </w:tcPr>
                  <w:p>
                    <w:pPr>
                      <w:rPr>
                        <w:bCs/>
                        <w:sz w:val="20"/>
                        <w:lang w:val="pt-BR"/>
                      </w:rPr>
                    </w:pPr>
                    <w:r>
                      <w:rPr>
                        <w:bCs/>
                        <w:sz w:val="20"/>
                        <w:lang w:val="pt-BR"/>
                      </w:rPr>
                      <w:t>raumenų tonuso, meninginių simptomų bei magistralinių kraujagyslių auskultacija;</w:t>
                    </w:r>
                  </w:p>
                </w:tc>
              </w:tr>
              <w:tr>
                <w:tblPrEx>
                  <w:tblBorders>
                    <w:insideH w:val="none" w:sz="0" w:space="0" w:color="auto"/>
                    <w:insideV w:val="none" w:sz="0" w:space="0" w:color="auto"/>
                  </w:tblBorders>
                </w:tblPrEx>
                <w:trPr>
                  <w:trHeight w:val="104"/>
                </w:trPr>
                <w:tc>
                  <w:tcPr>
                    <w:tcW w:w="1308" w:type="dxa"/>
                    <w:tcBorders>
                      <w:right w:val="single" w:sz="4" w:space="0" w:color="auto"/>
                    </w:tcBorders>
                    <w:shd w:val="clear" w:color="auto" w:fill="auto"/>
                  </w:tcPr>
                  <w:p>
                    <w:pPr>
                      <w:rPr>
                        <w:bCs/>
                        <w:sz w:val="20"/>
                      </w:rPr>
                    </w:pPr>
                    <w:r>
                      <w:rPr>
                        <w:bCs/>
                        <w:sz w:val="20"/>
                      </w:rPr>
                      <w:t>4.11.2.6.</w:t>
                    </w:r>
                  </w:p>
                </w:tc>
                <w:tc>
                  <w:tcPr>
                    <w:tcW w:w="7762" w:type="dxa"/>
                    <w:tcBorders>
                      <w:top w:val="nil"/>
                      <w:left w:val="single" w:sz="4" w:space="0" w:color="auto"/>
                      <w:bottom w:val="nil"/>
                    </w:tcBorders>
                    <w:shd w:val="clear" w:color="auto" w:fill="auto"/>
                  </w:tcPr>
                  <w:p>
                    <w:pPr>
                      <w:rPr>
                        <w:bCs/>
                        <w:sz w:val="20"/>
                        <w:lang w:val="pt-BR"/>
                      </w:rPr>
                    </w:pPr>
                    <w:r>
                      <w:rPr>
                        <w:bCs/>
                        <w:sz w:val="20"/>
                        <w:lang w:val="pt-BR"/>
                      </w:rPr>
                      <w:t>koordinacinių mėginių atlikimas;</w:t>
                    </w:r>
                  </w:p>
                </w:tc>
              </w:tr>
              <w:tr>
                <w:tblPrEx>
                  <w:tblBorders>
                    <w:insideH w:val="none" w:sz="0" w:space="0" w:color="auto"/>
                    <w:insideV w:val="none" w:sz="0" w:space="0" w:color="auto"/>
                  </w:tblBorders>
                </w:tblPrEx>
                <w:trPr>
                  <w:trHeight w:val="234"/>
                </w:trPr>
                <w:tc>
                  <w:tcPr>
                    <w:tcW w:w="1308" w:type="dxa"/>
                    <w:tcBorders>
                      <w:right w:val="single" w:sz="4" w:space="0" w:color="auto"/>
                    </w:tcBorders>
                    <w:shd w:val="clear" w:color="auto" w:fill="auto"/>
                  </w:tcPr>
                  <w:p>
                    <w:pPr>
                      <w:rPr>
                        <w:bCs/>
                        <w:sz w:val="20"/>
                      </w:rPr>
                    </w:pPr>
                    <w:r>
                      <w:rPr>
                        <w:bCs/>
                        <w:sz w:val="20"/>
                      </w:rPr>
                      <w:t>4.11.2.7.</w:t>
                    </w:r>
                  </w:p>
                </w:tc>
                <w:tc>
                  <w:tcPr>
                    <w:tcW w:w="7762" w:type="dxa"/>
                    <w:tcBorders>
                      <w:top w:val="nil"/>
                      <w:left w:val="single" w:sz="4" w:space="0" w:color="auto"/>
                      <w:bottom w:val="nil"/>
                    </w:tcBorders>
                    <w:shd w:val="clear" w:color="auto" w:fill="auto"/>
                  </w:tcPr>
                  <w:p>
                    <w:pPr>
                      <w:rPr>
                        <w:bCs/>
                        <w:sz w:val="20"/>
                        <w:lang w:val="pt-BR"/>
                      </w:rPr>
                    </w:pPr>
                    <w:r>
                      <w:rPr>
                        <w:bCs/>
                        <w:sz w:val="20"/>
                        <w:lang w:val="pt-BR"/>
                      </w:rPr>
                      <w:t>eisenos, stuburo biomechanikos patikrinimas;</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rPr>
                    </w:pPr>
                    <w:r>
                      <w:rPr>
                        <w:bCs/>
                        <w:sz w:val="20"/>
                      </w:rPr>
                      <w:t>4.11.2.8.</w:t>
                    </w:r>
                  </w:p>
                </w:tc>
                <w:tc>
                  <w:tcPr>
                    <w:tcW w:w="7762" w:type="dxa"/>
                    <w:tcBorders>
                      <w:top w:val="nil"/>
                      <w:left w:val="single" w:sz="4" w:space="0" w:color="auto"/>
                      <w:bottom w:val="nil"/>
                    </w:tcBorders>
                    <w:shd w:val="clear" w:color="auto" w:fill="auto"/>
                  </w:tcPr>
                  <w:p>
                    <w:pPr>
                      <w:rPr>
                        <w:bCs/>
                        <w:sz w:val="20"/>
                        <w:lang w:val="pt-BR"/>
                      </w:rPr>
                    </w:pPr>
                    <w:r>
                      <w:rPr>
                        <w:bCs/>
                        <w:sz w:val="20"/>
                        <w:lang w:val="pt-BR"/>
                      </w:rPr>
                      <w:t>stuburo funkcijos įvertinimas, išaiškinant tempimo ir iškritimo požymius.</w:t>
                    </w:r>
                  </w:p>
                </w:tc>
              </w:tr>
              <w:tr>
                <w:tblPrEx>
                  <w:tblBorders>
                    <w:insideH w:val="none" w:sz="0" w:space="0" w:color="auto"/>
                    <w:insideV w:val="none" w:sz="0" w:space="0" w:color="auto"/>
                  </w:tblBorders>
                </w:tblPrEx>
                <w:trPr>
                  <w:trHeight w:val="103"/>
                </w:trPr>
                <w:tc>
                  <w:tcPr>
                    <w:tcW w:w="1308" w:type="dxa"/>
                    <w:tcBorders>
                      <w:right w:val="single" w:sz="4" w:space="0" w:color="auto"/>
                    </w:tcBorders>
                    <w:shd w:val="clear" w:color="auto" w:fill="auto"/>
                  </w:tcPr>
                  <w:p>
                    <w:pPr>
                      <w:rPr>
                        <w:bCs/>
                        <w:sz w:val="20"/>
                      </w:rPr>
                    </w:pPr>
                    <w:r>
                      <w:rPr>
                        <w:bCs/>
                        <w:sz w:val="20"/>
                      </w:rPr>
                      <w:t>4.11.3.</w:t>
                    </w:r>
                  </w:p>
                </w:tc>
                <w:tc>
                  <w:tcPr>
                    <w:tcW w:w="7762" w:type="dxa"/>
                    <w:tcBorders>
                      <w:top w:val="nil"/>
                      <w:left w:val="single" w:sz="4" w:space="0" w:color="auto"/>
                      <w:bottom w:val="nil"/>
                    </w:tcBorders>
                    <w:shd w:val="clear" w:color="auto" w:fill="auto"/>
                  </w:tcPr>
                  <w:p>
                    <w:pPr>
                      <w:rPr>
                        <w:bCs/>
                        <w:sz w:val="20"/>
                        <w:lang w:val="pt-BR"/>
                      </w:rPr>
                    </w:pPr>
                    <w:r>
                      <w:rPr>
                        <w:bCs/>
                        <w:sz w:val="20"/>
                      </w:rPr>
                      <w:t>Preliminarios diagnozės nustatymas.</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rPr>
                    </w:pPr>
                    <w:r>
                      <w:rPr>
                        <w:bCs/>
                        <w:sz w:val="20"/>
                      </w:rPr>
                      <w:t>4.11.4.</w:t>
                    </w:r>
                  </w:p>
                </w:tc>
                <w:tc>
                  <w:tcPr>
                    <w:tcW w:w="7762" w:type="dxa"/>
                    <w:tcBorders>
                      <w:top w:val="nil"/>
                      <w:left w:val="single" w:sz="4" w:space="0" w:color="auto"/>
                      <w:bottom w:val="nil"/>
                    </w:tcBorders>
                    <w:shd w:val="clear" w:color="auto" w:fill="auto"/>
                  </w:tcPr>
                  <w:p>
                    <w:pPr>
                      <w:rPr>
                        <w:bCs/>
                        <w:sz w:val="20"/>
                      </w:rPr>
                    </w:pPr>
                    <w:r>
                      <w:rPr>
                        <w:bCs/>
                        <w:sz w:val="20"/>
                      </w:rPr>
                      <w:t>Profilaktinis neurologinis apžiūrėjimas.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4.11.5.</w:t>
                    </w:r>
                  </w:p>
                </w:tc>
                <w:tc>
                  <w:tcPr>
                    <w:tcW w:w="7762" w:type="dxa"/>
                    <w:tcBorders>
                      <w:top w:val="nil"/>
                      <w:left w:val="single" w:sz="4" w:space="0" w:color="auto"/>
                      <w:bottom w:val="nil"/>
                    </w:tcBorders>
                    <w:shd w:val="clear" w:color="auto" w:fill="auto"/>
                  </w:tcPr>
                  <w:p>
                    <w:pPr>
                      <w:rPr>
                        <w:bCs/>
                        <w:sz w:val="20"/>
                      </w:rPr>
                    </w:pPr>
                    <w:r>
                      <w:rPr>
                        <w:bCs/>
                        <w:sz w:val="20"/>
                      </w:rPr>
                      <w:t>Papildomų tyrimų skyrimas: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4.11.5.1.</w:t>
                    </w:r>
                  </w:p>
                </w:tc>
                <w:tc>
                  <w:tcPr>
                    <w:tcW w:w="7762" w:type="dxa"/>
                    <w:tcBorders>
                      <w:top w:val="nil"/>
                      <w:left w:val="single" w:sz="4" w:space="0" w:color="auto"/>
                      <w:bottom w:val="nil"/>
                    </w:tcBorders>
                    <w:shd w:val="clear" w:color="auto" w:fill="auto"/>
                  </w:tcPr>
                  <w:p>
                    <w:pPr>
                      <w:rPr>
                        <w:bCs/>
                        <w:sz w:val="20"/>
                      </w:rPr>
                    </w:pPr>
                    <w:r>
                      <w:rPr>
                        <w:bCs/>
                        <w:sz w:val="20"/>
                      </w:rPr>
                      <w:t>rentgenogramų;</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4.11.5.2.</w:t>
                    </w:r>
                  </w:p>
                </w:tc>
                <w:tc>
                  <w:tcPr>
                    <w:tcW w:w="7762" w:type="dxa"/>
                    <w:tcBorders>
                      <w:top w:val="nil"/>
                      <w:left w:val="single" w:sz="4" w:space="0" w:color="auto"/>
                      <w:bottom w:val="nil"/>
                    </w:tcBorders>
                    <w:shd w:val="clear" w:color="auto" w:fill="auto"/>
                  </w:tcPr>
                  <w:p>
                    <w:pPr>
                      <w:rPr>
                        <w:bCs/>
                        <w:sz w:val="20"/>
                      </w:rPr>
                    </w:pPr>
                    <w:r>
                      <w:rPr>
                        <w:bCs/>
                        <w:sz w:val="20"/>
                      </w:rPr>
                      <w:t>kompiuterinės tomografijos;</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rPr>
                    </w:pPr>
                    <w:r>
                      <w:rPr>
                        <w:bCs/>
                        <w:sz w:val="20"/>
                      </w:rPr>
                      <w:t>4.11.5.3.</w:t>
                    </w:r>
                  </w:p>
                </w:tc>
                <w:tc>
                  <w:tcPr>
                    <w:tcW w:w="7762" w:type="dxa"/>
                    <w:tcBorders>
                      <w:top w:val="nil"/>
                      <w:left w:val="single" w:sz="4" w:space="0" w:color="auto"/>
                      <w:bottom w:val="nil"/>
                    </w:tcBorders>
                    <w:shd w:val="clear" w:color="auto" w:fill="auto"/>
                  </w:tcPr>
                  <w:p>
                    <w:pPr>
                      <w:rPr>
                        <w:bCs/>
                        <w:sz w:val="20"/>
                      </w:rPr>
                    </w:pPr>
                    <w:r>
                      <w:rPr>
                        <w:bCs/>
                        <w:sz w:val="20"/>
                      </w:rPr>
                      <w:t>magnetinio rezonanso tyrimo;</w:t>
                    </w:r>
                  </w:p>
                </w:tc>
              </w:tr>
              <w:tr>
                <w:tblPrEx>
                  <w:tblBorders>
                    <w:insideH w:val="none" w:sz="0" w:space="0" w:color="auto"/>
                    <w:insideV w:val="none" w:sz="0" w:space="0" w:color="auto"/>
                  </w:tblBorders>
                </w:tblPrEx>
                <w:trPr>
                  <w:trHeight w:val="244"/>
                </w:trPr>
                <w:tc>
                  <w:tcPr>
                    <w:tcW w:w="1308" w:type="dxa"/>
                    <w:tcBorders>
                      <w:right w:val="single" w:sz="4" w:space="0" w:color="auto"/>
                    </w:tcBorders>
                    <w:shd w:val="clear" w:color="auto" w:fill="auto"/>
                  </w:tcPr>
                  <w:p>
                    <w:pPr>
                      <w:rPr>
                        <w:bCs/>
                        <w:sz w:val="20"/>
                      </w:rPr>
                    </w:pPr>
                    <w:r>
                      <w:rPr>
                        <w:bCs/>
                        <w:sz w:val="20"/>
                      </w:rPr>
                      <w:t>4.11.5.4.</w:t>
                    </w:r>
                  </w:p>
                </w:tc>
                <w:tc>
                  <w:tcPr>
                    <w:tcW w:w="7762" w:type="dxa"/>
                    <w:tcBorders>
                      <w:top w:val="nil"/>
                      <w:left w:val="single" w:sz="4" w:space="0" w:color="auto"/>
                      <w:bottom w:val="nil"/>
                    </w:tcBorders>
                    <w:shd w:val="clear" w:color="auto" w:fill="auto"/>
                  </w:tcPr>
                  <w:p>
                    <w:pPr>
                      <w:rPr>
                        <w:bCs/>
                        <w:sz w:val="20"/>
                      </w:rPr>
                    </w:pPr>
                    <w:r>
                      <w:rPr>
                        <w:bCs/>
                        <w:sz w:val="20"/>
                      </w:rPr>
                      <w:t>akių dugno tyrimo;</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rPr>
                    </w:pPr>
                    <w:r>
                      <w:rPr>
                        <w:bCs/>
                        <w:sz w:val="20"/>
                      </w:rPr>
                      <w:t>4.11.5.5.</w:t>
                    </w:r>
                  </w:p>
                </w:tc>
                <w:tc>
                  <w:tcPr>
                    <w:tcW w:w="7762" w:type="dxa"/>
                    <w:tcBorders>
                      <w:top w:val="nil"/>
                      <w:left w:val="single" w:sz="4" w:space="0" w:color="auto"/>
                      <w:bottom w:val="nil"/>
                    </w:tcBorders>
                    <w:shd w:val="clear" w:color="auto" w:fill="auto"/>
                  </w:tcPr>
                  <w:p>
                    <w:pPr>
                      <w:rPr>
                        <w:bCs/>
                        <w:sz w:val="20"/>
                      </w:rPr>
                    </w:pPr>
                    <w:r>
                      <w:rPr>
                        <w:bCs/>
                        <w:sz w:val="20"/>
                      </w:rPr>
                      <w:t>elektroencefalogramos;</w:t>
                    </w:r>
                  </w:p>
                </w:tc>
              </w:tr>
              <w:tr>
                <w:tblPrEx>
                  <w:tblBorders>
                    <w:insideH w:val="none" w:sz="0" w:space="0" w:color="auto"/>
                    <w:insideV w:val="none" w:sz="0" w:space="0" w:color="auto"/>
                  </w:tblBorders>
                </w:tblPrEx>
                <w:trPr>
                  <w:trHeight w:val="104"/>
                </w:trPr>
                <w:tc>
                  <w:tcPr>
                    <w:tcW w:w="1308" w:type="dxa"/>
                    <w:tcBorders>
                      <w:right w:val="single" w:sz="4" w:space="0" w:color="auto"/>
                    </w:tcBorders>
                    <w:shd w:val="clear" w:color="auto" w:fill="auto"/>
                  </w:tcPr>
                  <w:p>
                    <w:pPr>
                      <w:rPr>
                        <w:bCs/>
                        <w:sz w:val="20"/>
                      </w:rPr>
                    </w:pPr>
                    <w:r>
                      <w:rPr>
                        <w:bCs/>
                        <w:sz w:val="20"/>
                      </w:rPr>
                      <w:t>4.11.5.6.</w:t>
                    </w:r>
                  </w:p>
                </w:tc>
                <w:tc>
                  <w:tcPr>
                    <w:tcW w:w="7762" w:type="dxa"/>
                    <w:tcBorders>
                      <w:top w:val="nil"/>
                      <w:left w:val="single" w:sz="4" w:space="0" w:color="auto"/>
                      <w:bottom w:val="nil"/>
                    </w:tcBorders>
                    <w:shd w:val="clear" w:color="auto" w:fill="auto"/>
                  </w:tcPr>
                  <w:p>
                    <w:pPr>
                      <w:rPr>
                        <w:bCs/>
                        <w:sz w:val="20"/>
                      </w:rPr>
                    </w:pPr>
                    <w:r>
                      <w:rPr>
                        <w:bCs/>
                        <w:sz w:val="20"/>
                      </w:rPr>
                      <w:t>elektroneuroangiografijos;</w:t>
                    </w:r>
                  </w:p>
                </w:tc>
              </w:tr>
              <w:tr>
                <w:tblPrEx>
                  <w:tblBorders>
                    <w:insideH w:val="none" w:sz="0" w:space="0" w:color="auto"/>
                    <w:insideV w:val="none" w:sz="0" w:space="0" w:color="auto"/>
                  </w:tblBorders>
                </w:tblPrEx>
                <w:trPr>
                  <w:trHeight w:val="234"/>
                </w:trPr>
                <w:tc>
                  <w:tcPr>
                    <w:tcW w:w="1308" w:type="dxa"/>
                    <w:tcBorders>
                      <w:right w:val="single" w:sz="4" w:space="0" w:color="auto"/>
                    </w:tcBorders>
                    <w:shd w:val="clear" w:color="auto" w:fill="auto"/>
                  </w:tcPr>
                  <w:p>
                    <w:pPr>
                      <w:rPr>
                        <w:bCs/>
                        <w:sz w:val="20"/>
                      </w:rPr>
                    </w:pPr>
                    <w:r>
                      <w:rPr>
                        <w:bCs/>
                        <w:sz w:val="20"/>
                      </w:rPr>
                      <w:t>4.11.5.7.</w:t>
                    </w:r>
                  </w:p>
                </w:tc>
                <w:tc>
                  <w:tcPr>
                    <w:tcW w:w="7762" w:type="dxa"/>
                    <w:tcBorders>
                      <w:top w:val="nil"/>
                      <w:left w:val="single" w:sz="4" w:space="0" w:color="auto"/>
                      <w:bottom w:val="nil"/>
                    </w:tcBorders>
                    <w:shd w:val="clear" w:color="auto" w:fill="auto"/>
                  </w:tcPr>
                  <w:p>
                    <w:pPr>
                      <w:rPr>
                        <w:bCs/>
                        <w:sz w:val="20"/>
                      </w:rPr>
                    </w:pPr>
                    <w:r>
                      <w:rPr>
                        <w:bCs/>
                        <w:sz w:val="20"/>
                      </w:rPr>
                      <w:t>laboratorinių bei klinikinių fiziologinių tyrimų.</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rPr>
                    </w:pPr>
                    <w:r>
                      <w:rPr>
                        <w:bCs/>
                        <w:sz w:val="20"/>
                      </w:rPr>
                      <w:t>4.11.6.</w:t>
                    </w:r>
                  </w:p>
                </w:tc>
                <w:tc>
                  <w:tcPr>
                    <w:tcW w:w="7762" w:type="dxa"/>
                    <w:tcBorders>
                      <w:top w:val="nil"/>
                      <w:left w:val="single" w:sz="4" w:space="0" w:color="auto"/>
                      <w:bottom w:val="nil"/>
                    </w:tcBorders>
                    <w:shd w:val="clear" w:color="auto" w:fill="auto"/>
                  </w:tcPr>
                  <w:p>
                    <w:pPr>
                      <w:rPr>
                        <w:bCs/>
                        <w:sz w:val="20"/>
                      </w:rPr>
                    </w:pPr>
                    <w:r>
                      <w:rPr>
                        <w:bCs/>
                        <w:sz w:val="20"/>
                      </w:rPr>
                      <w:t>Skiria gydytojų konsultacijas:</w:t>
                    </w:r>
                  </w:p>
                </w:tc>
              </w:tr>
              <w:tr>
                <w:tblPrEx>
                  <w:tblBorders>
                    <w:insideH w:val="none" w:sz="0" w:space="0" w:color="auto"/>
                    <w:insideV w:val="none" w:sz="0" w:space="0" w:color="auto"/>
                  </w:tblBorders>
                </w:tblPrEx>
                <w:trPr>
                  <w:trHeight w:val="103"/>
                </w:trPr>
                <w:tc>
                  <w:tcPr>
                    <w:tcW w:w="1308" w:type="dxa"/>
                    <w:tcBorders>
                      <w:right w:val="single" w:sz="4" w:space="0" w:color="auto"/>
                    </w:tcBorders>
                    <w:shd w:val="clear" w:color="auto" w:fill="auto"/>
                  </w:tcPr>
                  <w:p>
                    <w:pPr>
                      <w:rPr>
                        <w:bCs/>
                        <w:sz w:val="20"/>
                      </w:rPr>
                    </w:pPr>
                    <w:r>
                      <w:rPr>
                        <w:bCs/>
                        <w:sz w:val="20"/>
                      </w:rPr>
                      <w:t>4.11.6.1.</w:t>
                    </w:r>
                  </w:p>
                </w:tc>
                <w:tc>
                  <w:tcPr>
                    <w:tcW w:w="7762" w:type="dxa"/>
                    <w:tcBorders>
                      <w:top w:val="nil"/>
                      <w:left w:val="single" w:sz="4" w:space="0" w:color="auto"/>
                      <w:bottom w:val="nil"/>
                    </w:tcBorders>
                    <w:shd w:val="clear" w:color="auto" w:fill="auto"/>
                  </w:tcPr>
                  <w:p>
                    <w:pPr>
                      <w:rPr>
                        <w:bCs/>
                        <w:sz w:val="20"/>
                      </w:rPr>
                    </w:pPr>
                    <w:r>
                      <w:rPr>
                        <w:bCs/>
                        <w:sz w:val="20"/>
                      </w:rPr>
                      <w:t>ortopedo traumatologo;</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4.11.6.2.</w:t>
                    </w:r>
                  </w:p>
                </w:tc>
                <w:tc>
                  <w:tcPr>
                    <w:tcW w:w="7762" w:type="dxa"/>
                    <w:tcBorders>
                      <w:top w:val="nil"/>
                      <w:left w:val="single" w:sz="4" w:space="0" w:color="auto"/>
                      <w:bottom w:val="nil"/>
                    </w:tcBorders>
                    <w:shd w:val="clear" w:color="auto" w:fill="auto"/>
                  </w:tcPr>
                  <w:p>
                    <w:pPr>
                      <w:rPr>
                        <w:bCs/>
                        <w:sz w:val="20"/>
                      </w:rPr>
                    </w:pPr>
                    <w:r>
                      <w:rPr>
                        <w:bCs/>
                        <w:sz w:val="20"/>
                      </w:rPr>
                      <w:t xml:space="preserve">neurochirurgo arba angiochirurgo. </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rPr>
                    </w:pPr>
                    <w:r>
                      <w:rPr>
                        <w:bCs/>
                        <w:sz w:val="20"/>
                      </w:rPr>
                      <w:t>4.11.7.</w:t>
                    </w:r>
                  </w:p>
                </w:tc>
                <w:tc>
                  <w:tcPr>
                    <w:tcW w:w="7762" w:type="dxa"/>
                    <w:tcBorders>
                      <w:top w:val="nil"/>
                      <w:left w:val="single" w:sz="4" w:space="0" w:color="auto"/>
                      <w:bottom w:val="single" w:sz="4" w:space="0" w:color="auto"/>
                    </w:tcBorders>
                    <w:shd w:val="clear" w:color="auto" w:fill="auto"/>
                  </w:tcPr>
                  <w:p>
                    <w:pPr>
                      <w:rPr>
                        <w:bCs/>
                        <w:sz w:val="20"/>
                      </w:rPr>
                    </w:pPr>
                    <w:r>
                      <w:rPr>
                        <w:bCs/>
                        <w:sz w:val="20"/>
                      </w:rPr>
                      <w:t>Pacientų gydymas, skiriant medikamentinį gydymą.</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4.12.</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TEIKIAMOS PROCEDŪRŲ KABINETE</w:t>
                    </w:r>
                  </w:p>
                </w:tc>
              </w:tr>
              <w:tr>
                <w:tblPrEx>
                  <w:tblBorders>
                    <w:insideH w:val="none" w:sz="0" w:space="0" w:color="auto"/>
                    <w:insideV w:val="none" w:sz="0" w:space="0" w:color="auto"/>
                  </w:tblBorders>
                </w:tblPrEx>
                <w:trPr>
                  <w:trHeight w:val="205"/>
                </w:trPr>
                <w:tc>
                  <w:tcPr>
                    <w:tcW w:w="1308" w:type="dxa"/>
                    <w:tcBorders>
                      <w:right w:val="single" w:sz="4" w:space="0" w:color="auto"/>
                    </w:tcBorders>
                    <w:shd w:val="clear" w:color="auto" w:fill="auto"/>
                  </w:tcPr>
                  <w:p>
                    <w:pPr>
                      <w:rPr>
                        <w:bCs/>
                        <w:sz w:val="20"/>
                      </w:rPr>
                    </w:pPr>
                    <w:r>
                      <w:rPr>
                        <w:bCs/>
                        <w:sz w:val="20"/>
                      </w:rPr>
                      <w:t>4.12.1.</w:t>
                    </w:r>
                  </w:p>
                </w:tc>
                <w:tc>
                  <w:tcPr>
                    <w:tcW w:w="7762" w:type="dxa"/>
                    <w:tcBorders>
                      <w:top w:val="single" w:sz="4" w:space="0" w:color="auto"/>
                      <w:left w:val="single" w:sz="4" w:space="0" w:color="auto"/>
                      <w:bottom w:val="nil"/>
                    </w:tcBorders>
                    <w:shd w:val="clear" w:color="auto" w:fill="auto"/>
                  </w:tcPr>
                  <w:p>
                    <w:pPr>
                      <w:rPr>
                        <w:bCs/>
                        <w:sz w:val="20"/>
                      </w:rPr>
                    </w:pPr>
                    <w:r>
                      <w:rPr>
                        <w:bCs/>
                        <w:sz w:val="20"/>
                      </w:rPr>
                      <w:t>Injekcijos:</w:t>
                    </w:r>
                  </w:p>
                </w:tc>
              </w:tr>
              <w:tr>
                <w:tblPrEx>
                  <w:tblBorders>
                    <w:insideH w:val="none" w:sz="0" w:space="0" w:color="auto"/>
                    <w:insideV w:val="none" w:sz="0" w:space="0" w:color="auto"/>
                  </w:tblBorders>
                </w:tblPrEx>
                <w:trPr>
                  <w:trHeight w:val="132"/>
                </w:trPr>
                <w:tc>
                  <w:tcPr>
                    <w:tcW w:w="1308" w:type="dxa"/>
                    <w:tcBorders>
                      <w:right w:val="single" w:sz="4" w:space="0" w:color="auto"/>
                    </w:tcBorders>
                    <w:shd w:val="clear" w:color="auto" w:fill="auto"/>
                  </w:tcPr>
                  <w:p>
                    <w:pPr>
                      <w:rPr>
                        <w:bCs/>
                        <w:sz w:val="20"/>
                      </w:rPr>
                    </w:pPr>
                    <w:r>
                      <w:rPr>
                        <w:bCs/>
                        <w:sz w:val="20"/>
                      </w:rPr>
                      <w:t>4.12.1.1.</w:t>
                    </w:r>
                  </w:p>
                </w:tc>
                <w:tc>
                  <w:tcPr>
                    <w:tcW w:w="7762" w:type="dxa"/>
                    <w:tcBorders>
                      <w:top w:val="nil"/>
                      <w:left w:val="single" w:sz="4" w:space="0" w:color="auto"/>
                      <w:bottom w:val="nil"/>
                    </w:tcBorders>
                    <w:shd w:val="clear" w:color="auto" w:fill="auto"/>
                  </w:tcPr>
                  <w:p>
                    <w:pPr>
                      <w:rPr>
                        <w:bCs/>
                        <w:sz w:val="20"/>
                      </w:rPr>
                    </w:pPr>
                    <w:r>
                      <w:rPr>
                        <w:bCs/>
                        <w:sz w:val="20"/>
                      </w:rPr>
                      <w:t>į paodį;</w:t>
                    </w:r>
                  </w:p>
                </w:tc>
              </w:tr>
              <w:tr>
                <w:tblPrEx>
                  <w:tblBorders>
                    <w:insideH w:val="none" w:sz="0" w:space="0" w:color="auto"/>
                    <w:insideV w:val="none" w:sz="0" w:space="0" w:color="auto"/>
                  </w:tblBorders>
                </w:tblPrEx>
                <w:trPr>
                  <w:trHeight w:val="253"/>
                </w:trPr>
                <w:tc>
                  <w:tcPr>
                    <w:tcW w:w="1308" w:type="dxa"/>
                    <w:tcBorders>
                      <w:right w:val="single" w:sz="4" w:space="0" w:color="auto"/>
                    </w:tcBorders>
                    <w:shd w:val="clear" w:color="auto" w:fill="auto"/>
                  </w:tcPr>
                  <w:p>
                    <w:pPr>
                      <w:rPr>
                        <w:bCs/>
                        <w:sz w:val="20"/>
                      </w:rPr>
                    </w:pPr>
                    <w:r>
                      <w:rPr>
                        <w:bCs/>
                        <w:sz w:val="20"/>
                      </w:rPr>
                      <w:t>4.12.1.2.</w:t>
                    </w:r>
                  </w:p>
                </w:tc>
                <w:tc>
                  <w:tcPr>
                    <w:tcW w:w="7762" w:type="dxa"/>
                    <w:tcBorders>
                      <w:top w:val="nil"/>
                      <w:left w:val="single" w:sz="4" w:space="0" w:color="auto"/>
                      <w:bottom w:val="nil"/>
                    </w:tcBorders>
                    <w:shd w:val="clear" w:color="auto" w:fill="auto"/>
                  </w:tcPr>
                  <w:p>
                    <w:pPr>
                      <w:rPr>
                        <w:bCs/>
                        <w:sz w:val="20"/>
                      </w:rPr>
                    </w:pPr>
                    <w:r>
                      <w:rPr>
                        <w:bCs/>
                        <w:sz w:val="20"/>
                      </w:rPr>
                      <w:t>į raumenis;</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rPr>
                    </w:pPr>
                    <w:r>
                      <w:rPr>
                        <w:bCs/>
                        <w:sz w:val="20"/>
                      </w:rPr>
                      <w:t>4.12.1.3.</w:t>
                    </w:r>
                  </w:p>
                </w:tc>
                <w:tc>
                  <w:tcPr>
                    <w:tcW w:w="7762" w:type="dxa"/>
                    <w:tcBorders>
                      <w:top w:val="nil"/>
                      <w:left w:val="single" w:sz="4" w:space="0" w:color="auto"/>
                      <w:bottom w:val="nil"/>
                    </w:tcBorders>
                    <w:shd w:val="clear" w:color="auto" w:fill="auto"/>
                  </w:tcPr>
                  <w:p>
                    <w:pPr>
                      <w:rPr>
                        <w:bCs/>
                        <w:sz w:val="20"/>
                      </w:rPr>
                    </w:pPr>
                    <w:r>
                      <w:rPr>
                        <w:bCs/>
                        <w:sz w:val="20"/>
                      </w:rPr>
                      <w:t>į veną.</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4.12.2.</w:t>
                    </w:r>
                  </w:p>
                </w:tc>
                <w:tc>
                  <w:tcPr>
                    <w:tcW w:w="7762" w:type="dxa"/>
                    <w:tcBorders>
                      <w:top w:val="nil"/>
                      <w:left w:val="single" w:sz="4" w:space="0" w:color="auto"/>
                      <w:bottom w:val="nil"/>
                    </w:tcBorders>
                    <w:shd w:val="clear" w:color="auto" w:fill="auto"/>
                  </w:tcPr>
                  <w:p>
                    <w:pPr>
                      <w:rPr>
                        <w:bCs/>
                        <w:sz w:val="20"/>
                      </w:rPr>
                    </w:pPr>
                    <w:r>
                      <w:rPr>
                        <w:bCs/>
                        <w:sz w:val="20"/>
                      </w:rPr>
                      <w:t>Lašinės infuzijos.</w:t>
                    </w:r>
                  </w:p>
                </w:tc>
              </w:tr>
              <w:tr>
                <w:tblPrEx>
                  <w:tblBorders>
                    <w:insideH w:val="none" w:sz="0" w:space="0" w:color="auto"/>
                    <w:insideV w:val="none" w:sz="0" w:space="0" w:color="auto"/>
                  </w:tblBorders>
                </w:tblPrEx>
                <w:trPr>
                  <w:trHeight w:val="346"/>
                </w:trPr>
                <w:tc>
                  <w:tcPr>
                    <w:tcW w:w="1308" w:type="dxa"/>
                    <w:tcBorders>
                      <w:right w:val="single" w:sz="4" w:space="0" w:color="auto"/>
                    </w:tcBorders>
                    <w:shd w:val="clear" w:color="auto" w:fill="auto"/>
                  </w:tcPr>
                  <w:p>
                    <w:pPr>
                      <w:rPr>
                        <w:bCs/>
                        <w:sz w:val="20"/>
                      </w:rPr>
                    </w:pPr>
                    <w:r>
                      <w:rPr>
                        <w:bCs/>
                        <w:sz w:val="20"/>
                      </w:rPr>
                      <w:t>4.12.3.</w:t>
                    </w:r>
                  </w:p>
                </w:tc>
                <w:tc>
                  <w:tcPr>
                    <w:tcW w:w="7762" w:type="dxa"/>
                    <w:tcBorders>
                      <w:top w:val="nil"/>
                      <w:left w:val="single" w:sz="4" w:space="0" w:color="auto"/>
                      <w:bottom w:val="nil"/>
                    </w:tcBorders>
                    <w:shd w:val="clear" w:color="auto" w:fill="auto"/>
                  </w:tcPr>
                  <w:p>
                    <w:pPr>
                      <w:rPr>
                        <w:bCs/>
                        <w:sz w:val="20"/>
                      </w:rPr>
                    </w:pPr>
                    <w:r>
                      <w:rPr>
                        <w:bCs/>
                        <w:sz w:val="20"/>
                      </w:rPr>
                      <w:t>Skiepijimo procedūros.</w:t>
                    </w:r>
                  </w:p>
                </w:tc>
              </w:tr>
              <w:tr>
                <w:tblPrEx>
                  <w:tblBorders>
                    <w:insideH w:val="none" w:sz="0" w:space="0" w:color="auto"/>
                    <w:insideV w:val="none" w:sz="0" w:space="0" w:color="auto"/>
                  </w:tblBorders>
                </w:tblPrEx>
                <w:trPr>
                  <w:trHeight w:val="235"/>
                </w:trPr>
                <w:tc>
                  <w:tcPr>
                    <w:tcW w:w="1308" w:type="dxa"/>
                    <w:tcBorders>
                      <w:right w:val="single" w:sz="4" w:space="0" w:color="auto"/>
                    </w:tcBorders>
                    <w:shd w:val="clear" w:color="auto" w:fill="auto"/>
                  </w:tcPr>
                  <w:p>
                    <w:pPr>
                      <w:rPr>
                        <w:bCs/>
                        <w:sz w:val="20"/>
                      </w:rPr>
                    </w:pPr>
                    <w:r>
                      <w:rPr>
                        <w:bCs/>
                        <w:sz w:val="20"/>
                      </w:rPr>
                      <w:t>4.12.4.</w:t>
                    </w:r>
                  </w:p>
                </w:tc>
                <w:tc>
                  <w:tcPr>
                    <w:tcW w:w="7762" w:type="dxa"/>
                    <w:tcBorders>
                      <w:top w:val="nil"/>
                      <w:left w:val="single" w:sz="4" w:space="0" w:color="auto"/>
                      <w:bottom w:val="nil"/>
                    </w:tcBorders>
                    <w:shd w:val="clear" w:color="auto" w:fill="auto"/>
                  </w:tcPr>
                  <w:p>
                    <w:pPr>
                      <w:rPr>
                        <w:bCs/>
                        <w:sz w:val="20"/>
                      </w:rPr>
                    </w:pPr>
                    <w:r>
                      <w:rPr>
                        <w:bCs/>
                        <w:sz w:val="20"/>
                      </w:rPr>
                      <w:t>Kraujo paėmimas: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4.12.4.1.</w:t>
                    </w:r>
                  </w:p>
                </w:tc>
                <w:tc>
                  <w:tcPr>
                    <w:tcW w:w="7762" w:type="dxa"/>
                    <w:tcBorders>
                      <w:top w:val="nil"/>
                      <w:left w:val="single" w:sz="4" w:space="0" w:color="auto"/>
                      <w:bottom w:val="nil"/>
                    </w:tcBorders>
                    <w:shd w:val="clear" w:color="auto" w:fill="auto"/>
                  </w:tcPr>
                  <w:p>
                    <w:pPr>
                      <w:rPr>
                        <w:bCs/>
                        <w:sz w:val="20"/>
                      </w:rPr>
                    </w:pPr>
                    <w:r>
                      <w:rPr>
                        <w:bCs/>
                        <w:sz w:val="20"/>
                      </w:rPr>
                      <w:t>biocheminiams tyrimams;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4.12.4.2.</w:t>
                    </w:r>
                  </w:p>
                </w:tc>
                <w:tc>
                  <w:tcPr>
                    <w:tcW w:w="7762" w:type="dxa"/>
                    <w:tcBorders>
                      <w:top w:val="nil"/>
                      <w:left w:val="single" w:sz="4" w:space="0" w:color="auto"/>
                      <w:bottom w:val="nil"/>
                    </w:tcBorders>
                    <w:shd w:val="clear" w:color="auto" w:fill="auto"/>
                  </w:tcPr>
                  <w:p>
                    <w:pPr>
                      <w:rPr>
                        <w:bCs/>
                        <w:sz w:val="20"/>
                      </w:rPr>
                    </w:pPr>
                    <w:r>
                      <w:rPr>
                        <w:bCs/>
                        <w:sz w:val="20"/>
                      </w:rPr>
                      <w:t>kraujo grupei nustatyti;</w:t>
                    </w:r>
                  </w:p>
                </w:tc>
              </w:tr>
              <w:tr>
                <w:tblPrEx>
                  <w:tblBorders>
                    <w:insideH w:val="none" w:sz="0" w:space="0" w:color="auto"/>
                    <w:insideV w:val="none" w:sz="0" w:space="0" w:color="auto"/>
                  </w:tblBorders>
                </w:tblPrEx>
                <w:trPr>
                  <w:trHeight w:val="216"/>
                </w:trPr>
                <w:tc>
                  <w:tcPr>
                    <w:tcW w:w="1308" w:type="dxa"/>
                    <w:tcBorders>
                      <w:right w:val="single" w:sz="4" w:space="0" w:color="auto"/>
                    </w:tcBorders>
                    <w:shd w:val="clear" w:color="auto" w:fill="auto"/>
                  </w:tcPr>
                  <w:p>
                    <w:pPr>
                      <w:rPr>
                        <w:bCs/>
                        <w:sz w:val="20"/>
                      </w:rPr>
                    </w:pPr>
                    <w:r>
                      <w:rPr>
                        <w:bCs/>
                        <w:sz w:val="20"/>
                      </w:rPr>
                      <w:t>4.12.4.3.</w:t>
                    </w:r>
                  </w:p>
                </w:tc>
                <w:tc>
                  <w:tcPr>
                    <w:tcW w:w="7762" w:type="dxa"/>
                    <w:tcBorders>
                      <w:top w:val="nil"/>
                      <w:left w:val="single" w:sz="4" w:space="0" w:color="auto"/>
                      <w:bottom w:val="single" w:sz="4" w:space="0" w:color="auto"/>
                    </w:tcBorders>
                    <w:shd w:val="clear" w:color="auto" w:fill="auto"/>
                  </w:tcPr>
                  <w:p>
                    <w:pPr>
                      <w:rPr>
                        <w:rFonts w:ascii="TimesLT" w:hAnsi="TimesLT"/>
                        <w:bCs/>
                        <w:sz w:val="20"/>
                      </w:rPr>
                    </w:pPr>
                    <w:r>
                      <w:rPr>
                        <w:rFonts w:ascii="TimesLT" w:hAnsi="TimesLT"/>
                        <w:bCs/>
                        <w:sz w:val="20"/>
                      </w:rPr>
                      <w:t>genetiniams tyrimams.</w:t>
                    </w:r>
                  </w:p>
                </w:tc>
              </w:tr>
            </w:tbl>
            <w:p>
              <w:pPr>
                <w:widowControl w:val="0"/>
                <w:suppressAutoHyphens/>
                <w:ind w:firstLine="567"/>
                <w:jc w:val="both"/>
                <w:rPr>
                  <w:color w:val="000000"/>
                </w:rPr>
              </w:pPr>
            </w:p>
          </w:sdtContent>
        </w:sdt>
        <w:sdt>
          <w:sdtPr>
            <w:alias w:val="skyrius"/>
            <w:tag w:val="part_78a2bf2665504a518a455938e84666a1"/>
            <w:lock w:val="sdtLocked"/>
            <w:richText/>
          </w:sdtPr>
          <w:sdtContent>
            <w:p>
              <w:pPr>
                <w:keepLines/>
                <w:widowControl w:val="0"/>
                <w:suppressAutoHyphens/>
                <w:jc w:val="center"/>
                <w:rPr>
                  <w:b/>
                  <w:bCs/>
                  <w:caps/>
                  <w:color w:val="000000"/>
                </w:rPr>
              </w:pPr>
              <w:sdt>
                <w:sdtPr>
                  <w:alias w:val="Numeris"/>
                  <w:tag w:val="nr_78a2bf2665504a518a455938e84666a1"/>
                  <w:lock w:val="sdtLocked"/>
                  <w:richText/>
                </w:sdtPr>
                <w:sdtContent>
                  <w:r>
                    <w:rPr>
                      <w:b/>
                      <w:bCs/>
                      <w:caps/>
                      <w:color w:val="000000"/>
                    </w:rPr>
                    <w:t>V</w:t>
                  </w:r>
                </w:sdtContent>
              </w:sdt>
              <w:r>
                <w:rPr>
                  <w:b/>
                  <w:bCs/>
                  <w:caps/>
                  <w:color w:val="000000"/>
                </w:rPr>
                <w:t xml:space="preserve">. </w:t>
              </w:r>
              <w:sdt>
                <w:sdtPr>
                  <w:alias w:val="Pavadinimas"/>
                  <w:tag w:val="title_78a2bf2665504a518a455938e84666a1"/>
                  <w:lock w:val="sdtLocked"/>
                  <w:richText/>
                </w:sdtPr>
                <w:sdtContent>
                  <w:r>
                    <w:rPr>
                      <w:b/>
                      <w:bCs/>
                      <w:caps/>
                      <w:color w:val="000000"/>
                    </w:rPr>
                    <w:t>MEDICINOS PAGALBOS TEIKIMAS SPORTO RENGINIŲ, ĮSKAITANT MOKOMĄSIAS TRENIRUOČIŲ STOVYKLAS, METU</w:t>
                  </w:r>
                </w:sdtContent>
              </w:sdt>
            </w:p>
            <w:p>
              <w:pPr>
                <w:widowControl w:val="0"/>
                <w:suppressAutoHyphens/>
                <w:ind w:firstLine="567"/>
                <w:jc w:val="both"/>
                <w:rPr>
                  <w:color w:val="000000"/>
                </w:rPr>
              </w:pPr>
            </w:p>
            <w:sdt>
              <w:sdtPr>
                <w:alias w:val="5 pr. 5.1 p."/>
                <w:tag w:val="part_bf0d5e6c4f6a4363af456d4f81d86b4d"/>
                <w:lock w:val="sdtLocked"/>
                <w:richText/>
              </w:sdtPr>
              <w:sdtContent>
                <w:p>
                  <w:pPr>
                    <w:widowControl w:val="0"/>
                    <w:suppressAutoHyphens/>
                    <w:ind w:firstLine="567"/>
                    <w:jc w:val="both"/>
                    <w:rPr>
                      <w:color w:val="000000"/>
                    </w:rPr>
                  </w:pPr>
                  <w:sdt>
                    <w:sdtPr>
                      <w:alias w:val="Numeris"/>
                      <w:tag w:val="nr_bf0d5e6c4f6a4363af456d4f81d86b4d"/>
                      <w:lock w:val="sdtLocked"/>
                      <w:richText/>
                    </w:sdtPr>
                    <w:sdtContent>
                      <w:r>
                        <w:rPr>
                          <w:color w:val="000000"/>
                        </w:rPr>
                        <w:t>5.1</w:t>
                      </w:r>
                    </w:sdtContent>
                  </w:sdt>
                  <w:r>
                    <w:rPr>
                      <w:color w:val="000000"/>
                    </w:rPr>
                    <w:t>. Sportininkas, dalyvaujantis sporto renginiuose (sporto varžybose arba treniruočių stovyklose), privalo būti pasitikrinęs sveikatą ir turėti gydytojo leidimą (forma Nr. 068/a), pasirašytą sporto medicinos gydytojo, o kur nėra – pirminės sveikatos priežiūros įstaigos profilaktinius sveikatos tikrinimus atliekančio šeimos medicinos paslaugas teikiančio gydytojo, patvirtintą asmens sveikatos priežiūros įstaigos spaudu.</w:t>
                  </w:r>
                </w:p>
              </w:sdtContent>
            </w:sdt>
            <w:sdt>
              <w:sdtPr>
                <w:alias w:val="5 pr. 5.2 p."/>
                <w:tag w:val="part_5038a3c6d1324dc7af592ffe02ad3a2a"/>
                <w:lock w:val="sdtLocked"/>
                <w:richText/>
              </w:sdtPr>
              <w:sdtContent>
                <w:p>
                  <w:pPr>
                    <w:widowControl w:val="0"/>
                    <w:suppressAutoHyphens/>
                    <w:ind w:firstLine="567"/>
                    <w:jc w:val="both"/>
                    <w:rPr>
                      <w:color w:val="000000"/>
                    </w:rPr>
                  </w:pPr>
                  <w:sdt>
                    <w:sdtPr>
                      <w:alias w:val="Numeris"/>
                      <w:tag w:val="nr_5038a3c6d1324dc7af592ffe02ad3a2a"/>
                      <w:lock w:val="sdtLocked"/>
                      <w:richText/>
                    </w:sdtPr>
                    <w:sdtContent>
                      <w:r>
                        <w:rPr>
                          <w:color w:val="000000"/>
                        </w:rPr>
                        <w:t>5.2</w:t>
                      </w:r>
                    </w:sdtContent>
                  </w:sdt>
                  <w:r>
                    <w:rPr>
                      <w:color w:val="000000"/>
                    </w:rPr>
                    <w:t>. Sporto renginių organizatoriai (vyriausiasis teisėjas, vyriausiasis treneris, stovyklos vadovas) atsakingi, kad visos sporto renginiuose dalyvaujančios komandos ar atskiri sportininkai turėtų teisingai įformintas sporto varžybų paraiškas arba gydytojo išduotus leidimus (forma Nr. 068/a).</w:t>
                  </w:r>
                </w:p>
              </w:sdtContent>
            </w:sdt>
            <w:sdt>
              <w:sdtPr>
                <w:alias w:val="5 pr. 5.3 p."/>
                <w:tag w:val="part_82778d9321414b7b8c139401a29ac851"/>
                <w:lock w:val="sdtLocked"/>
                <w:richText/>
              </w:sdtPr>
              <w:sdtContent>
                <w:p>
                  <w:pPr>
                    <w:widowControl w:val="0"/>
                    <w:suppressAutoHyphens/>
                    <w:ind w:firstLine="567"/>
                    <w:jc w:val="both"/>
                    <w:rPr>
                      <w:color w:val="000000"/>
                    </w:rPr>
                  </w:pPr>
                  <w:sdt>
                    <w:sdtPr>
                      <w:alias w:val="Numeris"/>
                      <w:tag w:val="nr_82778d9321414b7b8c139401a29ac851"/>
                      <w:lock w:val="sdtLocked"/>
                      <w:richText/>
                    </w:sdtPr>
                    <w:sdtContent>
                      <w:r>
                        <w:rPr>
                          <w:color w:val="000000"/>
                        </w:rPr>
                        <w:t>5.3</w:t>
                      </w:r>
                    </w:sdtContent>
                  </w:sdt>
                  <w:r>
                    <w:rPr>
                      <w:color w:val="000000"/>
                    </w:rPr>
                    <w:t>. Sporto varžybose dalyvaujančių asmenų grupės leidimas dalyvauti sporto renginyje gali būti įformintas patvirtinta sporto varžybų paraiška. Paraiškoje privalo būti nurodyta jos įforminimo data. Paraišką pasirašo ir už teisingą jos įforminimą atsako sporto medicinos gydytojas, o kur nėra – pirminės sveikatos priežiūros įstaigos profilaktinius sveikatos tikrinimus atliekantis šeimos medicinos paslaugas teikiantis gydytojas. Paraiška patvirtinama asmens sveikatos priežiūros įstaigos spaudu. Paraiška galioja ne ilgiau kaip 6 mėnesius.</w:t>
                  </w:r>
                </w:p>
              </w:sdtContent>
            </w:sdt>
            <w:sdt>
              <w:sdtPr>
                <w:alias w:val="5 pr. 5.4 p."/>
                <w:tag w:val="part_97ed670279e74658b3e33b43196d66eb"/>
                <w:lock w:val="sdtLocked"/>
                <w:richText/>
              </w:sdtPr>
              <w:sdtContent>
                <w:p>
                  <w:pPr>
                    <w:widowControl w:val="0"/>
                    <w:suppressAutoHyphens/>
                    <w:ind w:firstLine="567"/>
                    <w:jc w:val="both"/>
                    <w:rPr>
                      <w:color w:val="000000"/>
                    </w:rPr>
                  </w:pPr>
                  <w:sdt>
                    <w:sdtPr>
                      <w:alias w:val="Numeris"/>
                      <w:tag w:val="nr_97ed670279e74658b3e33b43196d66eb"/>
                      <w:lock w:val="sdtLocked"/>
                      <w:richText/>
                    </w:sdtPr>
                    <w:sdtContent>
                      <w:r>
                        <w:rPr>
                          <w:color w:val="000000"/>
                        </w:rPr>
                        <w:t>5.4</w:t>
                      </w:r>
                    </w:sdtContent>
                  </w:sdt>
                  <w:r>
                    <w:rPr>
                      <w:color w:val="000000"/>
                    </w:rPr>
                    <w:t>. Sporto renginių organizatoriai sporto renginių metu privalo:</w:t>
                  </w:r>
                </w:p>
                <w:sdt>
                  <w:sdtPr>
                    <w:alias w:val="5 pr. 5.4.1 p."/>
                    <w:tag w:val="part_6db25add32c34f10b31122ccaada9c2b"/>
                    <w:lock w:val="sdtLocked"/>
                    <w:richText/>
                  </w:sdtPr>
                  <w:sdtContent>
                    <w:p>
                      <w:pPr>
                        <w:widowControl w:val="0"/>
                        <w:suppressAutoHyphens/>
                        <w:ind w:firstLine="567"/>
                        <w:jc w:val="both"/>
                        <w:rPr>
                          <w:color w:val="000000"/>
                        </w:rPr>
                      </w:pPr>
                      <w:sdt>
                        <w:sdtPr>
                          <w:alias w:val="Numeris"/>
                          <w:tag w:val="nr_6db25add32c34f10b31122ccaada9c2b"/>
                          <w:lock w:val="sdtLocked"/>
                          <w:richText/>
                        </w:sdtPr>
                        <w:sdtContent>
                          <w:r>
                            <w:rPr>
                              <w:color w:val="000000"/>
                            </w:rPr>
                            <w:t>5.4.1</w:t>
                          </w:r>
                        </w:sdtContent>
                      </w:sdt>
                      <w:r>
                        <w:rPr>
                          <w:color w:val="000000"/>
                        </w:rPr>
                        <w:t>. užtikrinti reikiamą medicinos personalo skaičių, atsižvelgdami į sporto šaką, varžybų arba treniruočių stovyklos lygį ir dalyvių skaičių;</w:t>
                      </w:r>
                    </w:p>
                  </w:sdtContent>
                </w:sdt>
                <w:sdt>
                  <w:sdtPr>
                    <w:alias w:val="5 pr. 5.4.2 p."/>
                    <w:tag w:val="part_ba237b23359e405daacaff5284969a84"/>
                    <w:lock w:val="sdtLocked"/>
                    <w:richText/>
                  </w:sdtPr>
                  <w:sdtContent>
                    <w:p>
                      <w:pPr>
                        <w:widowControl w:val="0"/>
                        <w:suppressAutoHyphens/>
                        <w:ind w:firstLine="567"/>
                        <w:jc w:val="both"/>
                        <w:rPr>
                          <w:color w:val="000000"/>
                        </w:rPr>
                      </w:pPr>
                      <w:sdt>
                        <w:sdtPr>
                          <w:alias w:val="Numeris"/>
                          <w:tag w:val="nr_ba237b23359e405daacaff5284969a84"/>
                          <w:lock w:val="sdtLocked"/>
                          <w:richText/>
                        </w:sdtPr>
                        <w:sdtContent>
                          <w:r>
                            <w:rPr>
                              <w:color w:val="000000"/>
                            </w:rPr>
                            <w:t>5.4.2</w:t>
                          </w:r>
                        </w:sdtContent>
                      </w:sdt>
                      <w:r>
                        <w:rPr>
                          <w:color w:val="000000"/>
                        </w:rPr>
                        <w:t>. ne vėliau kaip prieš 14 dienų prieš sporto varžybų pradžią pateikti paraišką asmens sveikatos priežiūros įstaigai dėl medicinos personalo ar medicinos pagalbos automobilio, nurodydami varžybų vietą, laiką, vyriausiąjį teisėją ar atsakingą už varžybų organizavimą sporto darbuotoją, bei numatyti lėšų, reikalingų medikamentams įsigyti ir medicinos personalui už paslaugas apmokėti, kiekį;</w:t>
                      </w:r>
                    </w:p>
                  </w:sdtContent>
                </w:sdt>
                <w:sdt>
                  <w:sdtPr>
                    <w:alias w:val="5 pr. 5.4.3 p."/>
                    <w:tag w:val="part_4dd4f03fa2ae41b0bd787d4a39cb2bb8"/>
                    <w:lock w:val="sdtLocked"/>
                    <w:richText/>
                  </w:sdtPr>
                  <w:sdtContent>
                    <w:p>
                      <w:pPr>
                        <w:widowControl w:val="0"/>
                        <w:suppressAutoHyphens/>
                        <w:ind w:firstLine="567"/>
                        <w:jc w:val="both"/>
                        <w:rPr>
                          <w:color w:val="000000"/>
                        </w:rPr>
                      </w:pPr>
                      <w:sdt>
                        <w:sdtPr>
                          <w:alias w:val="Numeris"/>
                          <w:tag w:val="nr_4dd4f03fa2ae41b0bd787d4a39cb2bb8"/>
                          <w:lock w:val="sdtLocked"/>
                          <w:richText/>
                        </w:sdtPr>
                        <w:sdtContent>
                          <w:r>
                            <w:rPr>
                              <w:color w:val="000000"/>
                            </w:rPr>
                            <w:t>5.4.3</w:t>
                          </w:r>
                        </w:sdtContent>
                      </w:sdt>
                      <w:r>
                        <w:rPr>
                          <w:color w:val="000000"/>
                        </w:rPr>
                        <w:t>. sudaryti medicinos personalui tinkamas darbo sąlygas;</w:t>
                      </w:r>
                    </w:p>
                  </w:sdtContent>
                </w:sdt>
                <w:sdt>
                  <w:sdtPr>
                    <w:alias w:val="5 pr. 5.4.4 p."/>
                    <w:tag w:val="part_d34997ee9ba84163a66c291a83859638"/>
                    <w:lock w:val="sdtLocked"/>
                    <w:richText/>
                  </w:sdtPr>
                  <w:sdtContent>
                    <w:p>
                      <w:pPr>
                        <w:widowControl w:val="0"/>
                        <w:suppressAutoHyphens/>
                        <w:ind w:firstLine="567"/>
                        <w:jc w:val="both"/>
                        <w:rPr>
                          <w:color w:val="000000"/>
                          <w:spacing w:val="-2"/>
                        </w:rPr>
                      </w:pPr>
                      <w:sdt>
                        <w:sdtPr>
                          <w:alias w:val="Numeris"/>
                          <w:tag w:val="nr_d34997ee9ba84163a66c291a83859638"/>
                          <w:lock w:val="sdtLocked"/>
                          <w:richText/>
                        </w:sdtPr>
                        <w:sdtContent>
                          <w:r>
                            <w:rPr>
                              <w:color w:val="000000"/>
                              <w:spacing w:val="-2"/>
                            </w:rPr>
                            <w:t>5.4.4</w:t>
                          </w:r>
                        </w:sdtContent>
                      </w:sdt>
                      <w:r>
                        <w:rPr>
                          <w:color w:val="000000"/>
                          <w:spacing w:val="-2"/>
                        </w:rPr>
                        <w:t>. užtikrinti sužeisto, susirgusio sportininko, sporto renginio organizatorių ir žiūrovų transportavimą į gydymo įstaigą;</w:t>
                      </w:r>
                    </w:p>
                  </w:sdtContent>
                </w:sdt>
                <w:sdt>
                  <w:sdtPr>
                    <w:alias w:val="5 pr. 5.4.5 p."/>
                    <w:tag w:val="part_2d9c57ea409d437da2cf3cbba20f94ac"/>
                    <w:lock w:val="sdtLocked"/>
                    <w:richText/>
                  </w:sdtPr>
                  <w:sdtContent>
                    <w:p>
                      <w:pPr>
                        <w:widowControl w:val="0"/>
                        <w:suppressAutoHyphens/>
                        <w:ind w:firstLine="567"/>
                        <w:jc w:val="both"/>
                        <w:rPr>
                          <w:color w:val="000000"/>
                        </w:rPr>
                      </w:pPr>
                      <w:sdt>
                        <w:sdtPr>
                          <w:alias w:val="Numeris"/>
                          <w:tag w:val="nr_2d9c57ea409d437da2cf3cbba20f94ac"/>
                          <w:lock w:val="sdtLocked"/>
                          <w:richText/>
                        </w:sdtPr>
                        <w:sdtContent>
                          <w:r>
                            <w:rPr>
                              <w:color w:val="000000"/>
                            </w:rPr>
                            <w:t>5.4.5</w:t>
                          </w:r>
                        </w:sdtContent>
                      </w:sdt>
                      <w:r>
                        <w:rPr>
                          <w:color w:val="000000"/>
                        </w:rPr>
                        <w:t>. laiku atsiskaityti už suteiktas medicinos paslaugas sporto varžybų metu;</w:t>
                      </w:r>
                    </w:p>
                  </w:sdtContent>
                </w:sdt>
                <w:sdt>
                  <w:sdtPr>
                    <w:alias w:val="5 pr. 5.4.6 p."/>
                    <w:tag w:val="part_6f7e9fec47894b8ab9de696b5775c474"/>
                    <w:lock w:val="sdtLocked"/>
                    <w:richText/>
                  </w:sdtPr>
                  <w:sdtContent>
                    <w:p>
                      <w:pPr>
                        <w:widowControl w:val="0"/>
                        <w:suppressAutoHyphens/>
                        <w:ind w:firstLine="567"/>
                        <w:jc w:val="both"/>
                        <w:rPr>
                          <w:color w:val="000000"/>
                          <w:spacing w:val="-2"/>
                        </w:rPr>
                      </w:pPr>
                      <w:sdt>
                        <w:sdtPr>
                          <w:alias w:val="Numeris"/>
                          <w:tag w:val="nr_6f7e9fec47894b8ab9de696b5775c474"/>
                          <w:lock w:val="sdtLocked"/>
                          <w:richText/>
                        </w:sdtPr>
                        <w:sdtContent>
                          <w:r>
                            <w:rPr>
                              <w:color w:val="000000"/>
                              <w:spacing w:val="-2"/>
                            </w:rPr>
                            <w:t>5.4.6</w:t>
                          </w:r>
                        </w:sdtContent>
                      </w:sdt>
                      <w:r>
                        <w:rPr>
                          <w:color w:val="000000"/>
                          <w:spacing w:val="-2"/>
                        </w:rPr>
                        <w:t>. apmokėti įstaigai už sunaudotą tvarsliavą, įtvarus, medikamentus sporto varžybų metu, teikiant medicinos pagalbą.</w:t>
                      </w:r>
                    </w:p>
                  </w:sdtContent>
                </w:sdt>
              </w:sdtContent>
            </w:sdt>
            <w:sdt>
              <w:sdtPr>
                <w:alias w:val="5 pr. 5.5 p."/>
                <w:tag w:val="part_a26e03a627c64256a577a53e23f21174"/>
                <w:lock w:val="sdtLocked"/>
                <w:richText/>
              </w:sdtPr>
              <w:sdtContent>
                <w:p>
                  <w:pPr>
                    <w:widowControl w:val="0"/>
                    <w:suppressAutoHyphens/>
                    <w:ind w:firstLine="567"/>
                    <w:jc w:val="both"/>
                    <w:rPr>
                      <w:color w:val="000000"/>
                    </w:rPr>
                  </w:pPr>
                  <w:sdt>
                    <w:sdtPr>
                      <w:alias w:val="Numeris"/>
                      <w:tag w:val="nr_a26e03a627c64256a577a53e23f21174"/>
                      <w:lock w:val="sdtLocked"/>
                      <w:richText/>
                    </w:sdtPr>
                    <w:sdtContent>
                      <w:r>
                        <w:rPr>
                          <w:color w:val="000000"/>
                        </w:rPr>
                        <w:t>5.5</w:t>
                      </w:r>
                    </w:sdtContent>
                  </w:sdt>
                  <w:r>
                    <w:rPr>
                      <w:color w:val="000000"/>
                    </w:rPr>
                    <w:t>. Sporto renginius aptarnaujantis medicinos personalas privalo:</w:t>
                  </w:r>
                </w:p>
                <w:sdt>
                  <w:sdtPr>
                    <w:alias w:val="5 pr. 5.5.1 p."/>
                    <w:tag w:val="part_c8ceef2e9d824545987237f6fb9c383c"/>
                    <w:lock w:val="sdtLocked"/>
                    <w:richText/>
                  </w:sdtPr>
                  <w:sdtContent>
                    <w:p>
                      <w:pPr>
                        <w:widowControl w:val="0"/>
                        <w:suppressAutoHyphens/>
                        <w:ind w:firstLine="567"/>
                        <w:jc w:val="both"/>
                        <w:rPr>
                          <w:color w:val="000000"/>
                        </w:rPr>
                      </w:pPr>
                      <w:sdt>
                        <w:sdtPr>
                          <w:alias w:val="Numeris"/>
                          <w:tag w:val="nr_c8ceef2e9d824545987237f6fb9c383c"/>
                          <w:lock w:val="sdtLocked"/>
                          <w:richText/>
                        </w:sdtPr>
                        <w:sdtContent>
                          <w:r>
                            <w:rPr>
                              <w:color w:val="000000"/>
                            </w:rPr>
                            <w:t>5.5.1</w:t>
                          </w:r>
                        </w:sdtContent>
                      </w:sdt>
                      <w:r>
                        <w:rPr>
                          <w:color w:val="000000"/>
                        </w:rPr>
                        <w:t>. turėti pirmosios medicinos pagalbos medikamentus, tvarsliavą, įtvarus;</w:t>
                      </w:r>
                    </w:p>
                  </w:sdtContent>
                </w:sdt>
                <w:sdt>
                  <w:sdtPr>
                    <w:alias w:val="5 pr. 5.5.2 p."/>
                    <w:tag w:val="part_52c3120509e442f592886b224b1ba340"/>
                    <w:lock w:val="sdtLocked"/>
                    <w:richText/>
                  </w:sdtPr>
                  <w:sdtContent>
                    <w:p>
                      <w:pPr>
                        <w:widowControl w:val="0"/>
                        <w:suppressAutoHyphens/>
                        <w:ind w:firstLine="567"/>
                        <w:jc w:val="both"/>
                        <w:rPr>
                          <w:color w:val="000000"/>
                        </w:rPr>
                      </w:pPr>
                      <w:sdt>
                        <w:sdtPr>
                          <w:alias w:val="Numeris"/>
                          <w:tag w:val="nr_52c3120509e442f592886b224b1ba340"/>
                          <w:lock w:val="sdtLocked"/>
                          <w:richText/>
                        </w:sdtPr>
                        <w:sdtContent>
                          <w:r>
                            <w:rPr>
                              <w:color w:val="000000"/>
                            </w:rPr>
                            <w:t>5.5.2</w:t>
                          </w:r>
                        </w:sdtContent>
                      </w:sdt>
                      <w:r>
                        <w:rPr>
                          <w:color w:val="000000"/>
                        </w:rPr>
                        <w:t>. turėti aiškius skiriamuosius ženklus;</w:t>
                      </w:r>
                    </w:p>
                  </w:sdtContent>
                </w:sdt>
                <w:sdt>
                  <w:sdtPr>
                    <w:alias w:val="5 pr. 5.5.3 p."/>
                    <w:tag w:val="part_9884f1278be24316b77bbd965e2a5f6e"/>
                    <w:lock w:val="sdtLocked"/>
                    <w:richText/>
                  </w:sdtPr>
                  <w:sdtContent>
                    <w:p>
                      <w:pPr>
                        <w:widowControl w:val="0"/>
                        <w:suppressAutoHyphens/>
                        <w:ind w:firstLine="567"/>
                        <w:jc w:val="both"/>
                        <w:rPr>
                          <w:color w:val="000000"/>
                        </w:rPr>
                      </w:pPr>
                      <w:sdt>
                        <w:sdtPr>
                          <w:alias w:val="Numeris"/>
                          <w:tag w:val="nr_9884f1278be24316b77bbd965e2a5f6e"/>
                          <w:lock w:val="sdtLocked"/>
                          <w:richText/>
                        </w:sdtPr>
                        <w:sdtContent>
                          <w:r>
                            <w:rPr>
                              <w:color w:val="000000"/>
                            </w:rPr>
                            <w:t>5.5.3</w:t>
                          </w:r>
                        </w:sdtContent>
                      </w:sdt>
                      <w:r>
                        <w:rPr>
                          <w:color w:val="000000"/>
                        </w:rPr>
                        <w:t>. kvalifikuotai teikti neatidėliotiną medicinos pagalbą sporto varžybų metu;</w:t>
                      </w:r>
                    </w:p>
                  </w:sdtContent>
                </w:sdt>
                <w:sdt>
                  <w:sdtPr>
                    <w:alias w:val="5 pr. 5.5.4 p."/>
                    <w:tag w:val="part_9d052d96171a4523b90cc461ef3a4dec"/>
                    <w:lock w:val="sdtLocked"/>
                    <w:richText/>
                  </w:sdtPr>
                  <w:sdtContent>
                    <w:p>
                      <w:pPr>
                        <w:widowControl w:val="0"/>
                        <w:suppressAutoHyphens/>
                        <w:ind w:firstLine="567"/>
                        <w:jc w:val="both"/>
                        <w:rPr>
                          <w:color w:val="000000"/>
                        </w:rPr>
                      </w:pPr>
                      <w:sdt>
                        <w:sdtPr>
                          <w:alias w:val="Numeris"/>
                          <w:tag w:val="nr_9d052d96171a4523b90cc461ef3a4dec"/>
                          <w:lock w:val="sdtLocked"/>
                          <w:richText/>
                        </w:sdtPr>
                        <w:sdtContent>
                          <w:r>
                            <w:rPr>
                              <w:color w:val="000000"/>
                            </w:rPr>
                            <w:t>5.5.4</w:t>
                          </w:r>
                        </w:sdtContent>
                      </w:sdt>
                      <w:r>
                        <w:rPr>
                          <w:color w:val="000000"/>
                        </w:rPr>
                        <w:t>. registruoti sporto renginių metu įvykusias traumas bei susirgimus ir informuoti apie tai sporto renginių organizatorius, laiku pateikti informaciją (forma Nr. 062/a) medicinos personalą siuntusios asmens sveikatos priežiūros įstaigos vadovui ar atsakingam asmeniui;</w:t>
                      </w:r>
                    </w:p>
                  </w:sdtContent>
                </w:sdt>
                <w:sdt>
                  <w:sdtPr>
                    <w:alias w:val="5 pr. 5.5.5 p."/>
                    <w:tag w:val="part_8a1300d68761443f80d06a4c1fb3e792"/>
                    <w:lock w:val="sdtLocked"/>
                    <w:richText/>
                  </w:sdtPr>
                  <w:sdtContent>
                    <w:p>
                      <w:pPr>
                        <w:widowControl w:val="0"/>
                        <w:suppressAutoHyphens/>
                        <w:ind w:firstLine="567"/>
                        <w:jc w:val="both"/>
                        <w:rPr>
                          <w:color w:val="000000"/>
                        </w:rPr>
                      </w:pPr>
                      <w:sdt>
                        <w:sdtPr>
                          <w:alias w:val="Numeris"/>
                          <w:tag w:val="nr_8a1300d68761443f80d06a4c1fb3e792"/>
                          <w:lock w:val="sdtLocked"/>
                          <w:richText/>
                        </w:sdtPr>
                        <w:sdtContent>
                          <w:r>
                            <w:rPr>
                              <w:color w:val="000000"/>
                            </w:rPr>
                            <w:t>5.5.5</w:t>
                          </w:r>
                        </w:sdtContent>
                      </w:sdt>
                      <w:r>
                        <w:rPr>
                          <w:color w:val="000000"/>
                        </w:rPr>
                        <w:t>. apie sunkias sportines traumas (kaulų lūžimai, sąnarių išnirimai, raumenų ir sausgyslių nutrūkimai, galvos ir stuburo smegenų pažeidimas, vidaus organų pakenkimai), mirties atvejus sporto renginių metu pranešti (forma Nr. 062-1) Kūno kultūros ir sporto departamentui.</w:t>
                      </w:r>
                    </w:p>
                  </w:sdtContent>
                </w:sdt>
              </w:sdtContent>
            </w:sdt>
            <w:sdt>
              <w:sdtPr>
                <w:alias w:val="5 pr. 5.6 p."/>
                <w:tag w:val="part_b5063ee6b72b4417bd24978488055897"/>
                <w:lock w:val="sdtLocked"/>
                <w:richText/>
              </w:sdtPr>
              <w:sdtContent>
                <w:p>
                  <w:pPr>
                    <w:widowControl w:val="0"/>
                    <w:suppressAutoHyphens/>
                    <w:ind w:firstLine="567"/>
                    <w:jc w:val="both"/>
                    <w:rPr>
                      <w:color w:val="000000"/>
                    </w:rPr>
                  </w:pPr>
                  <w:sdt>
                    <w:sdtPr>
                      <w:alias w:val="Numeris"/>
                      <w:tag w:val="nr_b5063ee6b72b4417bd24978488055897"/>
                      <w:lock w:val="sdtLocked"/>
                      <w:richText/>
                    </w:sdtPr>
                    <w:sdtContent>
                      <w:r>
                        <w:rPr>
                          <w:color w:val="000000"/>
                        </w:rPr>
                        <w:t>5.6</w:t>
                      </w:r>
                    </w:sdtContent>
                  </w:sdt>
                  <w:r>
                    <w:rPr>
                      <w:color w:val="000000"/>
                    </w:rPr>
                    <w:t>. Sporto bazių, kuriose vyksta sporto renginiai, administracija visiškai atsako už jos patalpų, aikščių įrengimą ir inventoriaus kokybę bei saugumą sportuojančių asmenų ir žiūrovų sveikatai.</w:t>
                  </w:r>
                </w:p>
              </w:sdtContent>
            </w:sdt>
            <w:sdt>
              <w:sdtPr>
                <w:alias w:val="5 pr. 5.7 p."/>
                <w:tag w:val="part_3c05797def444c6b9ff5a10dd0e19950"/>
                <w:lock w:val="sdtLocked"/>
                <w:richText/>
              </w:sdtPr>
              <w:sdtContent>
                <w:p>
                  <w:pPr>
                    <w:widowControl w:val="0"/>
                    <w:suppressAutoHyphens/>
                    <w:ind w:firstLine="567"/>
                    <w:jc w:val="both"/>
                    <w:rPr>
                      <w:color w:val="000000"/>
                    </w:rPr>
                  </w:pPr>
                  <w:sdt>
                    <w:sdtPr>
                      <w:alias w:val="Numeris"/>
                      <w:tag w:val="nr_3c05797def444c6b9ff5a10dd0e19950"/>
                      <w:lock w:val="sdtLocked"/>
                      <w:richText/>
                    </w:sdtPr>
                    <w:sdtContent>
                      <w:r>
                        <w:rPr>
                          <w:color w:val="000000"/>
                        </w:rPr>
                        <w:t>5.7</w:t>
                      </w:r>
                    </w:sdtContent>
                  </w:sdt>
                  <w:r>
                    <w:rPr>
                      <w:color w:val="000000"/>
                    </w:rPr>
                    <w:t>. Jei medicinos personalo darbuotojas yra sporto bazės darbuotojas, jis privalo turėti pirmosios medicinos pagalbos medikamentus, tvarsliavą, įtvarus bei teikti neatidėliotiną medicinos pagalbą pagal savo kompetenciją.</w:t>
                  </w:r>
                </w:p>
              </w:sdtContent>
            </w:sdt>
            <w:sdt>
              <w:sdtPr>
                <w:alias w:val="5 pr. 5.8 p."/>
                <w:tag w:val="part_395f82fcf2e549cfb0604d0044543a7f"/>
                <w:lock w:val="sdtLocked"/>
                <w:richText/>
              </w:sdtPr>
              <w:sdtContent>
                <w:p>
                  <w:pPr>
                    <w:widowControl w:val="0"/>
                    <w:suppressAutoHyphens/>
                    <w:ind w:firstLine="567"/>
                    <w:jc w:val="both"/>
                    <w:rPr>
                      <w:color w:val="000000"/>
                      <w:spacing w:val="-2"/>
                    </w:rPr>
                  </w:pPr>
                  <w:sdt>
                    <w:sdtPr>
                      <w:alias w:val="Numeris"/>
                      <w:tag w:val="nr_395f82fcf2e549cfb0604d0044543a7f"/>
                      <w:lock w:val="sdtLocked"/>
                      <w:richText/>
                    </w:sdtPr>
                    <w:sdtContent>
                      <w:r>
                        <w:rPr>
                          <w:color w:val="000000"/>
                          <w:spacing w:val="-2"/>
                        </w:rPr>
                        <w:t>5.8</w:t>
                      </w:r>
                    </w:sdtContent>
                  </w:sdt>
                  <w:r>
                    <w:rPr>
                      <w:color w:val="000000"/>
                      <w:spacing w:val="-2"/>
                    </w:rPr>
                    <w:t>. Sporto bazės budėtojas (ne medicinos darbuotojas) privalo turėti pirmosios pagalbos priemonių vaistinėlę, neštuvus.</w:t>
                  </w:r>
                </w:p>
              </w:sdtContent>
            </w:sdt>
            <w:sdt>
              <w:sdtPr>
                <w:alias w:val="5 pr. 5.9 p."/>
                <w:tag w:val="part_d649c601636c451bad0f44e208fc1ec7"/>
                <w:lock w:val="sdtLocked"/>
                <w:richText/>
              </w:sdtPr>
              <w:sdtContent>
                <w:p>
                  <w:pPr>
                    <w:widowControl w:val="0"/>
                    <w:suppressAutoHyphens/>
                    <w:ind w:firstLine="567"/>
                    <w:jc w:val="both"/>
                    <w:rPr>
                      <w:color w:val="000000"/>
                    </w:rPr>
                  </w:pPr>
                  <w:sdt>
                    <w:sdtPr>
                      <w:alias w:val="Numeris"/>
                      <w:tag w:val="nr_d649c601636c451bad0f44e208fc1ec7"/>
                      <w:lock w:val="sdtLocked"/>
                      <w:richText/>
                    </w:sdtPr>
                    <w:sdtContent>
                      <w:r>
                        <w:rPr>
                          <w:color w:val="000000"/>
                        </w:rPr>
                        <w:t>5.9</w:t>
                      </w:r>
                    </w:sdtContent>
                  </w:sdt>
                  <w:r>
                    <w:rPr>
                      <w:color w:val="000000"/>
                    </w:rPr>
                    <w:t>. Pagal kiekvienos sporto šakos ar atskiros jos rungties sveikatos pažeidimo rizikos laipsnį skiriamas reikalingas medicinos personalas. Sporto šakos pagal pažeidimo lygį skirstomos į aukštos rizikos, vidutinės ir žemos rizikos:</w:t>
                  </w:r>
                </w:p>
                <w:sdt>
                  <w:sdtPr>
                    <w:alias w:val="5 pr. 5.9.1 p."/>
                    <w:tag w:val="part_33fcec917a034b4a8adf80c0aba9328e"/>
                    <w:lock w:val="sdtLocked"/>
                    <w:richText/>
                  </w:sdtPr>
                  <w:sdtContent>
                    <w:p>
                      <w:pPr>
                        <w:widowControl w:val="0"/>
                        <w:suppressAutoHyphens/>
                        <w:ind w:firstLine="567"/>
                        <w:jc w:val="both"/>
                        <w:rPr>
                          <w:color w:val="000000"/>
                        </w:rPr>
                      </w:pPr>
                      <w:sdt>
                        <w:sdtPr>
                          <w:alias w:val="Numeris"/>
                          <w:tag w:val="nr_33fcec917a034b4a8adf80c0aba9328e"/>
                          <w:lock w:val="sdtLocked"/>
                          <w:richText/>
                        </w:sdtPr>
                        <w:sdtContent>
                          <w:r>
                            <w:rPr>
                              <w:color w:val="000000"/>
                            </w:rPr>
                            <w:t>5.9.1</w:t>
                          </w:r>
                        </w:sdtContent>
                      </w:sdt>
                      <w:r>
                        <w:rPr>
                          <w:color w:val="000000"/>
                        </w:rPr>
                        <w:t>. Aukštos rizikos sporto šakos:</w:t>
                      </w:r>
                    </w:p>
                    <w:p>
                      <w:pPr>
                        <w:widowControl w:val="0"/>
                        <w:suppressAutoHyphens/>
                        <w:ind w:firstLine="567"/>
                        <w:jc w:val="both"/>
                        <w:rPr>
                          <w:color w:val="000000"/>
                        </w:rPr>
                      </w:pPr>
                      <w:r>
                        <w:rPr>
                          <w:color w:val="000000"/>
                        </w:rPr>
                        <w:t>Lengvoji atletika (maratonas, 30 km ir 50 km ėjimas, šuoliai su kartimi), boksas, šuoliai į vandenį, dviračių sportas, žirgų sportas (trikovė), fechtavimas, žolės riedulys, sportinė gimnastika, rankinis, ledo ritulys, dziudo, šiuolaikinė penkiakovė (jojimas), čiuožimas (dailusis, greitasis ir trumpasis), kalnų slidinėjimas (slalomas, šuoliai nuo tramplyno ir su snieglente), futbolas, regbis, karatė, taikvando, triatlonas, vandensvydis, sunkioji atletika, imtynės.</w:t>
                      </w:r>
                    </w:p>
                    <w:p>
                      <w:pPr>
                        <w:widowControl w:val="0"/>
                        <w:suppressAutoHyphens/>
                        <w:ind w:firstLine="567"/>
                        <w:jc w:val="both"/>
                        <w:rPr>
                          <w:color w:val="000000"/>
                        </w:rPr>
                      </w:pPr>
                      <w:r>
                        <w:rPr>
                          <w:color w:val="000000"/>
                        </w:rPr>
                        <w:t>Šių sporto varžybų medicininiam aptarnavimui rekomenduojamas minimalus medicinos personalo skaičius – 1 gydytojas, greitosios pagalbos automobilis su medicinos personalo brigada.</w:t>
                      </w:r>
                    </w:p>
                  </w:sdtContent>
                </w:sdt>
                <w:sdt>
                  <w:sdtPr>
                    <w:alias w:val="5 pr. 5.9.2 p."/>
                    <w:tag w:val="part_916854d8e0fb421d997646c3e063e560"/>
                    <w:lock w:val="sdtLocked"/>
                    <w:richText/>
                  </w:sdtPr>
                  <w:sdtContent>
                    <w:p>
                      <w:pPr>
                        <w:widowControl w:val="0"/>
                        <w:suppressAutoHyphens/>
                        <w:ind w:firstLine="567"/>
                        <w:jc w:val="both"/>
                        <w:rPr>
                          <w:color w:val="000000"/>
                        </w:rPr>
                      </w:pPr>
                      <w:sdt>
                        <w:sdtPr>
                          <w:alias w:val="Numeris"/>
                          <w:tag w:val="nr_916854d8e0fb421d997646c3e063e560"/>
                          <w:lock w:val="sdtLocked"/>
                          <w:richText/>
                        </w:sdtPr>
                        <w:sdtContent>
                          <w:r>
                            <w:rPr>
                              <w:color w:val="000000"/>
                            </w:rPr>
                            <w:t>5.9.2</w:t>
                          </w:r>
                        </w:sdtContent>
                      </w:sdt>
                      <w:r>
                        <w:rPr>
                          <w:color w:val="000000"/>
                        </w:rPr>
                        <w:t>. Vidutinės rizikos sporto šakos:</w:t>
                      </w:r>
                    </w:p>
                    <w:p>
                      <w:pPr>
                        <w:widowControl w:val="0"/>
                        <w:suppressAutoHyphens/>
                        <w:ind w:firstLine="567"/>
                        <w:jc w:val="both"/>
                        <w:rPr>
                          <w:color w:val="000000"/>
                        </w:rPr>
                      </w:pPr>
                      <w:r>
                        <w:rPr>
                          <w:color w:val="000000"/>
                        </w:rPr>
                        <w:t>Lengvoji atletika (išskyrus maratoną, 30 km, 50 km ėjimą, šuolį su kartimi), badmintonas, krepšinis, biatlonas, bobslėjus, rogučių sportas, slidinėjimas, baidarių-kanojų akademinis irklavimas, tenisas, buriavimas, tinklinis.</w:t>
                      </w:r>
                    </w:p>
                    <w:p>
                      <w:pPr>
                        <w:widowControl w:val="0"/>
                        <w:suppressAutoHyphens/>
                        <w:ind w:firstLine="567"/>
                        <w:jc w:val="both"/>
                        <w:rPr>
                          <w:color w:val="000000"/>
                        </w:rPr>
                      </w:pPr>
                      <w:r>
                        <w:rPr>
                          <w:color w:val="000000"/>
                        </w:rPr>
                        <w:t>Šių sporto varžybų medicininiam aptarnavimui rekomenduojama minimalus medicinos personalo skaičius – 1 gydytojas, 1 slaugytoja ir galimybė iškviesti greitosios pagalbos automobilį bei jam privažiuoti. Papildomai, atsižvelgiant į dalyvių skaičių, gali būti slaugytojų, kineziterapeutų, turinčių tvarstymo įgūdžių, masažuotojų.</w:t>
                      </w:r>
                    </w:p>
                  </w:sdtContent>
                </w:sdt>
                <w:sdt>
                  <w:sdtPr>
                    <w:alias w:val="5 pr. 5.9.3 p."/>
                    <w:tag w:val="part_49d26e4cf43a4c7492580fa09e97ba8a"/>
                    <w:lock w:val="sdtLocked"/>
                    <w:richText/>
                  </w:sdtPr>
                  <w:sdtContent>
                    <w:p>
                      <w:pPr>
                        <w:widowControl w:val="0"/>
                        <w:suppressAutoHyphens/>
                        <w:ind w:firstLine="567"/>
                        <w:jc w:val="both"/>
                        <w:rPr>
                          <w:color w:val="000000"/>
                        </w:rPr>
                      </w:pPr>
                      <w:sdt>
                        <w:sdtPr>
                          <w:alias w:val="Numeris"/>
                          <w:tag w:val="nr_49d26e4cf43a4c7492580fa09e97ba8a"/>
                          <w:lock w:val="sdtLocked"/>
                          <w:richText/>
                        </w:sdtPr>
                        <w:sdtContent>
                          <w:r>
                            <w:rPr>
                              <w:color w:val="000000"/>
                            </w:rPr>
                            <w:t>5.9.3</w:t>
                          </w:r>
                        </w:sdtContent>
                      </w:sdt>
                      <w:r>
                        <w:rPr>
                          <w:color w:val="000000"/>
                        </w:rPr>
                        <w:t>. Žemos rizikos sporto šakos:</w:t>
                      </w:r>
                    </w:p>
                    <w:p>
                      <w:pPr>
                        <w:widowControl w:val="0"/>
                        <w:suppressAutoHyphens/>
                        <w:ind w:firstLine="567"/>
                        <w:jc w:val="both"/>
                        <w:rPr>
                          <w:color w:val="000000"/>
                        </w:rPr>
                      </w:pPr>
                      <w:r>
                        <w:rPr>
                          <w:color w:val="000000"/>
                        </w:rPr>
                        <w:t>Nekontaktinės sporto šakos, tokios kaip šaudymas iš lanko, šaudymas, sinchroninis plaukimas, plaukimas, stalo tenisas. Šių sporto varžybų medicininiam aptarnavimui rekomenduojamas minimalus medicinos personalo skaičius – 1 slaugytoja ir galimybė iškviesti greitosios pagalbos automobilį. Papildomai gali būti kineziterapeutų, masažuotojų.</w:t>
                      </w:r>
                    </w:p>
                  </w:sdtContent>
                </w:sdt>
                <w:sdt>
                  <w:sdtPr>
                    <w:alias w:val="5 pr. 5.9.4 p."/>
                    <w:tag w:val="part_663374bfc32a49f6883e1cb55afbecc7"/>
                    <w:lock w:val="sdtLocked"/>
                    <w:richText/>
                  </w:sdtPr>
                  <w:sdtContent>
                    <w:p>
                      <w:pPr>
                        <w:widowControl w:val="0"/>
                        <w:suppressAutoHyphens/>
                        <w:ind w:firstLine="567"/>
                        <w:jc w:val="both"/>
                        <w:rPr>
                          <w:color w:val="000000"/>
                        </w:rPr>
                      </w:pPr>
                      <w:sdt>
                        <w:sdtPr>
                          <w:alias w:val="Numeris"/>
                          <w:tag w:val="nr_663374bfc32a49f6883e1cb55afbecc7"/>
                          <w:lock w:val="sdtLocked"/>
                          <w:richText/>
                        </w:sdtPr>
                        <w:sdtContent>
                          <w:r>
                            <w:rPr>
                              <w:color w:val="000000"/>
                            </w:rPr>
                            <w:t>5.9.4</w:t>
                          </w:r>
                        </w:sdtContent>
                      </w:sdt>
                      <w:r>
                        <w:rPr>
                          <w:color w:val="000000"/>
                        </w:rPr>
                        <w:t>. Kitos sporto šakos:</w:t>
                      </w:r>
                    </w:p>
                    <w:p>
                      <w:pPr>
                        <w:widowControl w:val="0"/>
                        <w:suppressAutoHyphens/>
                        <w:ind w:firstLine="567"/>
                        <w:jc w:val="both"/>
                        <w:rPr>
                          <w:color w:val="000000"/>
                        </w:rPr>
                      </w:pPr>
                      <w:r>
                        <w:rPr>
                          <w:color w:val="000000"/>
                        </w:rPr>
                        <w:t>Varžybos negali vykti be medicinos personalo. Kiekvieno renginio metu privalo būti asmuo, sugebantis teikti neatidėliotiną medicinos pagalbą.</w:t>
                      </w:r>
                    </w:p>
                  </w:sdtContent>
                </w:sdt>
              </w:sdtContent>
            </w:sdt>
            <w:sdt>
              <w:sdtPr>
                <w:alias w:val="5 pr. 5.10 p."/>
                <w:tag w:val="part_e3ffaf5ce6fa4074b7128b25da425da1"/>
                <w:lock w:val="sdtLocked"/>
                <w:richText/>
              </w:sdtPr>
              <w:sdtContent>
                <w:p>
                  <w:pPr>
                    <w:widowControl w:val="0"/>
                    <w:suppressAutoHyphens/>
                    <w:ind w:firstLine="567"/>
                    <w:jc w:val="both"/>
                    <w:rPr>
                      <w:color w:val="000000"/>
                    </w:rPr>
                  </w:pPr>
                  <w:sdt>
                    <w:sdtPr>
                      <w:alias w:val="Numeris"/>
                      <w:tag w:val="nr_e3ffaf5ce6fa4074b7128b25da425da1"/>
                      <w:lock w:val="sdtLocked"/>
                      <w:richText/>
                    </w:sdtPr>
                    <w:sdtContent>
                      <w:r>
                        <w:rPr>
                          <w:color w:val="000000"/>
                        </w:rPr>
                        <w:t>5.10</w:t>
                      </w:r>
                    </w:sdtContent>
                  </w:sdt>
                  <w:r>
                    <w:rPr>
                      <w:color w:val="000000"/>
                    </w:rPr>
                    <w:t>. Vykdant didelių sporto renginių medicininį aptarnavimą, būtina atsižvelgti į dalyvių bei galimų žiūrovų skaičių. Rekomenduotina prieš tokias varžybas medicinos atstovams kartu su varžybų organizatoriais aptarti medicinos personalo skaičių ir galimos medicinos pagalbos teikimo mastą. Labai svarbu užtikrinti neatidėliotinos medicinos pagalbos suteikimą bei evakuaciją tokių renginių atidarymų bei uždarymų metu, ypač jei jie vyksta šaltu ar karštu oru. Tam turi būti organizuotos padėjėjų iš sporto darbuotojų brigados.</w:t>
                  </w:r>
                </w:p>
              </w:sdtContent>
            </w:sdt>
            <w:sdt>
              <w:sdtPr>
                <w:alias w:val="5 pr. 5.11 p."/>
                <w:tag w:val="part_de10a88f08674aff90545f28d0ef20fc"/>
                <w:lock w:val="sdtLocked"/>
                <w:richText/>
              </w:sdtPr>
              <w:sdtContent>
                <w:p>
                  <w:pPr>
                    <w:widowControl w:val="0"/>
                    <w:suppressAutoHyphens/>
                    <w:ind w:firstLine="567"/>
                    <w:jc w:val="both"/>
                    <w:rPr>
                      <w:color w:val="000000"/>
                    </w:rPr>
                  </w:pPr>
                  <w:sdt>
                    <w:sdtPr>
                      <w:alias w:val="Numeris"/>
                      <w:tag w:val="nr_de10a88f08674aff90545f28d0ef20fc"/>
                      <w:lock w:val="sdtLocked"/>
                      <w:richText/>
                    </w:sdtPr>
                    <w:sdtContent>
                      <w:r>
                        <w:rPr>
                          <w:color w:val="000000"/>
                        </w:rPr>
                        <w:t>5.11</w:t>
                      </w:r>
                    </w:sdtContent>
                  </w:sdt>
                  <w:r>
                    <w:rPr>
                      <w:color w:val="000000"/>
                    </w:rPr>
                    <w:t>. Techninių sporto šakų varžybose (automobilių, motokroso, kartingų, laivų, aviacijos sporto, parašiutų sporto ir kt.), privalo būti greitosios medicinos pagalbos automobiliai su medikų brigadomis. Jų skaičius ir išdėstymas varžybų metų priklauso nuo sporto šakos.</w:t>
                  </w:r>
                </w:p>
              </w:sdtContent>
            </w:sdt>
            <w:sdt>
              <w:sdtPr>
                <w:alias w:val="5 pr. 5.12 p."/>
                <w:tag w:val="part_641de453e23e47a78b33cf8d3e5ae9df"/>
                <w:lock w:val="sdtLocked"/>
                <w:richText/>
              </w:sdtPr>
              <w:sdtContent>
                <w:p>
                  <w:pPr>
                    <w:keepNext/>
                    <w:keepLines/>
                    <w:pageBreakBefore/>
                    <w:widowControl w:val="0"/>
                    <w:suppressAutoHyphens/>
                    <w:ind w:firstLine="567"/>
                    <w:jc w:val="both"/>
                    <w:rPr>
                      <w:color w:val="000000"/>
                    </w:rPr>
                  </w:pPr>
                  <w:sdt>
                    <w:sdtPr>
                      <w:alias w:val="Numeris"/>
                      <w:tag w:val="nr_641de453e23e47a78b33cf8d3e5ae9df"/>
                      <w:lock w:val="sdtLocked"/>
                      <w:richText/>
                    </w:sdtPr>
                    <w:sdtContent>
                      <w:r>
                        <w:rPr>
                          <w:color w:val="000000"/>
                        </w:rPr>
                        <w:t>5.12</w:t>
                      </w:r>
                    </w:sdtContent>
                  </w:sdt>
                  <w:r>
                    <w:rPr>
                      <w:color w:val="000000"/>
                    </w:rPr>
                    <w:t xml:space="preserve">. Medicinos personalas, teikiantis medicinos pagalbą sporto varžybų metu, privalo turėti pirmosios medicinos pagalbos priemones, vadovaujantis Lietuvos Respublikos sveikatos apsaugos ministro 2003 m. liepos 11 d. įsakyme Nr. V-450 „Dėl sveikatos priežiūros ir farmacijos specialistų kompetencijos teikiant pirmąją medicinos pagalbą, pirmosios medicinos pagalbos vaistinėlių ir pirmosios pagalbos rinkinių“ (Žin., 2003, Nr. </w:t>
                  </w:r>
                  <w:hyperlink r:id="rId79" w:tgtFrame="_blank" w:history="1">
                    <w:r>
                      <w:rPr>
                        <w:color w:val="0000FF" w:themeColor="hyperlink"/>
                        <w:u w:val="single"/>
                      </w:rPr>
                      <w:t>79-3605</w:t>
                    </w:r>
                  </w:hyperlink>
                  <w:r>
                    <w:rPr>
                      <w:color w:val="000000"/>
                    </w:rPr>
                    <w:t>) pateiktais pirmosios medicinos pagalbos vaistinėlių ir pirmosios pagalbos rinkinių aprašymais.</w:t>
                  </w:r>
                </w:p>
                <w:p/>
              </w:sdtContent>
            </w:sdt>
          </w:sdtContent>
        </w:sdt>
        <w:sdt>
          <w:sdtPr>
            <w:alias w:val="pabaiga"/>
            <w:tag w:val="part_ca9e1f2e6aef4f108650d0708e1a4791"/>
            <w:lock w:val="sdtLocked"/>
            <w:richText/>
          </w:sdtPr>
          <w:sdtContent>
            <w:p>
              <w:pPr>
                <w:jc w:val="center"/>
                <w:rPr>
                  <w:color w:val="000000"/>
                </w:rPr>
              </w:pPr>
              <w: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A050BC6517F">
            <w:r w:rsidRPr="00532B9F">
              <w:rPr>
                <w:rFonts w:ascii="Times New Roman" w:eastAsia="MS Mincho" w:hAnsi="Times New Roman"/>
                <w:sz w:val="20"/>
                <w:i/>
                <w:iCs/>
                <w:color w:val="0000FF" w:themeColor="hyperlink"/>
                <w:u w:val="single"/>
              </w:rPr>
              <w:t>V-184</w:t>
            </w:r>
          </w:fldSimple>
          <w:r>
            <w:rPr>
              <w:rFonts w:ascii="Times New Roman" w:eastAsia="MS Mincho" w:hAnsi="Times New Roman"/>
              <w:sz w:val="20"/>
              <w:i/>
              <w:iCs/>
            </w:rPr>
            <w:t>,
2011-02-28,
Žin., 2011, Nr.
29-1370 (2011-03-08), i. k. 1112250ISAK000V-184            </w:t>
          </w:r>
        </w:p>
        <w:p/>
      </w:sdtContent>
    </w:sdt>
    <w:sdt>
      <w:sdtPr>
        <w:alias w:val="pr."/>
        <w:tag w:val="part_e8a2e8c2ee184b4ca735be8a810442a7"/>
        <w:lock w:val="sdtLocked"/>
        <w:richText/>
      </w:sdtPr>
      <w:sdtContent>
        <w:p>
          <w:pPr>
            <w:ind w:firstLine="5387"/>
          </w:pPr>
        </w:p>
        <w:p>
          <w:pPr>
            <w:sectPr>
              <w:pgSz w:w="11907" w:h="16840" w:code="9"/>
              <w:pgMar w:top="1134" w:right="1134" w:bottom="1134" w:left="1701" w:header="567" w:footer="567" w:gutter="0"/>
              <w:cols w:space="1296"/>
              <w:titlePg/>
              <w:docGrid w:linePitch="360"/>
            </w:sectPr>
          </w:pPr>
        </w:p>
        <w:p>
          <w:pPr>
            <w:ind w:left="3894"/>
            <w:rPr>
              <w:bCs/>
              <w:caps/>
              <w:szCs w:val="24"/>
            </w:rPr>
          </w:pPr>
          <w:r>
            <w:rPr>
              <w:bCs/>
              <w:caps/>
              <w:szCs w:val="24"/>
            </w:rPr>
            <w:t>PATVIRTINTA</w:t>
          </w:r>
        </w:p>
        <w:p>
          <w:pPr>
            <w:ind w:left="3894"/>
            <w:rPr>
              <w:bCs/>
              <w:szCs w:val="24"/>
            </w:rPr>
          </w:pPr>
          <w:r>
            <w:rPr>
              <w:bCs/>
              <w:szCs w:val="24"/>
            </w:rPr>
            <w:t xml:space="preserve">Lietuvos Respublikos </w:t>
          </w:r>
        </w:p>
        <w:p>
          <w:pPr>
            <w:ind w:left="3894"/>
            <w:rPr>
              <w:bCs/>
              <w:szCs w:val="24"/>
            </w:rPr>
          </w:pPr>
          <w:r>
            <w:rPr>
              <w:bCs/>
              <w:szCs w:val="24"/>
            </w:rPr>
            <w:t>sveikatos</w:t>
          </w:r>
          <w:r>
            <w:rPr>
              <w:bCs/>
              <w:caps/>
              <w:szCs w:val="24"/>
            </w:rPr>
            <w:t xml:space="preserve"> </w:t>
          </w:r>
          <w:r>
            <w:rPr>
              <w:bCs/>
              <w:szCs w:val="24"/>
            </w:rPr>
            <w:t>apsaugos ministro</w:t>
          </w:r>
        </w:p>
        <w:p>
          <w:pPr>
            <w:ind w:left="3894"/>
            <w:rPr>
              <w:bCs/>
              <w:szCs w:val="24"/>
            </w:rPr>
          </w:pPr>
          <w:r>
            <w:rPr>
              <w:bCs/>
              <w:szCs w:val="24"/>
            </w:rPr>
            <w:t>2000 m. gegužės 31 d. įsakymu Nr. 301</w:t>
          </w:r>
        </w:p>
        <w:p>
          <w:pPr>
            <w:ind w:left="3894"/>
            <w:rPr>
              <w:bCs/>
              <w:szCs w:val="24"/>
            </w:rPr>
          </w:pPr>
          <w:r>
            <w:rPr>
              <w:bCs/>
              <w:szCs w:val="24"/>
            </w:rPr>
            <w:t xml:space="preserve">(Lietuvos Respublikos </w:t>
          </w:r>
        </w:p>
        <w:p>
          <w:pPr>
            <w:ind w:left="3894"/>
            <w:rPr>
              <w:bCs/>
              <w:szCs w:val="24"/>
            </w:rPr>
          </w:pPr>
          <w:r>
            <w:rPr>
              <w:bCs/>
              <w:szCs w:val="24"/>
            </w:rPr>
            <w:t xml:space="preserve">sveikatos apsaugos ministro </w:t>
          </w:r>
        </w:p>
        <w:p>
          <w:pPr>
            <w:ind w:left="3894"/>
            <w:rPr>
              <w:bCs/>
              <w:szCs w:val="24"/>
            </w:rPr>
          </w:pPr>
          <w:r>
            <w:rPr>
              <w:bCs/>
              <w:szCs w:val="24"/>
            </w:rPr>
            <w:t xml:space="preserve">2015 m. rugpjūčio 11 d. įsakymo </w:t>
          </w:r>
        </w:p>
        <w:p>
          <w:pPr>
            <w:ind w:left="3894"/>
            <w:rPr>
              <w:bCs/>
              <w:szCs w:val="24"/>
            </w:rPr>
          </w:pPr>
          <w:r>
            <w:rPr>
              <w:bCs/>
              <w:szCs w:val="24"/>
            </w:rPr>
            <w:t xml:space="preserve">Nr. V-943  redakcija)</w:t>
          </w:r>
        </w:p>
        <w:p>
          <w:pPr>
            <w:ind w:firstLine="4395"/>
            <w:rPr>
              <w:b/>
              <w:bCs/>
              <w:caps/>
              <w:color w:val="FF0000"/>
              <w:szCs w:val="24"/>
            </w:rPr>
          </w:pPr>
        </w:p>
        <w:p>
          <w:pPr>
            <w:jc w:val="center"/>
            <w:rPr>
              <w:rFonts w:ascii="TimesLT" w:hAnsi="TimesLT"/>
              <w:b/>
              <w:bCs/>
              <w:caps/>
              <w:sz w:val="20"/>
              <w:lang w:val="en-US"/>
            </w:rPr>
          </w:pPr>
          <w:sdt>
            <w:sdtPr>
              <w:alias w:val="Pavadinimas"/>
              <w:tag w:val="title_e8a2e8c2ee184b4ca735be8a810442a7"/>
              <w:lock w:val="sdtLocked"/>
              <w:richText/>
            </w:sdtPr>
            <w:sdtContent>
              <w:r>
                <w:rPr>
                  <w:b/>
                  <w:bCs/>
                  <w:caps/>
                  <w:szCs w:val="24"/>
                  <w:lang w:val="en-US"/>
                </w:rPr>
                <w:t>NEINFEKCINIŲ LIGŲ PROFILAKTIKOS IR KONTROLĖS TVARKA</w:t>
              </w:r>
            </w:sdtContent>
          </w:sdt>
        </w:p>
        <w:p>
          <w:pPr>
            <w:ind w:left="1080"/>
            <w:rPr>
              <w:b/>
              <w:bCs/>
              <w:caps/>
              <w:szCs w:val="24"/>
            </w:rPr>
          </w:pPr>
        </w:p>
        <w:sdt>
          <w:sdtPr>
            <w:alias w:val="pr. 1 p."/>
            <w:tag w:val="part_f4fd4f1b74e5432ea05fd0b05d5a3334"/>
            <w:lock w:val="sdtLocked"/>
            <w:richText/>
          </w:sdtPr>
          <w:sdtContent>
            <w:p>
              <w:pPr>
                <w:ind w:firstLine="312"/>
                <w:jc w:val="both"/>
                <w:rPr>
                  <w:szCs w:val="24"/>
                </w:rPr>
              </w:pPr>
              <w:sdt>
                <w:sdtPr>
                  <w:alias w:val="Numeris"/>
                  <w:tag w:val="nr_f4fd4f1b74e5432ea05fd0b05d5a3334"/>
                  <w:lock w:val="sdtLocked"/>
                  <w:richText/>
                </w:sdtPr>
                <w:sdtContent>
                  <w:r>
                    <w:rPr>
                      <w:szCs w:val="24"/>
                    </w:rPr>
                    <w:t>1</w:t>
                  </w:r>
                </w:sdtContent>
              </w:sdt>
              <w:r>
                <w:rPr>
                  <w:szCs w:val="24"/>
                </w:rPr>
                <w:t xml:space="preserve">. Neinfekcinių ligų profilaktikos ir kontrolės tvarka (toliau – Tvarka) nustato įvairaus amžiaus grupių asmenų sveikatos tyrimų, vykdant neinfekcinių ligų profilaktiką ir kontrolę, apimtį ir dažnį. </w:t>
              </w:r>
            </w:p>
          </w:sdtContent>
        </w:sdt>
        <w:sdt>
          <w:sdtPr>
            <w:alias w:val="pr. 2 p."/>
            <w:tag w:val="part_c3dd475fe76c46b99769af8cd74957a1"/>
            <w:lock w:val="sdtLocked"/>
            <w:richText/>
          </w:sdtPr>
          <w:sdtContent>
            <w:p>
              <w:pPr>
                <w:ind w:firstLine="312"/>
                <w:jc w:val="both"/>
                <w:rPr>
                  <w:szCs w:val="24"/>
                </w:rPr>
              </w:pPr>
              <w:sdt>
                <w:sdtPr>
                  <w:alias w:val="Numeris"/>
                  <w:tag w:val="nr_c3dd475fe76c46b99769af8cd74957a1"/>
                  <w:lock w:val="sdtLocked"/>
                  <w:richText/>
                </w:sdtPr>
                <w:sdtContent>
                  <w:r>
                    <w:rPr>
                      <w:szCs w:val="24"/>
                    </w:rPr>
                    <w:t>2</w:t>
                  </w:r>
                </w:sdtContent>
              </w:sdt>
              <w:r>
                <w:rPr>
                  <w:szCs w:val="24"/>
                </w:rPr>
                <w:t>.</w:t>
              </w:r>
              <w:r>
                <w:rPr>
                  <w:b/>
                  <w:bCs/>
                  <w:szCs w:val="24"/>
                </w:rPr>
                <w:t xml:space="preserve"> </w:t>
              </w:r>
              <w:r>
                <w:rPr>
                  <w:szCs w:val="24"/>
                </w:rPr>
                <w:t>Tvarkoje nustatyti tyrimai atliekami atsižvelgiant į asmenų amžiaus grupes.</w:t>
              </w:r>
            </w:p>
          </w:sdtContent>
        </w:sdt>
        <w:sdt>
          <w:sdtPr>
            <w:alias w:val="pr. 3 p."/>
            <w:tag w:val="part_351e11271719482896ddc0794d9f87ea"/>
            <w:lock w:val="sdtLocked"/>
            <w:richText/>
          </w:sdtPr>
          <w:sdtContent>
            <w:p>
              <w:pPr>
                <w:tabs>
                  <w:tab w:val="left" w:pos="426"/>
                  <w:tab w:val="left" w:pos="6050"/>
                </w:tabs>
                <w:ind w:firstLine="312"/>
                <w:jc w:val="both"/>
                <w:rPr>
                  <w:szCs w:val="24"/>
                  <w:lang w:val="en-US"/>
                </w:rPr>
              </w:pPr>
              <w:sdt>
                <w:sdtPr>
                  <w:alias w:val="Numeris"/>
                  <w:tag w:val="nr_351e11271719482896ddc0794d9f87ea"/>
                  <w:lock w:val="sdtLocked"/>
                  <w:richText/>
                </w:sdtPr>
                <w:sdtContent>
                  <w:r>
                    <w:rPr>
                      <w:szCs w:val="24"/>
                    </w:rPr>
                    <w:t>3</w:t>
                  </w:r>
                </w:sdtContent>
              </w:sdt>
              <w:r>
                <w:rPr>
                  <w:szCs w:val="24"/>
                </w:rPr>
                <w:t xml:space="preserve">. </w:t>
              </w:r>
              <w:r>
                <w:rPr>
                  <w:szCs w:val="24"/>
                  <w:lang w:val="en-US"/>
                </w:rPr>
                <w:t>Tvarkos 5.1</w:t>
              </w:r>
              <w:r>
                <w:rPr>
                  <w:rFonts w:ascii="TimesLT" w:hAnsi="TimesLT"/>
                  <w:sz w:val="20"/>
                  <w:lang w:val="en-US"/>
                </w:rPr>
                <w:t>–</w:t>
              </w:r>
              <w:r>
                <w:rPr>
                  <w:szCs w:val="24"/>
                  <w:lang w:val="en-US"/>
                </w:rPr>
                <w:t>5.7, 5.13</w:t>
              </w:r>
              <w:r>
                <w:rPr>
                  <w:rFonts w:ascii="TimesLT" w:hAnsi="TimesLT"/>
                  <w:sz w:val="20"/>
                  <w:lang w:val="en-US"/>
                </w:rPr>
                <w:t>–</w:t>
              </w:r>
              <w:r>
                <w:rPr>
                  <w:szCs w:val="24"/>
                  <w:lang w:val="en-US"/>
                </w:rPr>
                <w:t>5.17 papunčiuose numatytus tyrimus pagal kompetenciją atlieka šeimos gydytojas, o 5.8</w:t>
              </w:r>
              <w:r>
                <w:rPr>
                  <w:rFonts w:ascii="TimesLT" w:hAnsi="TimesLT"/>
                  <w:sz w:val="20"/>
                  <w:lang w:val="en-US"/>
                </w:rPr>
                <w:t>–</w:t>
              </w:r>
              <w:r>
                <w:rPr>
                  <w:szCs w:val="24"/>
                  <w:lang w:val="en-US"/>
                </w:rPr>
                <w:t>5.13 papunkčiuose nurodytus tyrimus atlieka šeimos gydytojas kartu su bendrosios praktikos slaugytoju, bendruomenės slaugytoju ar išplėstinės praktikos slaugytoju (universitetams parengus išplėstinės praktikos slaugytojus).</w:t>
              </w:r>
            </w:p>
          </w:sdtContent>
        </w:sdt>
        <w:sdt>
          <w:sdtPr>
            <w:alias w:val="pr. 4 p."/>
            <w:tag w:val="part_c8a10659270a444b95f50a9838e92a5b"/>
            <w:lock w:val="sdtLocked"/>
            <w:richText/>
          </w:sdtPr>
          <w:sdtContent>
            <w:p>
              <w:pPr>
                <w:tabs>
                  <w:tab w:val="left" w:pos="426"/>
                  <w:tab w:val="left" w:pos="6050"/>
                </w:tabs>
                <w:ind w:firstLine="312"/>
                <w:jc w:val="both"/>
                <w:rPr>
                  <w:szCs w:val="24"/>
                  <w:lang w:val="en-US"/>
                </w:rPr>
              </w:pPr>
              <w:sdt>
                <w:sdtPr>
                  <w:alias w:val="Numeris"/>
                  <w:tag w:val="nr_c8a10659270a444b95f50a9838e92a5b"/>
                  <w:lock w:val="sdtLocked"/>
                  <w:richText/>
                </w:sdtPr>
                <w:sdtContent>
                  <w:r>
                    <w:rPr>
                      <w:szCs w:val="24"/>
                    </w:rPr>
                    <w:t>4</w:t>
                  </w:r>
                </w:sdtContent>
              </w:sdt>
              <w:r>
                <w:rPr>
                  <w:szCs w:val="24"/>
                </w:rPr>
                <w:t>.Tvarkoje vartojamos sąvokos suprantamos taip, kaip apibrėžta įstatymuose.</w:t>
              </w:r>
            </w:p>
          </w:sdtContent>
        </w:sdt>
        <w:sdt>
          <w:sdtPr>
            <w:alias w:val="pr. 5 p."/>
            <w:tag w:val="part_1a3bb14f36c047f4a86f5eabda2870bf"/>
            <w:lock w:val="sdtLocked"/>
            <w:richText/>
          </w:sdtPr>
          <w:sdtContent>
            <w:p>
              <w:pPr>
                <w:ind w:firstLine="312"/>
                <w:jc w:val="both"/>
                <w:rPr>
                  <w:szCs w:val="24"/>
                </w:rPr>
              </w:pPr>
              <w:sdt>
                <w:sdtPr>
                  <w:alias w:val="Numeris"/>
                  <w:tag w:val="nr_1a3bb14f36c047f4a86f5eabda2870bf"/>
                  <w:lock w:val="sdtLocked"/>
                  <w:richText/>
                </w:sdtPr>
                <w:sdtContent>
                  <w:r>
                    <w:rPr>
                      <w:szCs w:val="24"/>
                    </w:rPr>
                    <w:t>5</w:t>
                  </w:r>
                </w:sdtContent>
              </w:sdt>
              <w:r>
                <w:rPr>
                  <w:szCs w:val="24"/>
                </w:rPr>
                <w:t>. Sveikatos tyrimų, vykdant neinfekcinių ligų profilaktiką ir kontrolę, apimtis ir dažnis:</w:t>
              </w:r>
            </w:p>
            <w:p>
              <w:pPr>
                <w:ind w:firstLine="312"/>
                <w:jc w:val="both"/>
                <w:rPr>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96"/>
                <w:gridCol w:w="2243"/>
                <w:gridCol w:w="1583"/>
                <w:gridCol w:w="1586"/>
                <w:gridCol w:w="1586"/>
                <w:gridCol w:w="1594"/>
              </w:tblGrid>
              <w:tr>
                <w:tc>
                  <w:tcPr>
                    <w:tcW w:w="556" w:type="dxa"/>
                    <w:vMerge w:val="restart"/>
                    <w:shd w:val="clear" w:color="auto" w:fill="auto"/>
                  </w:tcPr>
                  <w:p>
                    <w:pPr>
                      <w:jc w:val="both"/>
                      <w:rPr>
                        <w:szCs w:val="24"/>
                      </w:rPr>
                    </w:pPr>
                    <w:r>
                      <w:rPr>
                        <w:szCs w:val="24"/>
                      </w:rPr>
                      <w:t>Eil.</w:t>
                    </w:r>
                  </w:p>
                  <w:p>
                    <w:pPr>
                      <w:jc w:val="both"/>
                      <w:rPr>
                        <w:szCs w:val="24"/>
                      </w:rPr>
                    </w:pPr>
                    <w:r>
                      <w:rPr>
                        <w:szCs w:val="24"/>
                      </w:rPr>
                      <w:t>Nr.</w:t>
                    </w:r>
                  </w:p>
                </w:tc>
                <w:tc>
                  <w:tcPr>
                    <w:tcW w:w="1710" w:type="dxa"/>
                    <w:vMerge w:val="restart"/>
                    <w:shd w:val="clear" w:color="auto" w:fill="auto"/>
                  </w:tcPr>
                  <w:p>
                    <w:pPr>
                      <w:jc w:val="both"/>
                      <w:rPr>
                        <w:szCs w:val="24"/>
                      </w:rPr>
                    </w:pPr>
                    <w:r>
                      <w:rPr>
                        <w:szCs w:val="24"/>
                      </w:rPr>
                      <w:t>Atliekami</w:t>
                    </w:r>
                  </w:p>
                  <w:p>
                    <w:pPr>
                      <w:jc w:val="both"/>
                      <w:rPr>
                        <w:szCs w:val="24"/>
                      </w:rPr>
                    </w:pPr>
                    <w:r>
                      <w:rPr>
                        <w:szCs w:val="24"/>
                      </w:rPr>
                      <w:t>tyrimai</w:t>
                    </w:r>
                  </w:p>
                </w:tc>
                <w:tc>
                  <w:tcPr>
                    <w:tcW w:w="7588" w:type="dxa"/>
                    <w:gridSpan w:val="4"/>
                    <w:shd w:val="clear" w:color="auto" w:fill="auto"/>
                  </w:tcPr>
                  <w:p>
                    <w:pPr>
                      <w:jc w:val="center"/>
                      <w:rPr>
                        <w:szCs w:val="24"/>
                      </w:rPr>
                    </w:pPr>
                    <w:r>
                      <w:rPr>
                        <w:szCs w:val="24"/>
                      </w:rPr>
                      <w:t>Tyrimų dažnis pagal amžiaus grupes</w:t>
                    </w:r>
                  </w:p>
                </w:tc>
              </w:tr>
              <w:tr>
                <w:tc>
                  <w:tcPr>
                    <w:tcW w:w="556" w:type="dxa"/>
                    <w:vMerge/>
                    <w:shd w:val="clear" w:color="auto" w:fill="auto"/>
                  </w:tcPr>
                  <w:p>
                    <w:pPr>
                      <w:jc w:val="both"/>
                      <w:rPr>
                        <w:szCs w:val="24"/>
                      </w:rPr>
                    </w:pPr>
                  </w:p>
                </w:tc>
                <w:tc>
                  <w:tcPr>
                    <w:tcW w:w="1710" w:type="dxa"/>
                    <w:vMerge/>
                    <w:shd w:val="clear" w:color="auto" w:fill="auto"/>
                  </w:tcPr>
                  <w:p>
                    <w:pPr>
                      <w:jc w:val="both"/>
                      <w:rPr>
                        <w:szCs w:val="24"/>
                      </w:rPr>
                    </w:pPr>
                  </w:p>
                </w:tc>
                <w:tc>
                  <w:tcPr>
                    <w:tcW w:w="1868" w:type="dxa"/>
                    <w:shd w:val="clear" w:color="auto" w:fill="auto"/>
                  </w:tcPr>
                  <w:p>
                    <w:pPr>
                      <w:jc w:val="both"/>
                      <w:rPr>
                        <w:szCs w:val="24"/>
                      </w:rPr>
                    </w:pPr>
                    <w:r>
                      <w:rPr>
                        <w:szCs w:val="24"/>
                      </w:rPr>
                      <w:t>Iki 18 metų</w:t>
                    </w:r>
                  </w:p>
                </w:tc>
                <w:tc>
                  <w:tcPr>
                    <w:tcW w:w="1882" w:type="dxa"/>
                    <w:shd w:val="clear" w:color="auto" w:fill="auto"/>
                  </w:tcPr>
                  <w:p>
                    <w:pPr>
                      <w:jc w:val="both"/>
                      <w:rPr>
                        <w:szCs w:val="24"/>
                      </w:rPr>
                    </w:pPr>
                    <w:r>
                      <w:rPr>
                        <w:szCs w:val="24"/>
                      </w:rPr>
                      <w:t>19</w:t>
                    </w:r>
                    <w:r>
                      <w:rPr>
                        <w:rFonts w:ascii="TimesLT" w:hAnsi="TimesLT"/>
                        <w:sz w:val="20"/>
                        <w:lang w:val="en-US"/>
                      </w:rPr>
                      <w:t>–</w:t>
                    </w:r>
                    <w:r>
                      <w:rPr>
                        <w:szCs w:val="24"/>
                      </w:rPr>
                      <w:t>40 m.</w:t>
                    </w:r>
                  </w:p>
                </w:tc>
                <w:tc>
                  <w:tcPr>
                    <w:tcW w:w="1882" w:type="dxa"/>
                    <w:shd w:val="clear" w:color="auto" w:fill="auto"/>
                  </w:tcPr>
                  <w:p>
                    <w:pPr>
                      <w:jc w:val="both"/>
                      <w:rPr>
                        <w:szCs w:val="24"/>
                      </w:rPr>
                    </w:pPr>
                    <w:r>
                      <w:rPr>
                        <w:szCs w:val="24"/>
                      </w:rPr>
                      <w:t>41</w:t>
                    </w:r>
                    <w:r>
                      <w:rPr>
                        <w:rFonts w:ascii="TimesLT" w:hAnsi="TimesLT"/>
                        <w:sz w:val="20"/>
                        <w:lang w:val="en-US"/>
                      </w:rPr>
                      <w:t>–</w:t>
                    </w:r>
                    <w:r>
                      <w:rPr>
                        <w:szCs w:val="24"/>
                      </w:rPr>
                      <w:t>65 m.</w:t>
                    </w:r>
                  </w:p>
                </w:tc>
                <w:tc>
                  <w:tcPr>
                    <w:tcW w:w="1956" w:type="dxa"/>
                    <w:shd w:val="clear" w:color="auto" w:fill="auto"/>
                  </w:tcPr>
                  <w:p>
                    <w:pPr>
                      <w:jc w:val="both"/>
                      <w:rPr>
                        <w:szCs w:val="24"/>
                      </w:rPr>
                    </w:pPr>
                    <w:r>
                      <w:rPr>
                        <w:szCs w:val="24"/>
                      </w:rPr>
                      <w:t>Nuo 65 metų</w:t>
                    </w:r>
                  </w:p>
                </w:tc>
              </w:tr>
              <w:tr>
                <w:tc>
                  <w:tcPr>
                    <w:tcW w:w="556" w:type="dxa"/>
                    <w:shd w:val="clear" w:color="auto" w:fill="auto"/>
                  </w:tcPr>
                  <w:p>
                    <w:pPr>
                      <w:jc w:val="both"/>
                      <w:rPr>
                        <w:szCs w:val="24"/>
                      </w:rPr>
                    </w:pPr>
                    <w:r>
                      <w:rPr>
                        <w:szCs w:val="24"/>
                      </w:rPr>
                      <w:t>5.1.</w:t>
                    </w:r>
                  </w:p>
                </w:tc>
                <w:tc>
                  <w:tcPr>
                    <w:tcW w:w="1710" w:type="dxa"/>
                    <w:shd w:val="clear" w:color="auto" w:fill="auto"/>
                  </w:tcPr>
                  <w:p>
                    <w:pPr>
                      <w:widowControl w:val="0"/>
                      <w:tabs>
                        <w:tab w:val="num" w:pos="360"/>
                      </w:tabs>
                      <w:rPr>
                        <w:szCs w:val="24"/>
                      </w:rPr>
                    </w:pPr>
                    <w:r>
                      <w:rPr>
                        <w:szCs w:val="24"/>
                      </w:rPr>
                      <w:t>Odos ir matomų</w:t>
                    </w:r>
                  </w:p>
                  <w:p>
                    <w:pPr>
                      <w:rPr>
                        <w:szCs w:val="24"/>
                      </w:rPr>
                    </w:pPr>
                    <w:r>
                      <w:rPr>
                        <w:szCs w:val="24"/>
                        <w:lang w:val="en-US"/>
                      </w:rPr>
                      <w:t>gleivinių apžiūra</w:t>
                    </w:r>
                  </w:p>
                </w:tc>
                <w:tc>
                  <w:tcPr>
                    <w:tcW w:w="1868" w:type="dxa"/>
                    <w:shd w:val="clear" w:color="auto" w:fill="auto"/>
                  </w:tcPr>
                  <w:p>
                    <w:pPr>
                      <w:widowControl w:val="0"/>
                      <w:tabs>
                        <w:tab w:val="num" w:pos="360"/>
                      </w:tabs>
                      <w:rPr>
                        <w:szCs w:val="24"/>
                      </w:rPr>
                    </w:pPr>
                    <w:r>
                      <w:rPr>
                        <w:szCs w:val="24"/>
                      </w:rPr>
                      <w:t>1 kartą per 2 metus, jei nėra rizikos veiksnių, jei yra – 2 kartus per metus</w:t>
                    </w:r>
                  </w:p>
                </w:tc>
                <w:tc>
                  <w:tcPr>
                    <w:tcW w:w="1882" w:type="dxa"/>
                    <w:shd w:val="clear" w:color="auto" w:fill="auto"/>
                  </w:tcPr>
                  <w:p>
                    <w:pPr>
                      <w:widowControl w:val="0"/>
                      <w:tabs>
                        <w:tab w:val="num" w:pos="360"/>
                      </w:tabs>
                      <w:rPr>
                        <w:szCs w:val="24"/>
                      </w:rPr>
                    </w:pPr>
                    <w:r>
                      <w:rPr>
                        <w:szCs w:val="24"/>
                      </w:rPr>
                      <w:t>1 kartą per 2 metus, jei nėra rizikos veiksnių, jei yra – 2 kartus per metus</w:t>
                    </w:r>
                  </w:p>
                </w:tc>
                <w:tc>
                  <w:tcPr>
                    <w:tcW w:w="1882" w:type="dxa"/>
                    <w:shd w:val="clear" w:color="auto" w:fill="auto"/>
                  </w:tcPr>
                  <w:p>
                    <w:pPr>
                      <w:widowControl w:val="0"/>
                      <w:tabs>
                        <w:tab w:val="num" w:pos="360"/>
                      </w:tabs>
                      <w:rPr>
                        <w:szCs w:val="24"/>
                      </w:rPr>
                    </w:pPr>
                    <w:r>
                      <w:rPr>
                        <w:szCs w:val="24"/>
                      </w:rPr>
                      <w:t xml:space="preserve">1 kartą per 2 metus, jei nėra </w:t>
                    </w:r>
                  </w:p>
                  <w:p>
                    <w:pPr>
                      <w:widowControl w:val="0"/>
                      <w:tabs>
                        <w:tab w:val="num" w:pos="360"/>
                      </w:tabs>
                      <w:rPr>
                        <w:szCs w:val="24"/>
                      </w:rPr>
                    </w:pPr>
                    <w:r>
                      <w:rPr>
                        <w:szCs w:val="24"/>
                      </w:rPr>
                      <w:t>rizikos veiksnių, jei yra – 2 kar-</w:t>
                    </w:r>
                  </w:p>
                  <w:p>
                    <w:pPr>
                      <w:rPr>
                        <w:szCs w:val="24"/>
                      </w:rPr>
                    </w:pPr>
                    <w:r>
                      <w:rPr>
                        <w:szCs w:val="24"/>
                        <w:lang w:val="en-US"/>
                      </w:rPr>
                      <w:t>tus per metus</w:t>
                    </w:r>
                  </w:p>
                </w:tc>
                <w:tc>
                  <w:tcPr>
                    <w:tcW w:w="1956" w:type="dxa"/>
                    <w:shd w:val="clear" w:color="auto" w:fill="auto"/>
                  </w:tcPr>
                  <w:p>
                    <w:pPr>
                      <w:widowControl w:val="0"/>
                      <w:tabs>
                        <w:tab w:val="num" w:pos="360"/>
                      </w:tabs>
                      <w:rPr>
                        <w:szCs w:val="24"/>
                      </w:rPr>
                    </w:pPr>
                    <w:r>
                      <w:rPr>
                        <w:szCs w:val="24"/>
                      </w:rPr>
                      <w:t>1 kartą per 2 metus, jei nėra rizikos veiksnių, jei yra – 2 kartus per metus</w:t>
                    </w:r>
                  </w:p>
                </w:tc>
              </w:tr>
              <w:tr>
                <w:tc>
                  <w:tcPr>
                    <w:tcW w:w="556" w:type="dxa"/>
                    <w:shd w:val="clear" w:color="auto" w:fill="auto"/>
                  </w:tcPr>
                  <w:p>
                    <w:pPr>
                      <w:jc w:val="both"/>
                      <w:rPr>
                        <w:szCs w:val="24"/>
                      </w:rPr>
                    </w:pPr>
                    <w:r>
                      <w:rPr>
                        <w:szCs w:val="24"/>
                      </w:rPr>
                      <w:t>5.2.</w:t>
                    </w:r>
                  </w:p>
                </w:tc>
                <w:tc>
                  <w:tcPr>
                    <w:tcW w:w="1710" w:type="dxa"/>
                    <w:shd w:val="clear" w:color="auto" w:fill="auto"/>
                  </w:tcPr>
                  <w:p>
                    <w:pPr>
                      <w:rPr>
                        <w:szCs w:val="24"/>
                      </w:rPr>
                    </w:pPr>
                    <w:r>
                      <w:rPr>
                        <w:szCs w:val="24"/>
                        <w:lang w:val="en-US"/>
                      </w:rPr>
                      <w:t>Burnos apžiūra</w:t>
                    </w:r>
                  </w:p>
                </w:tc>
                <w:tc>
                  <w:tcPr>
                    <w:tcW w:w="1868" w:type="dxa"/>
                    <w:shd w:val="clear" w:color="auto" w:fill="auto"/>
                  </w:tcPr>
                  <w:p>
                    <w:pPr>
                      <w:rPr>
                        <w:szCs w:val="24"/>
                      </w:rPr>
                    </w:pPr>
                    <w:r>
                      <w:rPr>
                        <w:szCs w:val="24"/>
                        <w:lang w:val="en-US"/>
                      </w:rPr>
                      <w:t>1 kartą per metus</w:t>
                    </w:r>
                  </w:p>
                </w:tc>
                <w:tc>
                  <w:tcPr>
                    <w:tcW w:w="1882" w:type="dxa"/>
                    <w:shd w:val="clear" w:color="auto" w:fill="auto"/>
                  </w:tcPr>
                  <w:p>
                    <w:pPr>
                      <w:rPr>
                        <w:szCs w:val="24"/>
                      </w:rPr>
                    </w:pPr>
                    <w:r>
                      <w:rPr>
                        <w:szCs w:val="24"/>
                        <w:lang w:val="en-US"/>
                      </w:rPr>
                      <w:t>1 kartą per metus</w:t>
                    </w:r>
                  </w:p>
                </w:tc>
                <w:tc>
                  <w:tcPr>
                    <w:tcW w:w="1882" w:type="dxa"/>
                    <w:shd w:val="clear" w:color="auto" w:fill="auto"/>
                  </w:tcPr>
                  <w:p>
                    <w:pPr>
                      <w:rPr>
                        <w:szCs w:val="24"/>
                      </w:rPr>
                    </w:pPr>
                    <w:r>
                      <w:rPr>
                        <w:szCs w:val="24"/>
                        <w:lang w:val="en-US"/>
                      </w:rPr>
                      <w:t>1 kartą per metus</w:t>
                    </w:r>
                  </w:p>
                </w:tc>
                <w:tc>
                  <w:tcPr>
                    <w:tcW w:w="1956" w:type="dxa"/>
                    <w:shd w:val="clear" w:color="auto" w:fill="auto"/>
                  </w:tcPr>
                  <w:p>
                    <w:pPr>
                      <w:rPr>
                        <w:szCs w:val="24"/>
                      </w:rPr>
                    </w:pPr>
                    <w:r>
                      <w:rPr>
                        <w:szCs w:val="24"/>
                        <w:lang w:val="en-US"/>
                      </w:rPr>
                      <w:t>1 kartą per metus</w:t>
                    </w:r>
                  </w:p>
                </w:tc>
              </w:tr>
              <w:tr>
                <w:tc>
                  <w:tcPr>
                    <w:tcW w:w="556" w:type="dxa"/>
                    <w:shd w:val="clear" w:color="auto" w:fill="auto"/>
                  </w:tcPr>
                  <w:p>
                    <w:pPr>
                      <w:jc w:val="both"/>
                      <w:rPr>
                        <w:szCs w:val="24"/>
                      </w:rPr>
                    </w:pPr>
                    <w:r>
                      <w:rPr>
                        <w:szCs w:val="24"/>
                      </w:rPr>
                      <w:t>5.3.</w:t>
                    </w:r>
                  </w:p>
                </w:tc>
                <w:tc>
                  <w:tcPr>
                    <w:tcW w:w="1710" w:type="dxa"/>
                    <w:shd w:val="clear" w:color="auto" w:fill="auto"/>
                  </w:tcPr>
                  <w:p>
                    <w:pPr>
                      <w:rPr>
                        <w:szCs w:val="24"/>
                      </w:rPr>
                    </w:pPr>
                    <w:r>
                      <w:rPr>
                        <w:szCs w:val="24"/>
                        <w:lang w:val="en-US"/>
                      </w:rPr>
                      <w:t>Periferinių limfmazgių apčiuopa</w:t>
                    </w:r>
                  </w:p>
                </w:tc>
                <w:tc>
                  <w:tcPr>
                    <w:tcW w:w="1868" w:type="dxa"/>
                    <w:shd w:val="clear" w:color="auto" w:fill="auto"/>
                  </w:tcPr>
                  <w:p>
                    <w:pPr>
                      <w:rPr>
                        <w:szCs w:val="24"/>
                      </w:rPr>
                    </w:pPr>
                    <w:r>
                      <w:rPr>
                        <w:szCs w:val="24"/>
                      </w:rPr>
                      <w:t>Kiekvieno profilaktinio tikrinimo metu</w:t>
                    </w:r>
                  </w:p>
                </w:tc>
                <w:tc>
                  <w:tcPr>
                    <w:tcW w:w="1882" w:type="dxa"/>
                    <w:shd w:val="clear" w:color="auto" w:fill="auto"/>
                  </w:tcPr>
                  <w:p>
                    <w:pPr>
                      <w:rPr>
                        <w:szCs w:val="24"/>
                      </w:rPr>
                    </w:pPr>
                    <w:r>
                      <w:rPr>
                        <w:szCs w:val="24"/>
                      </w:rPr>
                      <w:t>Kiekvieno profilaktinio tikrinimo metu</w:t>
                    </w:r>
                  </w:p>
                </w:tc>
                <w:tc>
                  <w:tcPr>
                    <w:tcW w:w="1882" w:type="dxa"/>
                    <w:shd w:val="clear" w:color="auto" w:fill="auto"/>
                  </w:tcPr>
                  <w:p>
                    <w:pPr>
                      <w:rPr>
                        <w:szCs w:val="24"/>
                      </w:rPr>
                    </w:pPr>
                    <w:r>
                      <w:rPr>
                        <w:szCs w:val="24"/>
                      </w:rPr>
                      <w:t>Kiekvieno profilaktinio tikrinimo metu</w:t>
                    </w:r>
                  </w:p>
                </w:tc>
                <w:tc>
                  <w:tcPr>
                    <w:tcW w:w="1956" w:type="dxa"/>
                    <w:shd w:val="clear" w:color="auto" w:fill="auto"/>
                  </w:tcPr>
                  <w:p>
                    <w:pPr>
                      <w:rPr>
                        <w:szCs w:val="24"/>
                      </w:rPr>
                    </w:pPr>
                    <w:r>
                      <w:rPr>
                        <w:szCs w:val="24"/>
                      </w:rPr>
                      <w:t>Kiekvieno profilaktinio tikrinimo metu</w:t>
                    </w:r>
                  </w:p>
                </w:tc>
              </w:tr>
              <w:tr>
                <w:tc>
                  <w:tcPr>
                    <w:tcW w:w="556" w:type="dxa"/>
                    <w:shd w:val="clear" w:color="auto" w:fill="auto"/>
                  </w:tcPr>
                  <w:p>
                    <w:pPr>
                      <w:jc w:val="both"/>
                      <w:rPr>
                        <w:szCs w:val="24"/>
                      </w:rPr>
                    </w:pPr>
                    <w:r>
                      <w:rPr>
                        <w:szCs w:val="24"/>
                      </w:rPr>
                      <w:t>5.4.</w:t>
                    </w:r>
                  </w:p>
                </w:tc>
                <w:tc>
                  <w:tcPr>
                    <w:tcW w:w="1710" w:type="dxa"/>
                    <w:shd w:val="clear" w:color="auto" w:fill="auto"/>
                  </w:tcPr>
                  <w:p>
                    <w:pPr>
                      <w:rPr>
                        <w:szCs w:val="24"/>
                      </w:rPr>
                    </w:pPr>
                    <w:r>
                      <w:rPr>
                        <w:szCs w:val="24"/>
                      </w:rPr>
                      <w:t>Krūtų apžiūra ir apčiuopa</w:t>
                    </w:r>
                  </w:p>
                  <w:p>
                    <w:pPr>
                      <w:rPr>
                        <w:szCs w:val="24"/>
                      </w:rPr>
                    </w:pPr>
                  </w:p>
                  <w:p>
                    <w:pPr>
                      <w:rPr>
                        <w:szCs w:val="24"/>
                      </w:rPr>
                    </w:pPr>
                  </w:p>
                  <w:p>
                    <w:pPr>
                      <w:rPr>
                        <w:szCs w:val="24"/>
                      </w:rPr>
                    </w:pPr>
                  </w:p>
                  <w:p>
                    <w:pPr>
                      <w:rPr>
                        <w:szCs w:val="24"/>
                      </w:rPr>
                    </w:pPr>
                    <w:r>
                      <w:rPr>
                        <w:szCs w:val="24"/>
                      </w:rPr>
                      <w:t>Mamografija</w:t>
                    </w:r>
                  </w:p>
                </w:tc>
                <w:tc>
                  <w:tcPr>
                    <w:tcW w:w="1868" w:type="dxa"/>
                    <w:shd w:val="clear" w:color="auto" w:fill="auto"/>
                  </w:tcPr>
                  <w:p>
                    <w:pPr>
                      <w:rPr>
                        <w:szCs w:val="24"/>
                      </w:rPr>
                    </w:pPr>
                    <w:r>
                      <w:rPr>
                        <w:szCs w:val="24"/>
                      </w:rPr>
                      <w:t>1 kartą per 2 metus</w:t>
                    </w:r>
                  </w:p>
                  <w:p>
                    <w:pPr>
                      <w:rPr>
                        <w:szCs w:val="24"/>
                      </w:rPr>
                    </w:pPr>
                  </w:p>
                  <w:p>
                    <w:pPr>
                      <w:rPr>
                        <w:szCs w:val="24"/>
                      </w:rPr>
                    </w:pPr>
                  </w:p>
                  <w:p>
                    <w:pPr>
                      <w:rPr>
                        <w:szCs w:val="24"/>
                      </w:rPr>
                    </w:pPr>
                  </w:p>
                  <w:p>
                    <w:pPr>
                      <w:rPr>
                        <w:szCs w:val="24"/>
                      </w:rPr>
                    </w:pPr>
                    <w:r>
                      <w:rPr>
                        <w:szCs w:val="24"/>
                      </w:rPr>
                      <w:t>Esant indikacijų</w:t>
                    </w:r>
                  </w:p>
                </w:tc>
                <w:tc>
                  <w:tcPr>
                    <w:tcW w:w="1882" w:type="dxa"/>
                    <w:shd w:val="clear" w:color="auto" w:fill="auto"/>
                  </w:tcPr>
                  <w:p>
                    <w:pPr>
                      <w:rPr>
                        <w:szCs w:val="24"/>
                      </w:rPr>
                    </w:pPr>
                    <w:r>
                      <w:rPr>
                        <w:szCs w:val="24"/>
                      </w:rPr>
                      <w:t>1 kartą per metus</w:t>
                    </w:r>
                  </w:p>
                  <w:p>
                    <w:pPr>
                      <w:rPr>
                        <w:szCs w:val="24"/>
                      </w:rPr>
                    </w:pPr>
                  </w:p>
                  <w:p>
                    <w:pPr>
                      <w:rPr>
                        <w:szCs w:val="24"/>
                      </w:rPr>
                    </w:pPr>
                  </w:p>
                  <w:p>
                    <w:pPr>
                      <w:rPr>
                        <w:szCs w:val="24"/>
                      </w:rPr>
                    </w:pPr>
                  </w:p>
                  <w:p>
                    <w:pPr>
                      <w:rPr>
                        <w:szCs w:val="24"/>
                      </w:rPr>
                    </w:pPr>
                    <w:r>
                      <w:rPr>
                        <w:szCs w:val="24"/>
                      </w:rPr>
                      <w:t>Esant indikacijų</w:t>
                    </w:r>
                  </w:p>
                </w:tc>
                <w:tc>
                  <w:tcPr>
                    <w:tcW w:w="1882" w:type="dxa"/>
                    <w:shd w:val="clear" w:color="auto" w:fill="auto"/>
                  </w:tcPr>
                  <w:p>
                    <w:pPr>
                      <w:rPr>
                        <w:szCs w:val="24"/>
                      </w:rPr>
                    </w:pPr>
                    <w:r>
                      <w:rPr>
                        <w:szCs w:val="24"/>
                      </w:rPr>
                      <w:t>1 kartą per metus</w:t>
                    </w:r>
                  </w:p>
                  <w:p>
                    <w:pPr>
                      <w:rPr>
                        <w:szCs w:val="24"/>
                      </w:rPr>
                    </w:pPr>
                  </w:p>
                  <w:p>
                    <w:pPr>
                      <w:rPr>
                        <w:szCs w:val="24"/>
                      </w:rPr>
                    </w:pPr>
                  </w:p>
                  <w:p>
                    <w:pPr>
                      <w:rPr>
                        <w:szCs w:val="24"/>
                      </w:rPr>
                    </w:pPr>
                  </w:p>
                  <w:p>
                    <w:pPr>
                      <w:rPr>
                        <w:szCs w:val="24"/>
                      </w:rPr>
                    </w:pPr>
                    <w:r>
                      <w:rPr>
                        <w:szCs w:val="24"/>
                      </w:rPr>
                      <w:t>Esant indikacijų,</w:t>
                    </w:r>
                  </w:p>
                  <w:p>
                    <w:pPr>
                      <w:rPr>
                        <w:szCs w:val="24"/>
                      </w:rPr>
                    </w:pPr>
                    <w:r>
                      <w:rPr>
                        <w:szCs w:val="24"/>
                      </w:rPr>
                      <w:t>50</w:t>
                    </w:r>
                    <w:r>
                      <w:rPr>
                        <w:rFonts w:ascii="TimesLT" w:hAnsi="TimesLT"/>
                        <w:sz w:val="20"/>
                        <w:lang w:val="en-US"/>
                      </w:rPr>
                      <w:t>–</w:t>
                    </w:r>
                    <w:r>
                      <w:rPr>
                        <w:szCs w:val="24"/>
                      </w:rPr>
                      <w:t>65 m. 1 kartą per 2 metus</w:t>
                    </w:r>
                  </w:p>
                </w:tc>
                <w:tc>
                  <w:tcPr>
                    <w:tcW w:w="1956" w:type="dxa"/>
                    <w:shd w:val="clear" w:color="auto" w:fill="auto"/>
                  </w:tcPr>
                  <w:p>
                    <w:pPr>
                      <w:rPr>
                        <w:szCs w:val="24"/>
                      </w:rPr>
                    </w:pPr>
                    <w:r>
                      <w:rPr>
                        <w:szCs w:val="24"/>
                      </w:rPr>
                      <w:t>1 kartą per metus</w:t>
                    </w:r>
                  </w:p>
                  <w:p>
                    <w:pPr>
                      <w:rPr>
                        <w:szCs w:val="24"/>
                      </w:rPr>
                    </w:pPr>
                  </w:p>
                  <w:p>
                    <w:pPr>
                      <w:rPr>
                        <w:szCs w:val="24"/>
                      </w:rPr>
                    </w:pPr>
                  </w:p>
                  <w:p>
                    <w:pPr>
                      <w:rPr>
                        <w:szCs w:val="24"/>
                      </w:rPr>
                    </w:pPr>
                  </w:p>
                  <w:p>
                    <w:pPr>
                      <w:rPr>
                        <w:szCs w:val="24"/>
                      </w:rPr>
                    </w:pPr>
                    <w:r>
                      <w:rPr>
                        <w:szCs w:val="24"/>
                      </w:rPr>
                      <w:t>Esant indikacijų,</w:t>
                    </w:r>
                  </w:p>
                  <w:p>
                    <w:pPr>
                      <w:rPr>
                        <w:szCs w:val="24"/>
                      </w:rPr>
                    </w:pPr>
                    <w:r>
                      <w:rPr>
                        <w:szCs w:val="24"/>
                      </w:rPr>
                      <w:t>65</w:t>
                    </w:r>
                    <w:r>
                      <w:rPr>
                        <w:rFonts w:ascii="TimesLT" w:hAnsi="TimesLT"/>
                        <w:sz w:val="20"/>
                        <w:lang w:val="en-US"/>
                      </w:rPr>
                      <w:t>–</w:t>
                    </w:r>
                    <w:r>
                      <w:rPr>
                        <w:szCs w:val="24"/>
                      </w:rPr>
                      <w:t>69 m. 1 kartą per 2 metus</w:t>
                    </w:r>
                  </w:p>
                </w:tc>
              </w:tr>
              <w:tr>
                <w:tc>
                  <w:tcPr>
                    <w:tcW w:w="556" w:type="dxa"/>
                    <w:shd w:val="clear" w:color="auto" w:fill="auto"/>
                  </w:tcPr>
                  <w:p>
                    <w:pPr>
                      <w:jc w:val="both"/>
                      <w:rPr>
                        <w:szCs w:val="24"/>
                      </w:rPr>
                    </w:pPr>
                    <w:r>
                      <w:rPr>
                        <w:szCs w:val="24"/>
                      </w:rPr>
                      <w:t>5.5.</w:t>
                    </w:r>
                  </w:p>
                </w:tc>
                <w:tc>
                  <w:tcPr>
                    <w:tcW w:w="1710" w:type="dxa"/>
                    <w:shd w:val="clear" w:color="auto" w:fill="auto"/>
                  </w:tcPr>
                  <w:p>
                    <w:pPr>
                      <w:rPr>
                        <w:szCs w:val="24"/>
                      </w:rPr>
                    </w:pPr>
                    <w:r>
                      <w:rPr>
                        <w:szCs w:val="24"/>
                      </w:rPr>
                      <w:t>Ginekologinė apžiūra</w:t>
                    </w:r>
                  </w:p>
                </w:tc>
                <w:tc>
                  <w:tcPr>
                    <w:tcW w:w="1868" w:type="dxa"/>
                    <w:shd w:val="clear" w:color="auto" w:fill="auto"/>
                  </w:tcPr>
                  <w:p>
                    <w:pPr>
                      <w:rPr>
                        <w:szCs w:val="24"/>
                      </w:rPr>
                    </w:pPr>
                    <w:r>
                      <w:rPr>
                        <w:szCs w:val="24"/>
                      </w:rPr>
                      <w:t>Esant indikacijų</w:t>
                    </w:r>
                  </w:p>
                </w:tc>
                <w:tc>
                  <w:tcPr>
                    <w:tcW w:w="1882" w:type="dxa"/>
                    <w:shd w:val="clear" w:color="auto" w:fill="auto"/>
                  </w:tcPr>
                  <w:p>
                    <w:pPr>
                      <w:rPr>
                        <w:szCs w:val="24"/>
                      </w:rPr>
                    </w:pPr>
                    <w:r>
                      <w:rPr>
                        <w:szCs w:val="24"/>
                      </w:rPr>
                      <w:t>Nuo 20 m. 1 kartą per metus, esant indikacijų – profilaktinis diagnostinis citologinis tyrimas</w:t>
                    </w:r>
                  </w:p>
                </w:tc>
                <w:tc>
                  <w:tcPr>
                    <w:tcW w:w="1882" w:type="dxa"/>
                    <w:shd w:val="clear" w:color="auto" w:fill="auto"/>
                  </w:tcPr>
                  <w:p>
                    <w:pPr>
                      <w:rPr>
                        <w:szCs w:val="24"/>
                      </w:rPr>
                    </w:pPr>
                    <w:r>
                      <w:rPr>
                        <w:szCs w:val="24"/>
                      </w:rPr>
                      <w:t>1 kartą per metus, esant indikacijų – diagnostinis citologinis tyrimas</w:t>
                    </w:r>
                  </w:p>
                </w:tc>
                <w:tc>
                  <w:tcPr>
                    <w:tcW w:w="1956" w:type="dxa"/>
                    <w:shd w:val="clear" w:color="auto" w:fill="auto"/>
                  </w:tcPr>
                  <w:p>
                    <w:pPr>
                      <w:rPr>
                        <w:szCs w:val="24"/>
                      </w:rPr>
                    </w:pPr>
                    <w:r>
                      <w:rPr>
                        <w:szCs w:val="24"/>
                      </w:rPr>
                      <w:t>1 kartą per metus, esant indikacijų – diagnostinis citologinis tyrimas</w:t>
                    </w:r>
                  </w:p>
                </w:tc>
              </w:tr>
              <w:tr>
                <w:tc>
                  <w:tcPr>
                    <w:tcW w:w="556" w:type="dxa"/>
                    <w:shd w:val="clear" w:color="auto" w:fill="auto"/>
                  </w:tcPr>
                  <w:p>
                    <w:pPr>
                      <w:jc w:val="both"/>
                      <w:rPr>
                        <w:szCs w:val="24"/>
                      </w:rPr>
                    </w:pPr>
                    <w:r>
                      <w:rPr>
                        <w:szCs w:val="24"/>
                      </w:rPr>
                      <w:t>5.6.</w:t>
                    </w:r>
                  </w:p>
                </w:tc>
                <w:tc>
                  <w:tcPr>
                    <w:tcW w:w="1710" w:type="dxa"/>
                    <w:shd w:val="clear" w:color="auto" w:fill="auto"/>
                  </w:tcPr>
                  <w:p>
                    <w:pPr>
                      <w:rPr>
                        <w:szCs w:val="24"/>
                      </w:rPr>
                    </w:pPr>
                    <w:r>
                      <w:rPr>
                        <w:szCs w:val="24"/>
                      </w:rPr>
                      <w:t>Tiesiosios žarnos ir su ja susijusių organų tyrimas pirštu</w:t>
                    </w:r>
                  </w:p>
                </w:tc>
                <w:tc>
                  <w:tcPr>
                    <w:tcW w:w="1868" w:type="dxa"/>
                    <w:shd w:val="clear" w:color="auto" w:fill="auto"/>
                  </w:tcPr>
                  <w:p>
                    <w:pPr>
                      <w:rPr>
                        <w:szCs w:val="24"/>
                      </w:rPr>
                    </w:pPr>
                    <w:r>
                      <w:rPr>
                        <w:szCs w:val="24"/>
                      </w:rPr>
                      <w:t>Esant indikacijų</w:t>
                    </w:r>
                  </w:p>
                </w:tc>
                <w:tc>
                  <w:tcPr>
                    <w:tcW w:w="1882" w:type="dxa"/>
                    <w:shd w:val="clear" w:color="auto" w:fill="auto"/>
                  </w:tcPr>
                  <w:p>
                    <w:pPr>
                      <w:rPr>
                        <w:szCs w:val="24"/>
                      </w:rPr>
                    </w:pPr>
                    <w:r>
                      <w:rPr>
                        <w:szCs w:val="24"/>
                      </w:rPr>
                      <w:t>1 kartą per 2 metus</w:t>
                    </w:r>
                  </w:p>
                </w:tc>
                <w:tc>
                  <w:tcPr>
                    <w:tcW w:w="1882" w:type="dxa"/>
                    <w:shd w:val="clear" w:color="auto" w:fill="auto"/>
                  </w:tcPr>
                  <w:p>
                    <w:pPr>
                      <w:rPr>
                        <w:szCs w:val="24"/>
                      </w:rPr>
                    </w:pPr>
                    <w:r>
                      <w:rPr>
                        <w:szCs w:val="24"/>
                      </w:rPr>
                      <w:t>41</w:t>
                    </w:r>
                    <w:r>
                      <w:rPr>
                        <w:rFonts w:ascii="TimesLT" w:hAnsi="TimesLT"/>
                        <w:sz w:val="20"/>
                        <w:lang w:val="en-US"/>
                      </w:rPr>
                      <w:t>–</w:t>
                    </w:r>
                    <w:r>
                      <w:rPr>
                        <w:szCs w:val="24"/>
                      </w:rPr>
                      <w:t>50 m. – 1 kartą per 2 metus, nuo 50 m. – 1 kartą per metus</w:t>
                    </w:r>
                  </w:p>
                </w:tc>
                <w:tc>
                  <w:tcPr>
                    <w:tcW w:w="1956" w:type="dxa"/>
                    <w:shd w:val="clear" w:color="auto" w:fill="auto"/>
                  </w:tcPr>
                  <w:p>
                    <w:pPr>
                      <w:rPr>
                        <w:szCs w:val="24"/>
                      </w:rPr>
                    </w:pPr>
                    <w:r>
                      <w:rPr>
                        <w:szCs w:val="24"/>
                      </w:rPr>
                      <w:t>1 kartą per metus</w:t>
                    </w:r>
                  </w:p>
                </w:tc>
              </w:tr>
              <w:tr>
                <w:tc>
                  <w:tcPr>
                    <w:tcW w:w="556" w:type="dxa"/>
                    <w:shd w:val="clear" w:color="auto" w:fill="auto"/>
                  </w:tcPr>
                  <w:p>
                    <w:pPr>
                      <w:jc w:val="both"/>
                      <w:rPr>
                        <w:szCs w:val="24"/>
                      </w:rPr>
                    </w:pPr>
                    <w:r>
                      <w:rPr>
                        <w:szCs w:val="24"/>
                      </w:rPr>
                      <w:t>5.7.</w:t>
                    </w:r>
                  </w:p>
                </w:tc>
                <w:tc>
                  <w:tcPr>
                    <w:tcW w:w="1710" w:type="dxa"/>
                    <w:shd w:val="clear" w:color="auto" w:fill="auto"/>
                  </w:tcPr>
                  <w:p>
                    <w:pPr>
                      <w:rPr>
                        <w:szCs w:val="24"/>
                      </w:rPr>
                    </w:pPr>
                    <w:r>
                      <w:rPr>
                        <w:szCs w:val="24"/>
                      </w:rPr>
                      <w:t>Plaučių rentgenologinis ištyrimas</w:t>
                    </w:r>
                  </w:p>
                </w:tc>
                <w:tc>
                  <w:tcPr>
                    <w:tcW w:w="1868" w:type="dxa"/>
                    <w:shd w:val="clear" w:color="auto" w:fill="auto"/>
                  </w:tcPr>
                  <w:p>
                    <w:pPr>
                      <w:rPr>
                        <w:szCs w:val="24"/>
                      </w:rPr>
                    </w:pPr>
                    <w:r>
                      <w:rPr>
                        <w:szCs w:val="24"/>
                      </w:rPr>
                      <w:t>Esant indikacijų, asmenims, kontaktuojan-</w:t>
                    </w:r>
                  </w:p>
                  <w:p>
                    <w:pPr>
                      <w:rPr>
                        <w:szCs w:val="24"/>
                      </w:rPr>
                    </w:pPr>
                    <w:r>
                      <w:rPr>
                        <w:szCs w:val="24"/>
                      </w:rPr>
                      <w:t>tiems su sergančiais atvira tuberkulioze, ŽIV nešiotojams bei sergantiems AIDS, 1 kartą per metus</w:t>
                    </w:r>
                  </w:p>
                </w:tc>
                <w:tc>
                  <w:tcPr>
                    <w:tcW w:w="1882" w:type="dxa"/>
                    <w:shd w:val="clear" w:color="auto" w:fill="auto"/>
                  </w:tcPr>
                  <w:p>
                    <w:pPr>
                      <w:rPr>
                        <w:szCs w:val="24"/>
                      </w:rPr>
                    </w:pPr>
                    <w:r>
                      <w:rPr>
                        <w:szCs w:val="24"/>
                      </w:rPr>
                      <w:t>Esant indikacijų, asmenims, kontaktuojan-</w:t>
                    </w:r>
                  </w:p>
                  <w:p>
                    <w:pPr>
                      <w:rPr>
                        <w:szCs w:val="24"/>
                      </w:rPr>
                    </w:pPr>
                    <w:r>
                      <w:rPr>
                        <w:szCs w:val="24"/>
                      </w:rPr>
                      <w:t>tiems su sergančiais atvira tuberkulioze, ŽIV nešiotojams bei sergantiems AIDS, 1 kartą per metus</w:t>
                    </w:r>
                  </w:p>
                </w:tc>
                <w:tc>
                  <w:tcPr>
                    <w:tcW w:w="1882" w:type="dxa"/>
                    <w:shd w:val="clear" w:color="auto" w:fill="auto"/>
                  </w:tcPr>
                  <w:p>
                    <w:pPr>
                      <w:rPr>
                        <w:szCs w:val="24"/>
                      </w:rPr>
                    </w:pPr>
                    <w:r>
                      <w:rPr>
                        <w:szCs w:val="24"/>
                      </w:rPr>
                      <w:t>Esant indikacijų, asmenims, kontaktuojan-</w:t>
                    </w:r>
                  </w:p>
                  <w:p>
                    <w:pPr>
                      <w:rPr>
                        <w:szCs w:val="24"/>
                      </w:rPr>
                    </w:pPr>
                    <w:r>
                      <w:rPr>
                        <w:szCs w:val="24"/>
                      </w:rPr>
                      <w:t>tiems su sergančiais atvira tuberkulioze, ŽIV nešiotojams bei sergantiems AIDS, 1 kartą per metus</w:t>
                    </w:r>
                  </w:p>
                </w:tc>
                <w:tc>
                  <w:tcPr>
                    <w:tcW w:w="1956" w:type="dxa"/>
                    <w:shd w:val="clear" w:color="auto" w:fill="auto"/>
                  </w:tcPr>
                  <w:p>
                    <w:pPr>
                      <w:rPr>
                        <w:szCs w:val="24"/>
                      </w:rPr>
                    </w:pPr>
                    <w:r>
                      <w:rPr>
                        <w:szCs w:val="24"/>
                      </w:rPr>
                      <w:t>Esant indikacijų, asmenims, kontaktuojan-</w:t>
                    </w:r>
                  </w:p>
                  <w:p>
                    <w:pPr>
                      <w:rPr>
                        <w:szCs w:val="24"/>
                      </w:rPr>
                    </w:pPr>
                    <w:r>
                      <w:rPr>
                        <w:szCs w:val="24"/>
                      </w:rPr>
                      <w:t>tiems su sergančiais atvira tuberkulioze, ŽIV nešiotojams bei sergantiems AIDS, 1 kartą per metus</w:t>
                    </w:r>
                  </w:p>
                </w:tc>
              </w:tr>
              <w:tr>
                <w:tc>
                  <w:tcPr>
                    <w:tcW w:w="556" w:type="dxa"/>
                    <w:shd w:val="clear" w:color="auto" w:fill="auto"/>
                  </w:tcPr>
                  <w:p>
                    <w:pPr>
                      <w:jc w:val="both"/>
                      <w:rPr>
                        <w:szCs w:val="24"/>
                      </w:rPr>
                    </w:pPr>
                    <w:r>
                      <w:rPr>
                        <w:szCs w:val="24"/>
                      </w:rPr>
                      <w:t>5.8.</w:t>
                    </w:r>
                  </w:p>
                </w:tc>
                <w:tc>
                  <w:tcPr>
                    <w:tcW w:w="1710" w:type="dxa"/>
                    <w:shd w:val="clear" w:color="auto" w:fill="auto"/>
                  </w:tcPr>
                  <w:p>
                    <w:pPr>
                      <w:rPr>
                        <w:szCs w:val="24"/>
                      </w:rPr>
                    </w:pPr>
                    <w:r>
                      <w:rPr>
                        <w:szCs w:val="24"/>
                      </w:rPr>
                      <w:t>Svorio, ūgio matavimas</w:t>
                    </w:r>
                  </w:p>
                </w:tc>
                <w:tc>
                  <w:tcPr>
                    <w:tcW w:w="1868" w:type="dxa"/>
                    <w:shd w:val="clear" w:color="auto" w:fill="auto"/>
                  </w:tcPr>
                  <w:p>
                    <w:pPr>
                      <w:rPr>
                        <w:szCs w:val="24"/>
                      </w:rPr>
                    </w:pPr>
                    <w:r>
                      <w:rPr>
                        <w:szCs w:val="24"/>
                      </w:rPr>
                      <w:t>1 kartą per metus, esant antsvoriui, 2 kartus per metus</w:t>
                    </w:r>
                  </w:p>
                </w:tc>
                <w:tc>
                  <w:tcPr>
                    <w:tcW w:w="1882" w:type="dxa"/>
                    <w:shd w:val="clear" w:color="auto" w:fill="auto"/>
                  </w:tcPr>
                  <w:p>
                    <w:pPr>
                      <w:rPr>
                        <w:szCs w:val="24"/>
                      </w:rPr>
                    </w:pPr>
                    <w:r>
                      <w:rPr>
                        <w:szCs w:val="24"/>
                      </w:rPr>
                      <w:t>1 kartą per metus, esant antsvoriui, 2 kartus per metus</w:t>
                    </w:r>
                  </w:p>
                </w:tc>
                <w:tc>
                  <w:tcPr>
                    <w:tcW w:w="1882" w:type="dxa"/>
                    <w:shd w:val="clear" w:color="auto" w:fill="auto"/>
                  </w:tcPr>
                  <w:p>
                    <w:pPr>
                      <w:rPr>
                        <w:szCs w:val="24"/>
                      </w:rPr>
                    </w:pPr>
                    <w:r>
                      <w:rPr>
                        <w:szCs w:val="24"/>
                      </w:rPr>
                      <w:t>1 kartą per metus, esant antsvoriui, 2 kartus per metus</w:t>
                    </w:r>
                  </w:p>
                </w:tc>
                <w:tc>
                  <w:tcPr>
                    <w:tcW w:w="1956" w:type="dxa"/>
                    <w:shd w:val="clear" w:color="auto" w:fill="auto"/>
                  </w:tcPr>
                  <w:p>
                    <w:pPr>
                      <w:rPr>
                        <w:szCs w:val="24"/>
                      </w:rPr>
                    </w:pPr>
                    <w:r>
                      <w:rPr>
                        <w:szCs w:val="24"/>
                      </w:rPr>
                      <w:t>1 kartą per metus, esant antsvoriui, 2 kartus per metus</w:t>
                    </w:r>
                  </w:p>
                </w:tc>
              </w:tr>
              <w:tr>
                <w:tc>
                  <w:tcPr>
                    <w:tcW w:w="556" w:type="dxa"/>
                    <w:shd w:val="clear" w:color="auto" w:fill="auto"/>
                  </w:tcPr>
                  <w:p>
                    <w:pPr>
                      <w:jc w:val="both"/>
                      <w:rPr>
                        <w:szCs w:val="24"/>
                      </w:rPr>
                    </w:pPr>
                    <w:r>
                      <w:rPr>
                        <w:szCs w:val="24"/>
                      </w:rPr>
                      <w:t>5.9.</w:t>
                    </w:r>
                  </w:p>
                </w:tc>
                <w:tc>
                  <w:tcPr>
                    <w:tcW w:w="1710" w:type="dxa"/>
                    <w:shd w:val="clear" w:color="auto" w:fill="auto"/>
                  </w:tcPr>
                  <w:p>
                    <w:pPr>
                      <w:rPr>
                        <w:szCs w:val="24"/>
                      </w:rPr>
                    </w:pPr>
                    <w:r>
                      <w:rPr>
                        <w:szCs w:val="24"/>
                      </w:rPr>
                      <w:t>Elektrokardiogramos atlikimas</w:t>
                    </w:r>
                  </w:p>
                </w:tc>
                <w:tc>
                  <w:tcPr>
                    <w:tcW w:w="1868" w:type="dxa"/>
                    <w:shd w:val="clear" w:color="auto" w:fill="auto"/>
                  </w:tcPr>
                  <w:p>
                    <w:pPr>
                      <w:rPr>
                        <w:szCs w:val="24"/>
                      </w:rPr>
                    </w:pPr>
                    <w:r>
                      <w:rPr>
                        <w:szCs w:val="24"/>
                      </w:rPr>
                      <w:t>Esant indikacijų</w:t>
                    </w:r>
                  </w:p>
                </w:tc>
                <w:tc>
                  <w:tcPr>
                    <w:tcW w:w="1882" w:type="dxa"/>
                    <w:shd w:val="clear" w:color="auto" w:fill="auto"/>
                  </w:tcPr>
                  <w:p>
                    <w:pPr>
                      <w:rPr>
                        <w:szCs w:val="24"/>
                      </w:rPr>
                    </w:pPr>
                    <w:r>
                      <w:rPr>
                        <w:szCs w:val="24"/>
                      </w:rPr>
                      <w:t>1 kartą per metus</w:t>
                    </w:r>
                  </w:p>
                </w:tc>
                <w:tc>
                  <w:tcPr>
                    <w:tcW w:w="1882" w:type="dxa"/>
                    <w:shd w:val="clear" w:color="auto" w:fill="auto"/>
                  </w:tcPr>
                  <w:p>
                    <w:pPr>
                      <w:rPr>
                        <w:szCs w:val="24"/>
                      </w:rPr>
                    </w:pPr>
                    <w:r>
                      <w:rPr>
                        <w:szCs w:val="24"/>
                      </w:rPr>
                      <w:t>1 kartą per metus</w:t>
                    </w:r>
                  </w:p>
                </w:tc>
                <w:tc>
                  <w:tcPr>
                    <w:tcW w:w="1956" w:type="dxa"/>
                    <w:shd w:val="clear" w:color="auto" w:fill="auto"/>
                  </w:tcPr>
                  <w:p>
                    <w:pPr>
                      <w:rPr>
                        <w:szCs w:val="24"/>
                      </w:rPr>
                    </w:pPr>
                    <w:r>
                      <w:rPr>
                        <w:szCs w:val="24"/>
                      </w:rPr>
                      <w:t>1 kartą per metus</w:t>
                    </w:r>
                  </w:p>
                  <w:p>
                    <w:pPr>
                      <w:rPr>
                        <w:szCs w:val="24"/>
                      </w:rPr>
                    </w:pPr>
                  </w:p>
                </w:tc>
              </w:tr>
              <w:tr>
                <w:tc>
                  <w:tcPr>
                    <w:tcW w:w="556" w:type="dxa"/>
                    <w:shd w:val="clear" w:color="auto" w:fill="auto"/>
                  </w:tcPr>
                  <w:p>
                    <w:pPr>
                      <w:jc w:val="both"/>
                      <w:rPr>
                        <w:szCs w:val="24"/>
                      </w:rPr>
                    </w:pPr>
                    <w:r>
                      <w:rPr>
                        <w:szCs w:val="24"/>
                      </w:rPr>
                      <w:t>5.10.</w:t>
                    </w:r>
                  </w:p>
                </w:tc>
                <w:tc>
                  <w:tcPr>
                    <w:tcW w:w="1710" w:type="dxa"/>
                    <w:shd w:val="clear" w:color="auto" w:fill="auto"/>
                  </w:tcPr>
                  <w:p>
                    <w:pPr>
                      <w:rPr>
                        <w:szCs w:val="24"/>
                      </w:rPr>
                    </w:pPr>
                    <w:r>
                      <w:rPr>
                        <w:szCs w:val="24"/>
                      </w:rPr>
                      <w:t>Arterinio kraujo spaudimo matavimas</w:t>
                    </w:r>
                  </w:p>
                </w:tc>
                <w:tc>
                  <w:tcPr>
                    <w:tcW w:w="1868" w:type="dxa"/>
                    <w:shd w:val="clear" w:color="auto" w:fill="auto"/>
                  </w:tcPr>
                  <w:p>
                    <w:pPr>
                      <w:rPr>
                        <w:szCs w:val="24"/>
                      </w:rPr>
                    </w:pPr>
                    <w:r>
                      <w:rPr>
                        <w:szCs w:val="24"/>
                      </w:rPr>
                      <w:t>1 kartą per metus</w:t>
                    </w:r>
                  </w:p>
                </w:tc>
                <w:tc>
                  <w:tcPr>
                    <w:tcW w:w="1882" w:type="dxa"/>
                    <w:shd w:val="clear" w:color="auto" w:fill="auto"/>
                  </w:tcPr>
                  <w:p>
                    <w:pPr>
                      <w:rPr>
                        <w:szCs w:val="24"/>
                      </w:rPr>
                    </w:pPr>
                    <w:r>
                      <w:rPr>
                        <w:szCs w:val="24"/>
                      </w:rPr>
                      <w:t>1 kartą per metus</w:t>
                    </w:r>
                  </w:p>
                </w:tc>
                <w:tc>
                  <w:tcPr>
                    <w:tcW w:w="1882" w:type="dxa"/>
                    <w:shd w:val="clear" w:color="auto" w:fill="auto"/>
                  </w:tcPr>
                  <w:p>
                    <w:pPr>
                      <w:rPr>
                        <w:szCs w:val="24"/>
                      </w:rPr>
                    </w:pPr>
                    <w:r>
                      <w:rPr>
                        <w:szCs w:val="24"/>
                      </w:rPr>
                      <w:t>1 kartą per metus</w:t>
                    </w:r>
                  </w:p>
                </w:tc>
                <w:tc>
                  <w:tcPr>
                    <w:tcW w:w="1956" w:type="dxa"/>
                    <w:shd w:val="clear" w:color="auto" w:fill="auto"/>
                  </w:tcPr>
                  <w:p>
                    <w:pPr>
                      <w:rPr>
                        <w:szCs w:val="24"/>
                      </w:rPr>
                    </w:pPr>
                    <w:r>
                      <w:rPr>
                        <w:szCs w:val="24"/>
                      </w:rPr>
                      <w:t>1 kartą per metus</w:t>
                    </w:r>
                  </w:p>
                </w:tc>
              </w:tr>
              <w:tr>
                <w:tc>
                  <w:tcPr>
                    <w:tcW w:w="556" w:type="dxa"/>
                    <w:shd w:val="clear" w:color="auto" w:fill="auto"/>
                  </w:tcPr>
                  <w:p>
                    <w:pPr>
                      <w:jc w:val="both"/>
                      <w:rPr>
                        <w:szCs w:val="24"/>
                      </w:rPr>
                    </w:pPr>
                    <w:r>
                      <w:rPr>
                        <w:szCs w:val="24"/>
                      </w:rPr>
                      <w:t>5.11.</w:t>
                    </w:r>
                  </w:p>
                </w:tc>
                <w:tc>
                  <w:tcPr>
                    <w:tcW w:w="1710" w:type="dxa"/>
                    <w:shd w:val="clear" w:color="auto" w:fill="auto"/>
                  </w:tcPr>
                  <w:p>
                    <w:pPr>
                      <w:rPr>
                        <w:szCs w:val="24"/>
                      </w:rPr>
                    </w:pPr>
                    <w:r>
                      <w:rPr>
                        <w:szCs w:val="24"/>
                      </w:rPr>
                      <w:t>Regėjimo aštrumo nustatymas</w:t>
                    </w:r>
                  </w:p>
                </w:tc>
                <w:tc>
                  <w:tcPr>
                    <w:tcW w:w="1868" w:type="dxa"/>
                    <w:shd w:val="clear" w:color="auto" w:fill="auto"/>
                  </w:tcPr>
                  <w:p>
                    <w:pPr>
                      <w:rPr>
                        <w:szCs w:val="24"/>
                      </w:rPr>
                    </w:pPr>
                    <w:r>
                      <w:rPr>
                        <w:szCs w:val="24"/>
                      </w:rPr>
                      <w:t>1 kartą per metus</w:t>
                    </w:r>
                  </w:p>
                </w:tc>
                <w:tc>
                  <w:tcPr>
                    <w:tcW w:w="1882" w:type="dxa"/>
                    <w:shd w:val="clear" w:color="auto" w:fill="auto"/>
                  </w:tcPr>
                  <w:p>
                    <w:pPr>
                      <w:rPr>
                        <w:szCs w:val="24"/>
                      </w:rPr>
                    </w:pPr>
                    <w:r>
                      <w:rPr>
                        <w:szCs w:val="24"/>
                      </w:rPr>
                      <w:t>1 kartą per 2 metus</w:t>
                    </w:r>
                  </w:p>
                </w:tc>
                <w:tc>
                  <w:tcPr>
                    <w:tcW w:w="1882" w:type="dxa"/>
                    <w:shd w:val="clear" w:color="auto" w:fill="auto"/>
                  </w:tcPr>
                  <w:p>
                    <w:pPr>
                      <w:rPr>
                        <w:szCs w:val="24"/>
                      </w:rPr>
                    </w:pPr>
                    <w:r>
                      <w:rPr>
                        <w:szCs w:val="24"/>
                      </w:rPr>
                      <w:t>1 kartą per 2 metus</w:t>
                    </w:r>
                  </w:p>
                </w:tc>
                <w:tc>
                  <w:tcPr>
                    <w:tcW w:w="1956" w:type="dxa"/>
                    <w:shd w:val="clear" w:color="auto" w:fill="auto"/>
                  </w:tcPr>
                  <w:p>
                    <w:pPr>
                      <w:rPr>
                        <w:szCs w:val="24"/>
                      </w:rPr>
                    </w:pPr>
                    <w:r>
                      <w:rPr>
                        <w:szCs w:val="24"/>
                      </w:rPr>
                      <w:t>1 kartą per metus</w:t>
                    </w:r>
                  </w:p>
                </w:tc>
              </w:tr>
              <w:tr>
                <w:tc>
                  <w:tcPr>
                    <w:tcW w:w="556" w:type="dxa"/>
                    <w:shd w:val="clear" w:color="auto" w:fill="auto"/>
                  </w:tcPr>
                  <w:p>
                    <w:pPr>
                      <w:jc w:val="both"/>
                      <w:rPr>
                        <w:szCs w:val="24"/>
                      </w:rPr>
                    </w:pPr>
                    <w:r>
                      <w:rPr>
                        <w:szCs w:val="24"/>
                      </w:rPr>
                      <w:t>5.12.</w:t>
                    </w:r>
                  </w:p>
                </w:tc>
                <w:tc>
                  <w:tcPr>
                    <w:tcW w:w="1710" w:type="dxa"/>
                    <w:shd w:val="clear" w:color="auto" w:fill="auto"/>
                  </w:tcPr>
                  <w:p>
                    <w:pPr>
                      <w:rPr>
                        <w:szCs w:val="24"/>
                      </w:rPr>
                    </w:pPr>
                    <w:r>
                      <w:rPr>
                        <w:szCs w:val="24"/>
                      </w:rPr>
                      <w:t>Klausos tikrinimas kalba ir šnabždesiu</w:t>
                    </w:r>
                  </w:p>
                </w:tc>
                <w:tc>
                  <w:tcPr>
                    <w:tcW w:w="1868" w:type="dxa"/>
                    <w:shd w:val="clear" w:color="auto" w:fill="auto"/>
                  </w:tcPr>
                  <w:p>
                    <w:pPr>
                      <w:rPr>
                        <w:szCs w:val="24"/>
                      </w:rPr>
                    </w:pPr>
                    <w:r>
                      <w:rPr>
                        <w:szCs w:val="24"/>
                      </w:rPr>
                      <w:t>1 kartą per 2 metus</w:t>
                    </w:r>
                  </w:p>
                </w:tc>
                <w:tc>
                  <w:tcPr>
                    <w:tcW w:w="1882" w:type="dxa"/>
                    <w:shd w:val="clear" w:color="auto" w:fill="auto"/>
                  </w:tcPr>
                  <w:p>
                    <w:pPr>
                      <w:rPr>
                        <w:szCs w:val="24"/>
                      </w:rPr>
                    </w:pPr>
                    <w:r>
                      <w:rPr>
                        <w:szCs w:val="24"/>
                      </w:rPr>
                      <w:t>1 kartą per 2 metus</w:t>
                    </w:r>
                  </w:p>
                </w:tc>
                <w:tc>
                  <w:tcPr>
                    <w:tcW w:w="1882" w:type="dxa"/>
                    <w:shd w:val="clear" w:color="auto" w:fill="auto"/>
                  </w:tcPr>
                  <w:p>
                    <w:pPr>
                      <w:rPr>
                        <w:szCs w:val="24"/>
                      </w:rPr>
                    </w:pPr>
                    <w:r>
                      <w:rPr>
                        <w:szCs w:val="24"/>
                      </w:rPr>
                      <w:t>1 kartą per metus</w:t>
                    </w:r>
                  </w:p>
                </w:tc>
                <w:tc>
                  <w:tcPr>
                    <w:tcW w:w="1956" w:type="dxa"/>
                    <w:shd w:val="clear" w:color="auto" w:fill="auto"/>
                  </w:tcPr>
                  <w:p>
                    <w:pPr>
                      <w:rPr>
                        <w:szCs w:val="24"/>
                      </w:rPr>
                    </w:pPr>
                    <w:r>
                      <w:rPr>
                        <w:szCs w:val="24"/>
                      </w:rPr>
                      <w:t>1 kartą per metus</w:t>
                    </w:r>
                  </w:p>
                </w:tc>
              </w:tr>
              <w:tr>
                <w:tc>
                  <w:tcPr>
                    <w:tcW w:w="556" w:type="dxa"/>
                    <w:shd w:val="clear" w:color="auto" w:fill="auto"/>
                  </w:tcPr>
                  <w:p>
                    <w:pPr>
                      <w:jc w:val="both"/>
                      <w:rPr>
                        <w:szCs w:val="24"/>
                      </w:rPr>
                    </w:pPr>
                    <w:r>
                      <w:rPr>
                        <w:szCs w:val="24"/>
                      </w:rPr>
                      <w:t>5.13.</w:t>
                    </w:r>
                  </w:p>
                </w:tc>
                <w:tc>
                  <w:tcPr>
                    <w:tcW w:w="1710" w:type="dxa"/>
                    <w:shd w:val="clear" w:color="auto" w:fill="auto"/>
                  </w:tcPr>
                  <w:p>
                    <w:pPr>
                      <w:rPr>
                        <w:szCs w:val="24"/>
                      </w:rPr>
                    </w:pPr>
                    <w:r>
                      <w:rPr>
                        <w:szCs w:val="24"/>
                      </w:rPr>
                      <w:t>Akispūdžio matavimas</w:t>
                    </w:r>
                  </w:p>
                </w:tc>
                <w:tc>
                  <w:tcPr>
                    <w:tcW w:w="1868" w:type="dxa"/>
                    <w:shd w:val="clear" w:color="auto" w:fill="auto"/>
                  </w:tcPr>
                  <w:p>
                    <w:pPr>
                      <w:rPr>
                        <w:szCs w:val="24"/>
                      </w:rPr>
                    </w:pPr>
                    <w:r>
                      <w:rPr>
                        <w:szCs w:val="24"/>
                      </w:rPr>
                      <w:t>Esant indikacijų</w:t>
                    </w:r>
                  </w:p>
                </w:tc>
                <w:tc>
                  <w:tcPr>
                    <w:tcW w:w="1882" w:type="dxa"/>
                    <w:shd w:val="clear" w:color="auto" w:fill="auto"/>
                  </w:tcPr>
                  <w:p>
                    <w:pPr>
                      <w:rPr>
                        <w:szCs w:val="24"/>
                      </w:rPr>
                    </w:pPr>
                    <w:r>
                      <w:rPr>
                        <w:szCs w:val="24"/>
                      </w:rPr>
                      <w:t xml:space="preserve">1 kartą per 2  metus</w:t>
                    </w:r>
                  </w:p>
                </w:tc>
                <w:tc>
                  <w:tcPr>
                    <w:tcW w:w="1882" w:type="dxa"/>
                    <w:shd w:val="clear" w:color="auto" w:fill="auto"/>
                  </w:tcPr>
                  <w:p>
                    <w:pPr>
                      <w:rPr>
                        <w:szCs w:val="24"/>
                      </w:rPr>
                    </w:pPr>
                    <w:r>
                      <w:rPr>
                        <w:szCs w:val="24"/>
                      </w:rPr>
                      <w:t>1 kartą per metus</w:t>
                    </w:r>
                  </w:p>
                </w:tc>
                <w:tc>
                  <w:tcPr>
                    <w:tcW w:w="1956" w:type="dxa"/>
                    <w:shd w:val="clear" w:color="auto" w:fill="auto"/>
                  </w:tcPr>
                  <w:p>
                    <w:pPr>
                      <w:rPr>
                        <w:szCs w:val="24"/>
                      </w:rPr>
                    </w:pPr>
                    <w:r>
                      <w:rPr>
                        <w:szCs w:val="24"/>
                      </w:rPr>
                      <w:t>1 kartą per metus</w:t>
                    </w:r>
                  </w:p>
                </w:tc>
              </w:tr>
              <w:tr>
                <w:tc>
                  <w:tcPr>
                    <w:tcW w:w="556" w:type="dxa"/>
                    <w:shd w:val="clear" w:color="auto" w:fill="auto"/>
                  </w:tcPr>
                  <w:p>
                    <w:pPr>
                      <w:jc w:val="both"/>
                      <w:rPr>
                        <w:szCs w:val="24"/>
                      </w:rPr>
                    </w:pPr>
                    <w:r>
                      <w:rPr>
                        <w:szCs w:val="24"/>
                      </w:rPr>
                      <w:t>5.14.</w:t>
                    </w:r>
                  </w:p>
                </w:tc>
                <w:tc>
                  <w:tcPr>
                    <w:tcW w:w="1710" w:type="dxa"/>
                    <w:shd w:val="clear" w:color="auto" w:fill="auto"/>
                  </w:tcPr>
                  <w:p>
                    <w:pPr>
                      <w:rPr>
                        <w:szCs w:val="24"/>
                      </w:rPr>
                    </w:pPr>
                    <w:r>
                      <w:rPr>
                        <w:szCs w:val="24"/>
                      </w:rPr>
                      <w:t>Bendras kraujo tyrimas</w:t>
                    </w:r>
                  </w:p>
                </w:tc>
                <w:tc>
                  <w:tcPr>
                    <w:tcW w:w="1868" w:type="dxa"/>
                    <w:shd w:val="clear" w:color="auto" w:fill="auto"/>
                  </w:tcPr>
                  <w:p>
                    <w:pPr>
                      <w:rPr>
                        <w:szCs w:val="24"/>
                      </w:rPr>
                    </w:pPr>
                    <w:r>
                      <w:rPr>
                        <w:szCs w:val="24"/>
                      </w:rPr>
                      <w:t xml:space="preserve">1 kartą per 2  metus</w:t>
                    </w:r>
                  </w:p>
                </w:tc>
                <w:tc>
                  <w:tcPr>
                    <w:tcW w:w="1882" w:type="dxa"/>
                    <w:shd w:val="clear" w:color="auto" w:fill="auto"/>
                  </w:tcPr>
                  <w:p>
                    <w:pPr>
                      <w:rPr>
                        <w:szCs w:val="24"/>
                      </w:rPr>
                    </w:pPr>
                    <w:r>
                      <w:rPr>
                        <w:szCs w:val="24"/>
                      </w:rPr>
                      <w:t xml:space="preserve">1 kartą per 2  metus</w:t>
                    </w:r>
                  </w:p>
                </w:tc>
                <w:tc>
                  <w:tcPr>
                    <w:tcW w:w="1882" w:type="dxa"/>
                    <w:shd w:val="clear" w:color="auto" w:fill="auto"/>
                  </w:tcPr>
                  <w:p>
                    <w:pPr>
                      <w:rPr>
                        <w:szCs w:val="24"/>
                      </w:rPr>
                    </w:pPr>
                    <w:r>
                      <w:rPr>
                        <w:szCs w:val="24"/>
                      </w:rPr>
                      <w:t xml:space="preserve">1 kartą per 2  metus</w:t>
                    </w:r>
                  </w:p>
                </w:tc>
                <w:tc>
                  <w:tcPr>
                    <w:tcW w:w="1956" w:type="dxa"/>
                    <w:shd w:val="clear" w:color="auto" w:fill="auto"/>
                  </w:tcPr>
                  <w:p>
                    <w:pPr>
                      <w:rPr>
                        <w:szCs w:val="24"/>
                      </w:rPr>
                    </w:pPr>
                    <w:r>
                      <w:rPr>
                        <w:szCs w:val="24"/>
                      </w:rPr>
                      <w:t xml:space="preserve">1 kartą per 2  metus</w:t>
                    </w:r>
                  </w:p>
                </w:tc>
              </w:tr>
              <w:tr>
                <w:tc>
                  <w:tcPr>
                    <w:tcW w:w="556" w:type="dxa"/>
                    <w:shd w:val="clear" w:color="auto" w:fill="auto"/>
                  </w:tcPr>
                  <w:p>
                    <w:pPr>
                      <w:jc w:val="both"/>
                      <w:rPr>
                        <w:szCs w:val="24"/>
                      </w:rPr>
                    </w:pPr>
                    <w:r>
                      <w:rPr>
                        <w:szCs w:val="24"/>
                      </w:rPr>
                      <w:t>5.15.</w:t>
                    </w:r>
                  </w:p>
                </w:tc>
                <w:tc>
                  <w:tcPr>
                    <w:tcW w:w="1710" w:type="dxa"/>
                    <w:shd w:val="clear" w:color="auto" w:fill="auto"/>
                  </w:tcPr>
                  <w:p>
                    <w:pPr>
                      <w:rPr>
                        <w:szCs w:val="24"/>
                      </w:rPr>
                    </w:pPr>
                    <w:r>
                      <w:rPr>
                        <w:szCs w:val="24"/>
                      </w:rPr>
                      <w:t>Bendras šlapimo tyrimas</w:t>
                    </w:r>
                  </w:p>
                </w:tc>
                <w:tc>
                  <w:tcPr>
                    <w:tcW w:w="1868" w:type="dxa"/>
                    <w:shd w:val="clear" w:color="auto" w:fill="auto"/>
                  </w:tcPr>
                  <w:p>
                    <w:pPr>
                      <w:rPr>
                        <w:szCs w:val="24"/>
                      </w:rPr>
                    </w:pPr>
                    <w:r>
                      <w:rPr>
                        <w:szCs w:val="24"/>
                      </w:rPr>
                      <w:t xml:space="preserve">1 kartą per 2  metus</w:t>
                    </w:r>
                  </w:p>
                </w:tc>
                <w:tc>
                  <w:tcPr>
                    <w:tcW w:w="1882" w:type="dxa"/>
                    <w:shd w:val="clear" w:color="auto" w:fill="auto"/>
                  </w:tcPr>
                  <w:p>
                    <w:pPr>
                      <w:rPr>
                        <w:szCs w:val="24"/>
                      </w:rPr>
                    </w:pPr>
                    <w:r>
                      <w:rPr>
                        <w:szCs w:val="24"/>
                      </w:rPr>
                      <w:t xml:space="preserve">1 kartą per 2  metus</w:t>
                    </w:r>
                  </w:p>
                </w:tc>
                <w:tc>
                  <w:tcPr>
                    <w:tcW w:w="1882" w:type="dxa"/>
                    <w:shd w:val="clear" w:color="auto" w:fill="auto"/>
                  </w:tcPr>
                  <w:p>
                    <w:pPr>
                      <w:rPr>
                        <w:szCs w:val="24"/>
                      </w:rPr>
                    </w:pPr>
                    <w:r>
                      <w:rPr>
                        <w:szCs w:val="24"/>
                      </w:rPr>
                      <w:t xml:space="preserve">1 kartą per 2  metus</w:t>
                    </w:r>
                  </w:p>
                </w:tc>
                <w:tc>
                  <w:tcPr>
                    <w:tcW w:w="1956" w:type="dxa"/>
                    <w:shd w:val="clear" w:color="auto" w:fill="auto"/>
                  </w:tcPr>
                  <w:p>
                    <w:pPr>
                      <w:rPr>
                        <w:szCs w:val="24"/>
                      </w:rPr>
                    </w:pPr>
                    <w:r>
                      <w:rPr>
                        <w:szCs w:val="24"/>
                      </w:rPr>
                      <w:t xml:space="preserve">1 kartą per  metus</w:t>
                    </w:r>
                  </w:p>
                </w:tc>
              </w:tr>
              <w:tr>
                <w:tc>
                  <w:tcPr>
                    <w:tcW w:w="556" w:type="dxa"/>
                    <w:shd w:val="clear" w:color="auto" w:fill="auto"/>
                  </w:tcPr>
                  <w:p>
                    <w:pPr>
                      <w:jc w:val="both"/>
                      <w:rPr>
                        <w:szCs w:val="24"/>
                      </w:rPr>
                    </w:pPr>
                    <w:r>
                      <w:rPr>
                        <w:szCs w:val="24"/>
                      </w:rPr>
                      <w:t>5.16.</w:t>
                    </w:r>
                  </w:p>
                </w:tc>
                <w:tc>
                  <w:tcPr>
                    <w:tcW w:w="1710" w:type="dxa"/>
                    <w:shd w:val="clear" w:color="auto" w:fill="auto"/>
                  </w:tcPr>
                  <w:p>
                    <w:pPr>
                      <w:rPr>
                        <w:szCs w:val="24"/>
                      </w:rPr>
                    </w:pPr>
                    <w:r>
                      <w:rPr>
                        <w:szCs w:val="24"/>
                      </w:rPr>
                      <w:t>Gliukozės kiekio kraujyje ištyrimas</w:t>
                    </w:r>
                  </w:p>
                </w:tc>
                <w:tc>
                  <w:tcPr>
                    <w:tcW w:w="1868" w:type="dxa"/>
                    <w:shd w:val="clear" w:color="auto" w:fill="auto"/>
                  </w:tcPr>
                  <w:p>
                    <w:pPr>
                      <w:rPr>
                        <w:szCs w:val="24"/>
                      </w:rPr>
                    </w:pPr>
                    <w:r>
                      <w:rPr>
                        <w:szCs w:val="24"/>
                      </w:rPr>
                      <w:t xml:space="preserve">1 kartą per 2  metus</w:t>
                    </w:r>
                  </w:p>
                </w:tc>
                <w:tc>
                  <w:tcPr>
                    <w:tcW w:w="1882" w:type="dxa"/>
                    <w:shd w:val="clear" w:color="auto" w:fill="auto"/>
                  </w:tcPr>
                  <w:p>
                    <w:pPr>
                      <w:rPr>
                        <w:szCs w:val="24"/>
                      </w:rPr>
                    </w:pPr>
                    <w:r>
                      <w:rPr>
                        <w:szCs w:val="24"/>
                      </w:rPr>
                      <w:t xml:space="preserve">1 kartą per 2  metus</w:t>
                    </w:r>
                  </w:p>
                </w:tc>
                <w:tc>
                  <w:tcPr>
                    <w:tcW w:w="1882" w:type="dxa"/>
                    <w:shd w:val="clear" w:color="auto" w:fill="auto"/>
                  </w:tcPr>
                  <w:p>
                    <w:pPr>
                      <w:rPr>
                        <w:szCs w:val="24"/>
                      </w:rPr>
                    </w:pPr>
                    <w:r>
                      <w:rPr>
                        <w:szCs w:val="24"/>
                      </w:rPr>
                      <w:t xml:space="preserve">1 kartą per 2  metus</w:t>
                    </w:r>
                  </w:p>
                </w:tc>
                <w:tc>
                  <w:tcPr>
                    <w:tcW w:w="1956" w:type="dxa"/>
                    <w:shd w:val="clear" w:color="auto" w:fill="auto"/>
                  </w:tcPr>
                  <w:p>
                    <w:pPr>
                      <w:rPr>
                        <w:szCs w:val="24"/>
                      </w:rPr>
                    </w:pPr>
                    <w:r>
                      <w:rPr>
                        <w:szCs w:val="24"/>
                      </w:rPr>
                      <w:t>1 kartą per metus</w:t>
                    </w:r>
                  </w:p>
                </w:tc>
              </w:tr>
              <w:tr>
                <w:tc>
                  <w:tcPr>
                    <w:tcW w:w="556" w:type="dxa"/>
                    <w:shd w:val="clear" w:color="auto" w:fill="auto"/>
                  </w:tcPr>
                  <w:p>
                    <w:pPr>
                      <w:rPr>
                        <w:szCs w:val="24"/>
                      </w:rPr>
                    </w:pPr>
                    <w:r>
                      <w:rPr>
                        <w:szCs w:val="24"/>
                      </w:rPr>
                      <w:t>5.17.</w:t>
                    </w:r>
                  </w:p>
                </w:tc>
                <w:tc>
                  <w:tcPr>
                    <w:tcW w:w="1710" w:type="dxa"/>
                    <w:shd w:val="clear" w:color="auto" w:fill="auto"/>
                  </w:tcPr>
                  <w:p>
                    <w:pPr>
                      <w:rPr>
                        <w:szCs w:val="24"/>
                      </w:rPr>
                    </w:pPr>
                    <w:r>
                      <w:rPr>
                        <w:szCs w:val="24"/>
                      </w:rPr>
                      <w:t>Cholesterolio kiekio kraujyje ištyrimas</w:t>
                    </w:r>
                  </w:p>
                </w:tc>
                <w:tc>
                  <w:tcPr>
                    <w:tcW w:w="1868" w:type="dxa"/>
                    <w:shd w:val="clear" w:color="auto" w:fill="auto"/>
                  </w:tcPr>
                  <w:p>
                    <w:pPr>
                      <w:rPr>
                        <w:szCs w:val="24"/>
                      </w:rPr>
                    </w:pPr>
                    <w:r>
                      <w:rPr>
                        <w:szCs w:val="24"/>
                      </w:rPr>
                      <w:t>Esant indikacijų</w:t>
                    </w:r>
                  </w:p>
                </w:tc>
                <w:tc>
                  <w:tcPr>
                    <w:tcW w:w="1882" w:type="dxa"/>
                    <w:shd w:val="clear" w:color="auto" w:fill="auto"/>
                  </w:tcPr>
                  <w:p>
                    <w:pPr>
                      <w:rPr>
                        <w:szCs w:val="24"/>
                      </w:rPr>
                    </w:pPr>
                    <w:r>
                      <w:rPr>
                        <w:szCs w:val="24"/>
                      </w:rPr>
                      <w:t>1 kartą per metus</w:t>
                    </w:r>
                  </w:p>
                </w:tc>
                <w:tc>
                  <w:tcPr>
                    <w:tcW w:w="1882" w:type="dxa"/>
                    <w:shd w:val="clear" w:color="auto" w:fill="auto"/>
                  </w:tcPr>
                  <w:p>
                    <w:pPr>
                      <w:rPr>
                        <w:szCs w:val="24"/>
                      </w:rPr>
                    </w:pPr>
                    <w:r>
                      <w:rPr>
                        <w:szCs w:val="24"/>
                      </w:rPr>
                      <w:t>1 kartą per metus</w:t>
                    </w:r>
                  </w:p>
                </w:tc>
                <w:tc>
                  <w:tcPr>
                    <w:tcW w:w="1956" w:type="dxa"/>
                    <w:shd w:val="clear" w:color="auto" w:fill="auto"/>
                  </w:tcPr>
                  <w:p>
                    <w:pPr>
                      <w:rPr>
                        <w:szCs w:val="24"/>
                      </w:rPr>
                    </w:pPr>
                    <w:r>
                      <w:rPr>
                        <w:szCs w:val="24"/>
                      </w:rPr>
                      <w:t>1 kartą per metus</w:t>
                    </w:r>
                  </w:p>
                </w:tc>
              </w:tr>
            </w:tbl>
            <w:p>
              <w:pPr>
                <w:jc w:val="center"/>
                <w:rPr>
                  <w:color w:val="000000"/>
                </w:rPr>
              </w:pPr>
              <w:r>
                <w:rPr>
                  <w:szCs w:val="24"/>
                </w:rPr>
                <w:t>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0b3b8044e611e58568ed613eb39a73">
            <w:r w:rsidRPr="00532B9F">
              <w:rPr>
                <w:rFonts w:ascii="Times New Roman" w:eastAsia="MS Mincho" w:hAnsi="Times New Roman"/>
                <w:sz w:val="20"/>
                <w:i/>
                <w:iCs/>
                <w:color w:val="0000FF" w:themeColor="hyperlink"/>
                <w:u w:val="single"/>
              </w:rPr>
              <w:t>V-943</w:t>
            </w:r>
          </w:fldSimple>
          <w:r>
            <w:rPr>
              <w:rFonts w:ascii="Times New Roman" w:eastAsia="MS Mincho" w:hAnsi="Times New Roman"/>
              <w:sz w:val="20"/>
              <w:i/>
              <w:iCs/>
            </w:rPr>
            <w:t>,
2015-08-11,
paskelbta TAR 2015-08-17, i. k. 2015-12372            </w:t>
          </w:r>
        </w:p>
        <w:p/>
      </w:sdtContent>
    </w:sdt>
    <w:sdt>
      <w:sdtPr>
        <w:alias w:val="7 pr."/>
        <w:tag w:val="part_4478c5b5bd2e41a5b907ff5600aa242d"/>
        <w:lock w:val="sdtLocked"/>
        <w:richText/>
      </w:sdtPr>
      <w:sdtContent>
        <w:p>
          <w:pPr>
            <w:ind w:left="5102"/>
            <w:sectPr>
              <w:pgSz w:w="11907" w:h="16840" w:code="9"/>
              <w:pgMar w:top="1134" w:right="1134" w:bottom="1134" w:left="1701" w:header="567" w:footer="567" w:gutter="0"/>
              <w:pgNumType w:start="1"/>
              <w:cols w:space="1296"/>
              <w:titlePg/>
              <w:docGrid w:linePitch="360"/>
            </w:sectPr>
          </w:pPr>
        </w:p>
        <w:p>
          <w:pPr>
            <w:ind w:left="5102"/>
          </w:pPr>
          <w:r>
            <w:t>PATVIRTINTA</w:t>
          </w:r>
        </w:p>
        <w:p>
          <w:pPr>
            <w:ind w:firstLine="5102"/>
          </w:pPr>
          <w:r>
            <w:t xml:space="preserve">Lietuvos Respublikos sveikatos </w:t>
          </w:r>
        </w:p>
        <w:p>
          <w:pPr>
            <w:ind w:firstLine="5102"/>
          </w:pPr>
          <w:r>
            <w:t xml:space="preserve">apsaugos ministro 2008 m. spalio 10 d. </w:t>
          </w:r>
        </w:p>
        <w:p>
          <w:pPr>
            <w:ind w:firstLine="5102"/>
          </w:pPr>
          <w:r>
            <w:t>įsakymu Nr. V-973</w:t>
          </w:r>
        </w:p>
        <w:p>
          <w:pPr>
            <w:ind w:firstLine="5102"/>
          </w:pPr>
          <w:sdt>
            <w:sdtPr>
              <w:alias w:val="Numeris"/>
              <w:tag w:val="nr_4478c5b5bd2e41a5b907ff5600aa242d"/>
              <w:lock w:val="sdtLocked"/>
              <w:richText/>
            </w:sdtPr>
            <w:sdtContent>
              <w:r>
                <w:t>7</w:t>
              </w:r>
            </w:sdtContent>
          </w:sdt>
          <w:r>
            <w:t xml:space="preserve"> priedas</w:t>
          </w:r>
        </w:p>
        <w:p>
          <w:pPr>
            <w:jc w:val="both"/>
          </w:pPr>
        </w:p>
        <w:p>
          <w:pPr>
            <w:jc w:val="center"/>
            <w:rPr>
              <w:b/>
              <w:bCs/>
            </w:rPr>
          </w:pPr>
          <w:sdt>
            <w:sdtPr>
              <w:alias w:val="Pavadinimas"/>
              <w:tag w:val="title_4478c5b5bd2e41a5b907ff5600aa242d"/>
              <w:lock w:val="sdtLocked"/>
              <w:richText/>
            </w:sdtPr>
            <w:sdtContent>
              <w:r>
                <w:rPr>
                  <w:b/>
                  <w:bCs/>
                </w:rPr>
                <w:t>VAIRUOTOJŲ SVEIKATOS TIKRINIMO REIKALAVIMŲ IR TVARKOS APRAŠAS</w:t>
              </w:r>
            </w:sdtContent>
          </w:sdt>
        </w:p>
        <w:p>
          <w:pPr>
            <w:jc w:val="center"/>
            <w:rPr>
              <w:b/>
              <w:bCs/>
            </w:rPr>
          </w:pPr>
        </w:p>
        <w:sdt>
          <w:sdtPr>
            <w:alias w:val="skyrius"/>
            <w:tag w:val="part_88359cb0a5bb43a18b4597425a46f9c3"/>
            <w:lock w:val="sdtLocked"/>
            <w:richText/>
          </w:sdtPr>
          <w:sdtContent>
            <w:p>
              <w:pPr>
                <w:jc w:val="center"/>
                <w:rPr>
                  <w:b/>
                  <w:bCs/>
                </w:rPr>
              </w:pPr>
              <w:sdt>
                <w:sdtPr>
                  <w:alias w:val="Numeris"/>
                  <w:tag w:val="nr_88359cb0a5bb43a18b4597425a46f9c3"/>
                  <w:lock w:val="sdtLocked"/>
                  <w:richText/>
                </w:sdtPr>
                <w:sdtContent>
                  <w:r>
                    <w:rPr>
                      <w:b/>
                      <w:bCs/>
                    </w:rPr>
                    <w:t>I</w:t>
                  </w:r>
                </w:sdtContent>
              </w:sdt>
              <w:r>
                <w:rPr>
                  <w:b/>
                  <w:bCs/>
                </w:rPr>
                <w:t xml:space="preserve">. </w:t>
              </w:r>
              <w:sdt>
                <w:sdtPr>
                  <w:alias w:val="Pavadinimas"/>
                  <w:tag w:val="title_88359cb0a5bb43a18b4597425a46f9c3"/>
                  <w:lock w:val="sdtLocked"/>
                  <w:richText/>
                </w:sdtPr>
                <w:sdtContent>
                  <w:r>
                    <w:rPr>
                      <w:b/>
                      <w:bCs/>
                    </w:rPr>
                    <w:t>BENDROSIOS NUOSTATOS</w:t>
                  </w:r>
                </w:sdtContent>
              </w:sdt>
            </w:p>
            <w:p>
              <w:pPr>
                <w:ind w:firstLine="567"/>
                <w:jc w:val="both"/>
              </w:pPr>
            </w:p>
            <w:sdt>
              <w:sdtPr>
                <w:alias w:val="7 pr. 1 p."/>
                <w:tag w:val="part_72cfb17836a048808178a0b7b325bd54"/>
                <w:lock w:val="sdtLocked"/>
                <w:richText/>
              </w:sdtPr>
              <w:sdtContent>
                <w:p>
                  <w:pPr>
                    <w:tabs>
                      <w:tab w:val="left" w:pos="0"/>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spacing w:beforeLines="20" w:before="48" w:afterLines="20" w:after="48"/>
                    <w:ind w:firstLine="567"/>
                    <w:jc w:val="both"/>
                  </w:pPr>
                  <w:sdt>
                    <w:sdtPr>
                      <w:alias w:val="Numeris"/>
                      <w:tag w:val="nr_72cfb17836a048808178a0b7b325bd54"/>
                      <w:lock w:val="sdtLocked"/>
                      <w:richText/>
                    </w:sdtPr>
                    <w:sdtContent>
                      <w:r>
                        <w:rPr>
                          <w:color w:val="000000"/>
                          <w:szCs w:val="24"/>
                        </w:rPr>
                        <w:t>1</w:t>
                      </w:r>
                    </w:sdtContent>
                  </w:sdt>
                  <w:r>
                    <w:rPr>
                      <w:color w:val="000000"/>
                      <w:szCs w:val="24"/>
                    </w:rPr>
                    <w:t>. Vairuotojų sveikatos tikrinimo tikslas – nustatyti, ar tikrinamo asmens sveikatos būklė atitinka minimalias sveikatos tinkamumo normas, taikomas asmenims, siekiantiems vairuoti ir vairuojantiems atitinkamos kategorijos motorines transporto priemones arba jų junginius su priekaba ir (ar) traktorius, savaeiges mašinas ir mechanizmus.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8105e0b72011e88f64a5ecc703f89b">
                    <w:r w:rsidRPr="00532B9F">
                      <w:rPr>
                        <w:rFonts w:ascii="Times New Roman" w:eastAsia="MS Mincho" w:hAnsi="Times New Roman"/>
                        <w:sz w:val="20"/>
                        <w:i/>
                        <w:iCs/>
                        <w:color w:val="0000FF" w:themeColor="hyperlink"/>
                        <w:u w:val="single"/>
                      </w:rPr>
                      <w:t>V-1000</w:t>
                    </w:r>
                  </w:fldSimple>
                  <w:r>
                    <w:rPr>
                      <w:rFonts w:ascii="Times New Roman" w:eastAsia="MS Mincho" w:hAnsi="Times New Roman"/>
                      <w:sz w:val="20"/>
                      <w:i/>
                      <w:iCs/>
                    </w:rPr>
                    <w:t>,
2018-09-11,
paskelbta TAR 2018-09-13, i. k. 2018-14464            </w:t>
                  </w:r>
                </w:p>
                <w:p/>
              </w:sdtContent>
            </w:sdt>
            <w:sdt>
              <w:sdtPr>
                <w:alias w:val="7 pr. 2 p."/>
                <w:tag w:val="part_016bca409eb34383a43341de503f0cfe"/>
                <w:lock w:val="sdtLocked"/>
                <w:richText/>
              </w:sdtPr>
              <w:sdtContent>
                <w:p>
                  <w:pPr>
                    <w:ind w:firstLine="567"/>
                    <w:jc w:val="both"/>
                  </w:pPr>
                  <w:sdt>
                    <w:sdtPr>
                      <w:alias w:val="Numeris"/>
                      <w:tag w:val="nr_016bca409eb34383a43341de503f0cfe"/>
                      <w:lock w:val="sdtLocked"/>
                      <w:richText/>
                    </w:sdtPr>
                    <w:sdtContent>
                      <w:r>
                        <w:t>2</w:t>
                      </w:r>
                    </w:sdtContent>
                  </w:sdt>
                  <w:r>
                    <w:t>. Vairuotojų sveikatos tikrinimo reikalavimų ir tvarkos apraše (toliau – Aprašas) vartojamos sąvokos:</w:t>
                  </w:r>
                </w:p>
                <w:sdt>
                  <w:sdtPr>
                    <w:alias w:val="7 pr. 2.1 p."/>
                    <w:tag w:val="part_2f9572f96cab4c2c811910b3419e54c5"/>
                    <w:lock w:val="sdtLocked"/>
                    <w:richText/>
                  </w:sdtPr>
                  <w:sdtContent>
                    <w:p>
                      <w:pPr>
                        <w:ind w:firstLine="567"/>
                        <w:jc w:val="both"/>
                      </w:pPr>
                      <w:sdt>
                        <w:sdtPr>
                          <w:alias w:val="Numeris"/>
                          <w:tag w:val="nr_2f9572f96cab4c2c811910b3419e54c5"/>
                          <w:lock w:val="sdtLocked"/>
                          <w:richText/>
                        </w:sdtPr>
                        <w:sdtContent>
                          <w:r>
                            <w:t>2.1</w:t>
                          </w:r>
                        </w:sdtContent>
                      </w:sdt>
                      <w:r>
                        <w:t>. Transporto priemonė – priemonė žmonėms ir (arba) kroviniams, taip pat ant jos sumontuotai stacionariai įrangai vežti. Ši sąvoka taip pat apima traktorius, savaeiges mašinas ir eismui ne keliais skirtas transporto priemones.</w:t>
                      </w:r>
                    </w:p>
                  </w:sdtContent>
                </w:sdt>
                <w:sdt>
                  <w:sdtPr>
                    <w:alias w:val="7 pr. 2.2 p."/>
                    <w:tag w:val="part_35d9226dd33c41bea3ad9ad6965c0739"/>
                    <w:lock w:val="sdtLocked"/>
                    <w:richText/>
                  </w:sdtPr>
                  <w:sdtContent>
                    <w:p>
                      <w:pPr>
                        <w:ind w:firstLine="567"/>
                        <w:jc w:val="both"/>
                      </w:pPr>
                      <w:sdt>
                        <w:sdtPr>
                          <w:alias w:val="Numeris"/>
                          <w:tag w:val="nr_35d9226dd33c41bea3ad9ad6965c0739"/>
                          <w:lock w:val="sdtLocked"/>
                          <w:richText/>
                        </w:sdtPr>
                        <w:sdtContent>
                          <w:r>
                            <w:t>2.2</w:t>
                          </w:r>
                        </w:sdtContent>
                      </w:sdt>
                      <w:r>
                        <w:t>. Transporto priemonių vairuotojai, kurių kategorijos ir minimalus amžius, nuo kurio leidžiama įgyti teisę vairuoti, nurodyti 2 lentelėje, skirstomi į dvi grupes:</w:t>
                      </w:r>
                    </w:p>
                    <w:sdt>
                      <w:sdtPr>
                        <w:alias w:val="7 pr. 2.2.1 p."/>
                        <w:tag w:val="part_db0606159d2b43e186f6fc7f18c5aa54"/>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pPr>
                          <w:sdt>
                            <w:sdtPr>
                              <w:alias w:val="Numeris"/>
                              <w:tag w:val="nr_db0606159d2b43e186f6fc7f18c5aa54"/>
                              <w:lock w:val="sdtLocked"/>
                              <w:richText/>
                            </w:sdtPr>
                            <w:sdtContent>
                              <w:r>
                                <w:rPr>
                                  <w:szCs w:val="24"/>
                                </w:rPr>
                                <w:t>2.2.1</w:t>
                              </w:r>
                            </w:sdtContent>
                          </w:sdt>
                          <w:r>
                            <w:rPr>
                              <w:szCs w:val="24"/>
                            </w:rPr>
                            <w:t>. 1 grupė – AM, A1, A2, A, B1, B ir BE kategorijų transporto priemonių vairuotojai;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b7aa50bcfd11e4afdc866ec67ebcf3">
                            <w:r w:rsidRPr="00532B9F">
                              <w:rPr>
                                <w:rFonts w:ascii="Times New Roman" w:eastAsia="MS Mincho" w:hAnsi="Times New Roman"/>
                                <w:sz w:val="20"/>
                                <w:i/>
                                <w:iCs/>
                                <w:color w:val="0000FF" w:themeColor="hyperlink"/>
                                <w:u w:val="single"/>
                              </w:rPr>
                              <w:t>V-224</w:t>
                            </w:r>
                          </w:fldSimple>
                          <w:r>
                            <w:rPr>
                              <w:rFonts w:ascii="Times New Roman" w:eastAsia="MS Mincho" w:hAnsi="Times New Roman"/>
                              <w:sz w:val="20"/>
                              <w:i/>
                              <w:iCs/>
                            </w:rPr>
                            <w:t>,
2015-02-18,
paskelbta TAR 2015-02-26, i. k. 2015-02965            </w:t>
                          </w:r>
                        </w:p>
                        <w:p/>
                      </w:sdtContent>
                    </w:sdt>
                    <w:sdt>
                      <w:sdtPr>
                        <w:alias w:val="7 pr. 2.2.2 p."/>
                        <w:tag w:val="part_c87cc59b158843fb91aac81b118b160a"/>
                        <w:lock w:val="sdtLocked"/>
                        <w:richText/>
                      </w:sdtPr>
                      <w:sdtContent>
                        <w:p>
                          <w:pPr>
                            <w:ind w:firstLine="567"/>
                            <w:jc w:val="both"/>
                          </w:pPr>
                          <w:sdt>
                            <w:sdtPr>
                              <w:alias w:val="Numeris"/>
                              <w:tag w:val="nr_c87cc59b158843fb91aac81b118b160a"/>
                              <w:lock w:val="sdtLocked"/>
                              <w:richText/>
                            </w:sdtPr>
                            <w:sdtContent>
                              <w:r>
                                <w:t>2.2.2</w:t>
                              </w:r>
                            </w:sdtContent>
                          </w:sdt>
                          <w:r>
                            <w:t>. 2 grupė – C1, C1E, C, CE, D1, D1E, D, DE ir T kategorijų transporto priemonių vairuotojai.</w:t>
                          </w:r>
                        </w:p>
                      </w:sdtContent>
                    </w:sdt>
                  </w:sdtContent>
                </w:sdt>
              </w:sdtContent>
            </w:sdt>
            <w:sdt>
              <w:sdtPr>
                <w:alias w:val="7 pr. 3 p."/>
                <w:tag w:val="part_698a931cc1f24638bc9fb6a5f3e0c0b2"/>
                <w:lock w:val="sdtLocked"/>
                <w:richText/>
              </w:sdtPr>
              <w:sdtContent>
                <w:p>
                  <w:pPr>
                    <w:tabs>
                      <w:tab w:val="left" w:pos="0"/>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pPr>
                  <w:sdt>
                    <w:sdtPr>
                      <w:alias w:val="Numeris"/>
                      <w:tag w:val="nr_698a931cc1f24638bc9fb6a5f3e0c0b2"/>
                      <w:lock w:val="sdtLocked"/>
                      <w:richText/>
                    </w:sdtPr>
                    <w:sdtContent>
                      <w:r>
                        <w:rPr>
                          <w:color w:val="000000"/>
                          <w:szCs w:val="24"/>
                        </w:rPr>
                        <w:t>3</w:t>
                      </w:r>
                    </w:sdtContent>
                  </w:sdt>
                  <w:r>
                    <w:rPr>
                      <w:color w:val="000000"/>
                      <w:szCs w:val="24"/>
                    </w:rPr>
                    <w:t>. Šio Aprašo nuostatos, skirtos 2 grupės vairuotojams, yra taikomos B kategorijos transporto priemonių vairuotojams, naudojantiems vairuotojo pažymėjimą profesiniams tikslams (lengvieji taksi automobiliai, greitosios pagalbos automobiliai ir pan.), bei traktorių ir savaeigių mašinų vairuotojams.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c1d914846111efabdbb4a1fc8b0b63">
                    <w:r w:rsidRPr="00532B9F">
                      <w:rPr>
                        <w:rFonts w:ascii="Times New Roman" w:eastAsia="MS Mincho" w:hAnsi="Times New Roman"/>
                        <w:sz w:val="20"/>
                        <w:i/>
                        <w:iCs/>
                        <w:color w:val="0000FF" w:themeColor="hyperlink"/>
                        <w:u w:val="single"/>
                      </w:rPr>
                      <w:t>V-966</w:t>
                    </w:r>
                  </w:fldSimple>
                  <w:r>
                    <w:rPr>
                      <w:rFonts w:ascii="Times New Roman" w:eastAsia="MS Mincho" w:hAnsi="Times New Roman"/>
                      <w:sz w:val="20"/>
                      <w:i/>
                      <w:iCs/>
                    </w:rPr>
                    <w:t>,
2024-10-07,
paskelbta TAR 2024-10-07, i. k. 2024-17546            </w:t>
                  </w:r>
                </w:p>
                <w:p/>
              </w:sdtContent>
            </w:sdt>
            <w:sdt>
              <w:sdtPr>
                <w:alias w:val="7 pr. 4 p."/>
                <w:tag w:val="part_a6fb048b03e14a64ab0323fde91ed2cd"/>
                <w:lock w:val="sdtLocked"/>
                <w:richText/>
              </w:sdtPr>
              <w:sdtContent>
                <w:p>
                  <w:pPr>
                    <w:ind w:firstLine="567"/>
                    <w:jc w:val="both"/>
                  </w:pPr>
                  <w:sdt>
                    <w:sdtPr>
                      <w:alias w:val="Numeris"/>
                      <w:tag w:val="nr_a6fb048b03e14a64ab0323fde91ed2cd"/>
                      <w:lock w:val="sdtLocked"/>
                      <w:richText/>
                    </w:sdtPr>
                    <w:sdtContent>
                      <w:r>
                        <w:t>4</w:t>
                      </w:r>
                    </w:sdtContent>
                  </w:sdt>
                  <w:r>
                    <w:t>. Asmenys, siekiantys mokytis vairuoti ir pirmą kartą įgyti teisę vairuoti tam tikros kategorijos transporto priemones (įgyti pirmąjį vairuotojo pažymėjimą), (toliau – kandidatai), arba vairuotojai, norintys atnaujinti vairuotojo pažymėjimą, priskiriami prie tos grupės, kuriai jie priklausys, kai jiems bus išduotas pirmasis ar atnaujintas vairuotojo pažymėjimas.</w:t>
                  </w:r>
                </w:p>
              </w:sdtContent>
            </w:sdt>
            <w:sdt>
              <w:sdtPr>
                <w:alias w:val="7 pr. 5 p."/>
                <w:tag w:val="part_3da51edbbb5747ab99447069970b2d51"/>
                <w:lock w:val="sdtLocked"/>
                <w:richText/>
              </w:sdtPr>
              <w:sdtContent>
                <w:p>
                  <w:pPr>
                    <w:ind w:firstLine="567"/>
                    <w:jc w:val="both"/>
                  </w:pPr>
                  <w:sdt>
                    <w:sdtPr>
                      <w:alias w:val="Numeris"/>
                      <w:tag w:val="nr_3da51edbbb5747ab99447069970b2d51"/>
                      <w:lock w:val="sdtLocked"/>
                      <w:richText/>
                    </w:sdtPr>
                    <w:sdtContent>
                      <w:r>
                        <w:t>5</w:t>
                      </w:r>
                    </w:sdtContent>
                  </w:sdt>
                  <w:r>
                    <w:t xml:space="preserve">. Kitos apraše vartojamos sąvokos atitinka Lietuvos Respublikos saugaus eismo automobilių keliais įstatyme (Žin., 2000, Nr. </w:t>
                  </w:r>
                  <w:hyperlink r:id="rId53" w:tgtFrame="_blank" w:history="1">
                    <w:r>
                      <w:rPr>
                        <w:color w:val="0000FF" w:themeColor="hyperlink"/>
                        <w:u w:val="single"/>
                      </w:rPr>
                      <w:t>92-2883</w:t>
                    </w:r>
                  </w:hyperlink>
                  <w:r>
                    <w:t xml:space="preserve">; 2007, Nr. </w:t>
                  </w:r>
                  <w:hyperlink r:id="rId54" w:tgtFrame="_blank" w:history="1">
                    <w:r>
                      <w:rPr>
                        <w:color w:val="0000FF" w:themeColor="hyperlink"/>
                        <w:u w:val="single"/>
                      </w:rPr>
                      <w:t>128-5213</w:t>
                    </w:r>
                  </w:hyperlink>
                  <w:r>
                    <w:t>) (toliau – Saugaus eismo įstatymas) ir kituose teisės aktuose, reglamentuojančiuose sveikatos priežiūrą, apibrėžtas sąvokas.</w:t>
                  </w:r>
                </w:p>
                <w:p>
                  <w:pPr>
                    <w:ind w:firstLine="567"/>
                    <w:jc w:val="both"/>
                  </w:pPr>
                </w:p>
              </w:sdtContent>
            </w:sdt>
          </w:sdtContent>
        </w:sdt>
        <w:sdt>
          <w:sdtPr>
            <w:alias w:val="skyrius"/>
            <w:tag w:val="part_c2d8a0d16550498da09ed6a216621212"/>
            <w:lock w:val="sdtLocked"/>
            <w:richText/>
          </w:sdtPr>
          <w:sdtContent>
            <w:p>
              <w:pPr>
                <w:jc w:val="center"/>
                <w:rPr>
                  <w:b/>
                  <w:bCs/>
                </w:rPr>
              </w:pPr>
              <w:sdt>
                <w:sdtPr>
                  <w:alias w:val="Numeris"/>
                  <w:tag w:val="nr_c2d8a0d16550498da09ed6a216621212"/>
                  <w:lock w:val="sdtLocked"/>
                  <w:richText/>
                </w:sdtPr>
                <w:sdtContent>
                  <w:r>
                    <w:rPr>
                      <w:b/>
                      <w:bCs/>
                    </w:rPr>
                    <w:t>II</w:t>
                  </w:r>
                </w:sdtContent>
              </w:sdt>
              <w:r>
                <w:rPr>
                  <w:b/>
                  <w:bCs/>
                </w:rPr>
                <w:t xml:space="preserve">. </w:t>
              </w:r>
              <w:sdt>
                <w:sdtPr>
                  <w:alias w:val="Pavadinimas"/>
                  <w:tag w:val="title_c2d8a0d16550498da09ed6a216621212"/>
                  <w:lock w:val="sdtLocked"/>
                  <w:richText/>
                </w:sdtPr>
                <w:sdtContent>
                  <w:r>
                    <w:rPr>
                      <w:b/>
                      <w:bCs/>
                    </w:rPr>
                    <w:t>SVEIKATOS TIKRINIMO REIKALAVIMAI IR TVARKA</w:t>
                  </w:r>
                </w:sdtContent>
              </w:sdt>
            </w:p>
            <w:p>
              <w:pPr>
                <w:ind w:firstLine="567"/>
                <w:jc w:val="both"/>
              </w:pPr>
            </w:p>
            <w:sdt>
              <w:sdtPr>
                <w:alias w:val="7 pr. 6 p."/>
                <w:tag w:val="part_c1f506df291e4803a77c3cf708cbd681"/>
                <w:lock w:val="sdtLocked"/>
                <w:richText/>
              </w:sdtPr>
              <w:sdtContent>
                <w:p>
                  <w:pPr>
                    <w:tabs>
                      <w:tab w:val="left" w:pos="0"/>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pPr>
                  <w:sdt>
                    <w:sdtPr>
                      <w:alias w:val="Numeris"/>
                      <w:tag w:val="nr_c1f506df291e4803a77c3cf708cbd681"/>
                      <w:lock w:val="sdtLocked"/>
                      <w:richText/>
                    </w:sdtPr>
                    <w:sdtContent>
                      <w:r>
                        <w:rPr>
                          <w:color w:val="000000"/>
                          <w:szCs w:val="24"/>
                        </w:rPr>
                        <w:t>6</w:t>
                      </w:r>
                    </w:sdtContent>
                  </w:sdt>
                  <w:r>
                    <w:rPr>
                      <w:color w:val="000000"/>
                      <w:szCs w:val="24"/>
                    </w:rPr>
                    <w:t>. Visi kandidatai bei 1 ir 2 grupės ir joms prilyginti vairuotojai privalo tikrintis sveikatą prieš įgydami šią teisę bei vėliau periodiškai šiame Apraše nustatyta tvarka. Aprašo nuostatos taip pat taikomos užsienio valstybėje vairuotojo pažymėjimą įgijusiems vairuotojams, norintiems įsidarbinti ar dirbti pagal darbo sutartį Lietuvos Respublikoje.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c1d914846111efabdbb4a1fc8b0b63">
                    <w:r w:rsidRPr="00532B9F">
                      <w:rPr>
                        <w:rFonts w:ascii="Times New Roman" w:eastAsia="MS Mincho" w:hAnsi="Times New Roman"/>
                        <w:sz w:val="20"/>
                        <w:i/>
                        <w:iCs/>
                        <w:color w:val="0000FF" w:themeColor="hyperlink"/>
                        <w:u w:val="single"/>
                      </w:rPr>
                      <w:t>V-966</w:t>
                    </w:r>
                  </w:fldSimple>
                  <w:r>
                    <w:rPr>
                      <w:rFonts w:ascii="Times New Roman" w:eastAsia="MS Mincho" w:hAnsi="Times New Roman"/>
                      <w:sz w:val="20"/>
                      <w:i/>
                      <w:iCs/>
                    </w:rPr>
                    <w:t>,
2024-10-07,
paskelbta TAR 2024-10-07, i. k. 2024-17546            </w:t>
                  </w:r>
                </w:p>
                <w:p/>
              </w:sdtContent>
            </w:sdt>
            <w:sdt>
              <w:sdtPr>
                <w:alias w:val="7 pr. 7 p."/>
                <w:tag w:val="part_f38e7c27065a4c7384024f370ebc8183"/>
                <w:lock w:val="sdtLocked"/>
                <w:richText/>
              </w:sdtPr>
              <w:sdtContent>
                <w:p>
                  <w:pPr>
                    <w:ind w:firstLine="567"/>
                    <w:jc w:val="both"/>
                  </w:pPr>
                  <w:sdt>
                    <w:sdtPr>
                      <w:alias w:val="Numeris"/>
                      <w:tag w:val="nr_f38e7c27065a4c7384024f370ebc8183"/>
                      <w:lock w:val="sdtLocked"/>
                      <w:richText/>
                    </w:sdtPr>
                    <w:sdtContent>
                      <w:r>
                        <w:t>7</w:t>
                      </w:r>
                    </w:sdtContent>
                  </w:sdt>
                  <w:r>
                    <w:t>. Vairuotojų sveikatos tikrinimas atliekamas įstaigoje, turinčioje licenciją teikti sveikatos priežiūros paslaugas.</w:t>
                  </w:r>
                </w:p>
              </w:sdtContent>
            </w:sdt>
            <w:sdt>
              <w:sdtPr>
                <w:alias w:val="7 pr. 8 p."/>
                <w:tag w:val="part_57dfaae7e9784acf91b510d6f97e41bf"/>
                <w:lock w:val="sdtLocked"/>
                <w:richText/>
              </w:sdtPr>
              <w:sdtContent>
                <w:p>
                  <w:pPr>
                    <w:ind w:firstLine="567"/>
                    <w:jc w:val="both"/>
                  </w:pPr>
                  <w:sdt>
                    <w:sdtPr>
                      <w:alias w:val="Numeris"/>
                      <w:tag w:val="nr_57dfaae7e9784acf91b510d6f97e41bf"/>
                      <w:lock w:val="sdtLocked"/>
                      <w:richText/>
                    </w:sdtPr>
                    <w:sdtContent>
                      <w:r>
                        <w:t>8</w:t>
                      </w:r>
                    </w:sdtContent>
                  </w:sdt>
                  <w:r>
                    <w:t>. Transporto priemonių vairuotojų sveikatos tikrinimo mastas ir periodiškumas nurodyti 1 lentelėje.</w:t>
                  </w:r>
                </w:p>
              </w:sdtContent>
            </w:sdt>
            <w:sdt>
              <w:sdtPr>
                <w:alias w:val="7 pr. 9 p."/>
                <w:tag w:val="part_6ec65ebd19bd4e34ac7bb2e0042864b0"/>
                <w:lock w:val="sdtLocked"/>
                <w:richText/>
              </w:sdtPr>
              <w:sdtContent>
                <w:p>
                  <w:pPr>
                    <w:ind w:firstLine="567"/>
                    <w:jc w:val="both"/>
                  </w:pPr>
                  <w:sdt>
                    <w:sdtPr>
                      <w:alias w:val="Numeris"/>
                      <w:tag w:val="nr_6ec65ebd19bd4e34ac7bb2e0042864b0"/>
                      <w:lock w:val="sdtLocked"/>
                      <w:richText/>
                    </w:sdtPr>
                    <w:sdtContent>
                      <w:r>
                        <w:t>9</w:t>
                      </w:r>
                    </w:sdtContent>
                  </w:sdt>
                  <w:r>
                    <w:t>. Kandidatai ir vairuotojai prieš sveikatos tikrinimą užpildo ir pasirašo Vairuotojo garbės deklaraciją (sveikatos patikrinimo klausimyną) (4 lentelė).</w:t>
                  </w:r>
                </w:p>
              </w:sdtContent>
            </w:sdt>
            <w:sdt>
              <w:sdtPr>
                <w:alias w:val="7 pr. 10 p."/>
                <w:tag w:val="part_e7f3af6fa3f24c4188c547309a2a9784"/>
                <w:lock w:val="sdtLocked"/>
                <w:richText/>
              </w:sdtPr>
              <w:sdtContent>
                <w:p>
                  <w:pPr>
                    <w:ind w:firstLine="567"/>
                    <w:jc w:val="both"/>
                  </w:pPr>
                  <w:sdt>
                    <w:sdtPr>
                      <w:alias w:val="Numeris"/>
                      <w:tag w:val="nr_e7f3af6fa3f24c4188c547309a2a9784"/>
                      <w:lock w:val="sdtLocked"/>
                      <w:richText/>
                    </w:sdtPr>
                    <w:sdtContent>
                      <w:r>
                        <w:rPr>
                          <w:szCs w:val="24"/>
                        </w:rPr>
                        <w:t>10</w:t>
                      </w:r>
                    </w:sdtContent>
                  </w:sdt>
                  <w:r>
                    <w:rPr>
                      <w:szCs w:val="24"/>
                    </w:rPr>
                    <w:t xml:space="preserve">. Kandidatų ir vairuotojų sveikatą tikrina šeimos gydytojas arba vidaus / vaikų ligų gydytojas, teikiantis pirminės sveikatos priežiūros paslaugas. Šie gydytojai įvertina paciento sveikatos duomenis </w:t>
                  </w:r>
                  <w:r>
                    <w:rPr>
                      <w:rFonts w:eastAsia="Calibri"/>
                      <w:szCs w:val="24"/>
                    </w:rPr>
                    <w:t>Elektroninės sveikatos paslaugų ir bendradarbiavimo infrastruktūros informacinėje sistemoje (toliau</w:t>
                  </w:r>
                  <w:r>
                    <w:rPr>
                      <w:szCs w:val="24"/>
                    </w:rPr>
                    <w:t xml:space="preserve"> </w:t>
                  </w:r>
                  <w:r>
                    <w:rPr>
                      <w:rFonts w:eastAsia="Calibri"/>
                      <w:szCs w:val="24"/>
                    </w:rPr>
                    <w:t>–</w:t>
                  </w:r>
                  <w:r>
                    <w:rPr>
                      <w:szCs w:val="24"/>
                    </w:rPr>
                    <w:t xml:space="preserve"> </w:t>
                  </w:r>
                  <w:r>
                    <w:rPr>
                      <w:rFonts w:eastAsia="Calibri"/>
                      <w:szCs w:val="24"/>
                    </w:rPr>
                    <w:t>ESPBI IS),</w:t>
                  </w:r>
                  <w:r>
                    <w:rPr>
                      <w:szCs w:val="24"/>
                    </w:rPr>
                    <w:t xml:space="preserve"> vadovaudamiesi šiuo įsakymu paskiria tyrimus, nustato jų dažnumą, bei atsako už sveikatos tikrinimo kokybę: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6f3b7046d011ec992fe4cdfceb5666">
                    <w:r w:rsidRPr="00532B9F">
                      <w:rPr>
                        <w:rFonts w:ascii="Times New Roman" w:eastAsia="MS Mincho" w:hAnsi="Times New Roman"/>
                        <w:sz w:val="20"/>
                        <w:i/>
                        <w:iCs/>
                        <w:color w:val="0000FF" w:themeColor="hyperlink"/>
                        <w:u w:val="single"/>
                      </w:rPr>
                      <w:t>V-2596</w:t>
                    </w:r>
                  </w:fldSimple>
                  <w:r>
                    <w:rPr>
                      <w:rFonts w:ascii="Times New Roman" w:eastAsia="MS Mincho" w:hAnsi="Times New Roman"/>
                      <w:sz w:val="20"/>
                      <w:i/>
                      <w:iCs/>
                    </w:rPr>
                    <w:t>,
2021-11-16,
paskelbta TAR 2021-11-16, i. k. 2021-23674            </w:t>
                  </w:r>
                </w:p>
                <w:sdt>
                  <w:sdtPr>
                    <w:alias w:val="7 pr. 10.1 p."/>
                    <w:tag w:val="part_8bb7fb173d214265ac24b4815644c948"/>
                    <w:lock w:val="sdtLocked"/>
                    <w:richText/>
                  </w:sdtPr>
                  <w:sdtContent>
                    <w:p>
                      <w:pPr>
                        <w:tabs>
                          <w:tab w:val="left" w:pos="0"/>
                          <w:tab w:val="left" w:pos="142"/>
                          <w:tab w:val="left" w:pos="900"/>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pPr>
                      <w:sdt>
                        <w:sdtPr>
                          <w:alias w:val="Numeris"/>
                          <w:tag w:val="nr_8bb7fb173d214265ac24b4815644c948"/>
                          <w:lock w:val="sdtLocked"/>
                          <w:richText/>
                        </w:sdtPr>
                        <w:sdtContent>
                          <w:r>
                            <w:rPr>
                              <w:color w:val="000000"/>
                              <w:szCs w:val="24"/>
                            </w:rPr>
                            <w:t>10.1</w:t>
                          </w:r>
                        </w:sdtContent>
                      </w:sdt>
                      <w:r>
                        <w:rPr>
                          <w:color w:val="000000"/>
                          <w:szCs w:val="24"/>
                        </w:rPr>
                        <w:t xml:space="preserve">. Šeimos gydytojas arba vidaus / vaikų ligų gydytojas, tikrinimo metu nustatęs, kad tikrinamas pacientas dėl medicininių priežasčių negali vairuoti visų kategorijų transporto priemonių, tikrinimo netęsia ir tikrinimo duomenis ir išvadas įrašo į elektroninį dokumentą E025 „Ambulatorinio apsilankymo aprašymas“ (toliau – forma Nr. E025), nurodytą </w:t>
                      </w:r>
                      <w:r>
                        <w:rPr>
                          <w:szCs w:val="24"/>
                        </w:rPr>
                        <w:t>Elektroninės sveikatos paslaugų ir bendradarbiavimo infrastruktūros informacinės sistemos naudojimo tvarkos aprašo, patvirtinto Lietuvos Respublikos sveikatos apsaugos ministro 2015</w:t>
                      </w:r>
                      <w:r>
                        <w:rPr>
                          <w:color w:val="000000"/>
                          <w:szCs w:val="24"/>
                        </w:rPr>
                        <w:t> </w:t>
                      </w:r>
                      <w:r>
                        <w:rPr>
                          <w:szCs w:val="24"/>
                        </w:rPr>
                        <w:t>m. gegužės 26 d. įsakymu Nr. V-657 „Dėl Elektroninės sveikatos paslaugų ir bendradarbiavimo infrastruktūros informacinės sistemos naudojimo tvarkos aprašo patvirtinimo“ (toliau – Elektroninės sveikatos paslaugų ir bendradarbiavimo infrastruktūros informacinės sistemos naudojimo tvarkos aprašas), priede</w:t>
                      </w:r>
                      <w:r>
                        <w:rPr>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c1d914846111efabdbb4a1fc8b0b63">
                        <w:r w:rsidRPr="00532B9F">
                          <w:rPr>
                            <w:rFonts w:ascii="Times New Roman" w:eastAsia="MS Mincho" w:hAnsi="Times New Roman"/>
                            <w:sz w:val="20"/>
                            <w:i/>
                            <w:iCs/>
                            <w:color w:val="0000FF" w:themeColor="hyperlink"/>
                            <w:u w:val="single"/>
                          </w:rPr>
                          <w:t>V-966</w:t>
                        </w:r>
                      </w:fldSimple>
                      <w:r>
                        <w:rPr>
                          <w:rFonts w:ascii="Times New Roman" w:eastAsia="MS Mincho" w:hAnsi="Times New Roman"/>
                          <w:sz w:val="20"/>
                          <w:i/>
                          <w:iCs/>
                        </w:rPr>
                        <w:t>,
2024-10-07,
paskelbta TAR 2024-10-07, i. k. 2024-17546            </w:t>
                      </w:r>
                    </w:p>
                    <w:p/>
                  </w:sdtContent>
                </w:sdt>
                <w:sdt>
                  <w:sdtPr>
                    <w:alias w:val="7 pr. 10.2 p."/>
                    <w:tag w:val="part_5bd25a06bc694c2d902c2753342070b7"/>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pPr>
                      <w:sdt>
                        <w:sdtPr>
                          <w:alias w:val="Numeris"/>
                          <w:tag w:val="nr_5bd25a06bc694c2d902c2753342070b7"/>
                          <w:lock w:val="sdtLocked"/>
                          <w:richText/>
                        </w:sdtPr>
                        <w:sdtContent>
                          <w:r>
                            <w:rPr>
                              <w:szCs w:val="24"/>
                            </w:rPr>
                            <w:t>10.2</w:t>
                          </w:r>
                        </w:sdtContent>
                      </w:sdt>
                      <w:r>
                        <w:rPr>
                          <w:szCs w:val="24"/>
                        </w:rPr>
                        <w:t xml:space="preserve">. Paciento psichikos sveikatą tikrina </w:t>
                      </w:r>
                      <w:r>
                        <w:rPr>
                          <w:spacing w:val="2"/>
                          <w:szCs w:val="24"/>
                        </w:rPr>
                        <w:t xml:space="preserve">gydytojas psichiatras, dirbantis paciento pasirinktoje asmens sveikatos priežiūros įstaigoje, teikiančioje pirmines ambulatorines psichikos sveikatos priežiūros paslaugas (psichikos sveikatos centre, prie kurio jis yra prisirašęs arba kuriam, kaip aptarnaujančiam </w:t>
                      </w:r>
                      <w:r>
                        <w:rPr>
                          <w:szCs w:val="24"/>
                        </w:rPr>
                        <w:t xml:space="preserve">sveikatos priežiūros įstaigą (toliau – SPĮ), </w:t>
                      </w:r>
                      <w:r>
                        <w:rPr>
                          <w:spacing w:val="2"/>
                          <w:szCs w:val="24"/>
                        </w:rPr>
                        <w:t>prie kurios jis yra prisirašęs, yra priskirtas).</w:t>
                      </w:r>
                      <w:r>
                        <w:rPr>
                          <w:b/>
                          <w:bCs/>
                          <w:spacing w:val="2"/>
                          <w:szCs w:val="24"/>
                        </w:rPr>
                        <w:t xml:space="preserve"> </w:t>
                      </w:r>
                      <w:r>
                        <w:rPr>
                          <w:szCs w:val="24"/>
                        </w:rPr>
                        <w:t>Vaikų psichikos sveikatą tikrina gydytojas vaikų ir paauglių psichiatras, o jeigu toks gydytojas psichikos sveikatos centre nedirba – gydytojas psichiatras;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6f3b7046d011ec992fe4cdfceb5666">
                        <w:r w:rsidRPr="00532B9F">
                          <w:rPr>
                            <w:rFonts w:ascii="Times New Roman" w:eastAsia="MS Mincho" w:hAnsi="Times New Roman"/>
                            <w:sz w:val="20"/>
                            <w:i/>
                            <w:iCs/>
                            <w:color w:val="0000FF" w:themeColor="hyperlink"/>
                            <w:u w:val="single"/>
                          </w:rPr>
                          <w:t>V-2596</w:t>
                        </w:r>
                      </w:fldSimple>
                      <w:r>
                        <w:rPr>
                          <w:rFonts w:ascii="Times New Roman" w:eastAsia="MS Mincho" w:hAnsi="Times New Roman"/>
                          <w:sz w:val="20"/>
                          <w:i/>
                          <w:iCs/>
                        </w:rPr>
                        <w:t>,
2021-11-16,
paskelbta TAR 2021-11-16, i. k. 2021-23674            </w:t>
                      </w:r>
                    </w:p>
                    <w:p/>
                  </w:sdtContent>
                </w:sdt>
                <w:sdt>
                  <w:sdtPr>
                    <w:alias w:val="10.3 p."/>
                    <w:tag w:val="part_1a04e91de0784c36a5a6516fe48a0639"/>
                    <w:lock w:val="sdtLocked"/>
                    <w:richText/>
                  </w:sdtPr>
                  <w:sdtContent>
                    <w:p>
                      <w:pPr>
                        <w:tabs>
                          <w:tab w:val="left" w:pos="1560"/>
                        </w:tabs>
                        <w:ind w:firstLine="567"/>
                        <w:jc w:val="both"/>
                      </w:pPr>
                      <w:sdt>
                        <w:sdtPr>
                          <w:alias w:val="Numeris"/>
                          <w:tag w:val="nr_1a04e91de0784c36a5a6516fe48a0639"/>
                          <w:lock w:val="sdtLocked"/>
                          <w:richText/>
                        </w:sdtPr>
                        <w:sdtContent>
                          <w:r>
                            <w:rPr>
                              <w:szCs w:val="24"/>
                            </w:rPr>
                            <w:t>10.3</w:t>
                          </w:r>
                        </w:sdtContent>
                      </w:sdt>
                      <w:r>
                        <w:rPr>
                          <w:szCs w:val="24"/>
                        </w:rPr>
                        <w:t xml:space="preserve">. Kandidatas arba vairuotojas apsilankymo pas šeimos arba vidaus, arba vaikų ligų gydytoją metu užpildo, pasirašo ir pateikia gydytojui Klausimyną dėl obstrukcinės miego apnėjos ir </w:t>
                      </w:r>
                      <w:r>
                        <w:rPr>
                          <w:i/>
                          <w:szCs w:val="24"/>
                        </w:rPr>
                        <w:t>Epworth</w:t>
                      </w:r>
                      <w:r>
                        <w:rPr>
                          <w:szCs w:val="24"/>
                        </w:rPr>
                        <w:t xml:space="preserve"> mieguistumo skalę (Aprašo priedas). Gydytojas, įvertinęs atsakymus, naudodamasis Obstrukcinės miego apnėjos sindromo (toliau – OMA) klausimyno vertinimo metodika ir įtaręs šią ligą, siunčia kandidatą arba vairuotoją Aprašo 11 punkte nustatyta tvarka gydytojo neurologo arba gydytojo pulmonologo konsultacijos.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a3f320b48611e598c4c7724bda031b">
                        <w:r w:rsidRPr="00532B9F">
                          <w:rPr>
                            <w:rFonts w:ascii="Times New Roman" w:eastAsia="MS Mincho" w:hAnsi="Times New Roman"/>
                            <w:sz w:val="20"/>
                            <w:i/>
                            <w:iCs/>
                            <w:color w:val="0000FF" w:themeColor="hyperlink"/>
                            <w:u w:val="single"/>
                          </w:rPr>
                          <w:t>V-1604</w:t>
                        </w:r>
                      </w:fldSimple>
                      <w:r>
                        <w:rPr>
                          <w:rFonts w:ascii="Times New Roman" w:eastAsia="MS Mincho" w:hAnsi="Times New Roman"/>
                          <w:sz w:val="20"/>
                          <w:i/>
                          <w:iCs/>
                        </w:rPr>
                        <w:t>,
2015-12-31,
paskelbta TAR 2016-01-07, i. k. 2016-00381        </w:t>
                      </w:r>
                    </w:p>
                    <w:p/>
                  </w:sdtContent>
                </w:sdt>
              </w:sdtContent>
            </w:sdt>
            <w:sdt>
              <w:sdtPr>
                <w:alias w:val="10-1 p."/>
                <w:tag w:val="part_e34205f654ab48348d7793eedf67c273"/>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pPr>
                  <w:sdt>
                    <w:sdtPr>
                      <w:alias w:val="Numeris"/>
                      <w:tag w:val="nr_e34205f654ab48348d7793eedf67c273"/>
                      <w:lock w:val="sdtLocked"/>
                      <w:richText/>
                    </w:sdtPr>
                    <w:sdtContent>
                      <w:r>
                        <w:rPr>
                          <w:szCs w:val="24"/>
                        </w:rPr>
                        <w:t>10</w:t>
                      </w:r>
                      <w:r>
                        <w:rPr>
                          <w:szCs w:val="24"/>
                          <w:vertAlign w:val="superscript"/>
                        </w:rPr>
                        <w:t>1</w:t>
                      </w:r>
                    </w:sdtContent>
                  </w:sdt>
                  <w:r>
                    <w:rPr>
                      <w:szCs w:val="24"/>
                    </w:rPr>
                    <w:t xml:space="preserve">. Sveikatą tikrinantys gydytojai turi teisę gauti informaciją apie tikrinamojo asmens sveikatos būklę iš kitų asmens sveikatos priežiūros įstaigų, o pastarosios tokią informaciją privalo teikti </w:t>
                  </w:r>
                  <w:r>
                    <w:rPr>
                      <w:color w:val="000000"/>
                      <w:szCs w:val="24"/>
                    </w:rPr>
                    <w:t xml:space="preserve">Informacijos apie pacientą valstybės institucijoms ir kitoms įstaigoms teikimo tvarkos aprašo, patvirtinto </w:t>
                  </w:r>
                  <w:r>
                    <w:rPr>
                      <w:szCs w:val="24"/>
                    </w:rPr>
                    <w:t>Lietuvos Respublikos sveikatos apsaugos ministro 2001 m. vasario 1 d. įsakymu Nr. 65 „D</w:t>
                  </w:r>
                  <w:r>
                    <w:rPr>
                      <w:color w:val="000000"/>
                      <w:szCs w:val="24"/>
                      <w:lang w:eastAsia="lt-LT"/>
                    </w:rPr>
                    <w:t xml:space="preserve">ėl Informacijos apie pacientą valstybės institucijoms ir kitoms įstaigoms teikimo tvarkos aprašo patvirtinimo ir asmens sveikatos paslapties kriterijų nustatymo“, </w:t>
                  </w:r>
                  <w:r>
                    <w:rPr>
                      <w:szCs w:val="24"/>
                    </w:rPr>
                    <w:t>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6f3b7046d011ec992fe4cdfceb5666">
                    <w:r w:rsidRPr="00532B9F">
                      <w:rPr>
                        <w:rFonts w:ascii="Times New Roman" w:eastAsia="MS Mincho" w:hAnsi="Times New Roman"/>
                        <w:sz w:val="20"/>
                        <w:i/>
                        <w:iCs/>
                        <w:color w:val="0000FF" w:themeColor="hyperlink"/>
                        <w:u w:val="single"/>
                      </w:rPr>
                      <w:t>V-2596</w:t>
                    </w:r>
                  </w:fldSimple>
                  <w:r>
                    <w:rPr>
                      <w:rFonts w:ascii="Times New Roman" w:eastAsia="MS Mincho" w:hAnsi="Times New Roman"/>
                      <w:sz w:val="20"/>
                      <w:i/>
                      <w:iCs/>
                    </w:rPr>
                    <w:t>,
2021-11-16,
paskelbta TAR 2021-11-16, i. k. 2021-23674        </w:t>
                  </w:r>
                </w:p>
                <w:p/>
              </w:sdtContent>
            </w:sdt>
            <w:sdt>
              <w:sdtPr>
                <w:alias w:val="7 pr. 11 p."/>
                <w:tag w:val="part_388d3c90356a4152a5eca1cccf2c6546"/>
                <w:lock w:val="sdtLocked"/>
                <w:richText/>
              </w:sdtPr>
              <w:sdtContent>
                <w:p>
                  <w:pPr>
                    <w:pStyle w:val="PlainText"/>
                    <w:ind w:firstLine="567"/>
                    <w:jc w:val="both"/>
                    <w:rPr>
                      <w:rFonts w:ascii="Times New Roman" w:hAnsi="Times New Roman"/>
                      <w:b/>
                      <w:bCs/>
                      <w:sz w:val="22"/>
                    </w:rPr>
                  </w:pPr>
                  <w:r>
                    <w:rPr>
                      <w:rFonts w:ascii="Times New Roman" w:hAnsi="Times New Roman"/>
                      <w:sz w:val="22"/>
                    </w:rPr>
                    <w:t>11</w:t>
                  </w:r>
                  <w:r>
                    <w:rPr>
                      <w:rFonts w:ascii="Times New Roman" w:hAnsi="Times New Roman"/>
                      <w:sz w:val="22"/>
                    </w:rPr>
                    <w:t>.</w:t>
                  </w:r>
                  <w:r>
                    <w:rPr>
                      <w:rFonts w:ascii="Times New Roman" w:eastAsia="MS Mincho" w:hAnsi="Times New Roman"/>
                      <w:sz w:val="20"/>
                      <w:i/>
                      <w:iCs/>
                    </w:rPr>
                    <w:t xml:space="preserve"> Neteko galios nuo 2021-11-17</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6f3b7046d011ec992fe4cdfceb5666">
                    <w:r w:rsidRPr="00532B9F">
                      <w:rPr>
                        <w:rFonts w:ascii="Times New Roman" w:eastAsia="MS Mincho" w:hAnsi="Times New Roman"/>
                        <w:sz w:val="20"/>
                        <w:i/>
                        <w:iCs/>
                        <w:color w:val="0000FF" w:themeColor="hyperlink"/>
                        <w:u w:val="single"/>
                      </w:rPr>
                      <w:t>V-2596</w:t>
                    </w:r>
                  </w:fldSimple>
                  <w:r>
                    <w:rPr>
                      <w:rFonts w:ascii="Times New Roman" w:eastAsia="MS Mincho" w:hAnsi="Times New Roman"/>
                      <w:sz w:val="20"/>
                      <w:i/>
                      <w:iCs/>
                    </w:rPr>
                    <w:t>,
2021-11-16,
paskelbta TAR 2021-11-16, i. k. 2021-23674        </w:t>
                  </w:r>
                </w:p>
                <w:p/>
              </w:sdtContent>
            </w:sdt>
            <w:sdt>
              <w:sdtPr>
                <w:alias w:val="7 pr. 12 p."/>
                <w:tag w:val="part_2405ca7a333647d299e25600c54e501a"/>
                <w:lock w:val="sdtLocked"/>
                <w:richText/>
              </w:sdtPr>
              <w:sdtContent>
                <w:p>
                  <w:pPr>
                    <w:ind w:firstLine="567"/>
                    <w:jc w:val="both"/>
                  </w:pPr>
                  <w:sdt>
                    <w:sdtPr>
                      <w:alias w:val="Numeris"/>
                      <w:tag w:val="nr_2405ca7a333647d299e25600c54e501a"/>
                      <w:lock w:val="sdtLocked"/>
                      <w:richText/>
                    </w:sdtPr>
                    <w:sdtContent>
                      <w:r>
                        <w:t>12</w:t>
                      </w:r>
                    </w:sdtContent>
                  </w:sdt>
                  <w:r>
                    <w:t>. Pacientai, norintys tikrintis sveikatą SPĮ, kurioje prisirašė:</w:t>
                  </w:r>
                </w:p>
                <w:sdt>
                  <w:sdtPr>
                    <w:alias w:val="7 pr. 12.1 p."/>
                    <w:tag w:val="part_1ba517bf78054483870e349dbb126eea"/>
                    <w:lock w:val="sdtLocked"/>
                    <w:richText/>
                  </w:sdtPr>
                  <w:sdtContent>
                    <w:p>
                      <w:pPr>
                        <w:ind w:firstLine="567"/>
                        <w:jc w:val="both"/>
                      </w:pPr>
                      <w:sdt>
                        <w:sdtPr>
                          <w:alias w:val="Numeris"/>
                          <w:tag w:val="nr_1ba517bf78054483870e349dbb126eea"/>
                          <w:lock w:val="sdtLocked"/>
                          <w:richText/>
                        </w:sdtPr>
                        <w:sdtContent>
                          <w:r>
                            <w:t>12.1</w:t>
                          </w:r>
                        </w:sdtContent>
                      </w:sdt>
                      <w:r>
                        <w:t>. nurodo, kokių kategorijų transporto priemones nori vairuoti, ir pateikia asmens tapatybę patvirtinantį dokumentą;</w:t>
                      </w:r>
                    </w:p>
                  </w:sdtContent>
                </w:sdt>
                <w:sdt>
                  <w:sdtPr>
                    <w:alias w:val="7 pr. 12.2 p."/>
                    <w:tag w:val="part_210c10e780aa4da1b659db7c42ab2573"/>
                    <w:lock w:val="sdtLocked"/>
                    <w:richText/>
                  </w:sdtPr>
                  <w:sdtContent>
                    <w:p>
                      <w:pPr>
                        <w:ind w:firstLine="567"/>
                        <w:jc w:val="both"/>
                      </w:pPr>
                      <w:sdt>
                        <w:sdtPr>
                          <w:alias w:val="Numeris"/>
                          <w:tag w:val="nr_210c10e780aa4da1b659db7c42ab2573"/>
                          <w:lock w:val="sdtLocked"/>
                          <w:richText/>
                        </w:sdtPr>
                        <w:sdtContent>
                          <w:r>
                            <w:t>12.2</w:t>
                          </w:r>
                        </w:sdtContent>
                      </w:sdt>
                      <w:r>
                        <w:t>. pateikia vairuotojo pažymėjimą (tikrinantis pakartotinai);</w:t>
                      </w:r>
                    </w:p>
                  </w:sdtContent>
                </w:sdt>
                <w:sdt>
                  <w:sdtPr>
                    <w:alias w:val="7 pr. 12.3 p."/>
                    <w:tag w:val="part_fb4360f8aae7459e92473f9f11fe7b5d"/>
                    <w:lock w:val="sdtLocked"/>
                    <w:richText/>
                  </w:sdtPr>
                  <w:sdtContent>
                    <w:p>
                      <w:pPr>
                        <w:tabs>
                          <w:tab w:val="left" w:pos="0"/>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pPr>
                      <w:sdt>
                        <w:sdtPr>
                          <w:alias w:val="Numeris"/>
                          <w:tag w:val="nr_fb4360f8aae7459e92473f9f11fe7b5d"/>
                          <w:lock w:val="sdtLocked"/>
                          <w:richText/>
                        </w:sdtPr>
                        <w:sdtContent>
                          <w:r>
                            <w:rPr>
                              <w:color w:val="000000"/>
                              <w:szCs w:val="24"/>
                            </w:rPr>
                            <w:t>12.3</w:t>
                          </w:r>
                        </w:sdtContent>
                      </w:sdt>
                      <w:r>
                        <w:rPr>
                          <w:color w:val="000000"/>
                          <w:szCs w:val="24"/>
                        </w:rPr>
                        <w:t>. pateikia Asmens medicininę knygelę (sveikatos pasą) (toliau – forma Nr. 048/a) ar</w:t>
                      </w:r>
                      <w:r>
                        <w:rPr>
                          <w:strike/>
                          <w:color w:val="000000"/>
                          <w:szCs w:val="24"/>
                        </w:rPr>
                        <w:t xml:space="preserve"> </w:t>
                      </w:r>
                      <w:r>
                        <w:rPr>
                          <w:color w:val="000000"/>
                          <w:szCs w:val="24"/>
                        </w:rPr>
                        <w:t xml:space="preserve">Privalomo sveikatos patikrinimo medicininę pažymą (toliau – forma Nr. 047/a), nurodytas Privalomų sveikatos statistikos apskaitos ir kitų tipinių formų, pildomų sveikatos priežiūros įstaigose, sąraše ir saugojimo terminuose, patvirtintuose Lietuvos Respublikos sveikatos apsaugos ministro 1999 m. lapkričio 29 d. įsakymu Nr. 515 „Dėl sveikatos priežiūros įstaigų veiklos apskaitos ir atskaitomybės tvarkos“, </w:t>
                      </w:r>
                      <w:r>
                        <w:rPr>
                          <w:szCs w:val="24"/>
                        </w:rPr>
                        <w:t xml:space="preserve">arba informuoja SPĮ, kad darbdaviui atstovaujantis ar jo įgaliotas asmuo ESPBI IS užpildė </w:t>
                      </w:r>
                      <w:r>
                        <w:rPr>
                          <w:color w:val="000000"/>
                          <w:szCs w:val="24"/>
                        </w:rPr>
                        <w:t>elektroninės statistinės apskaitos formą „Asmens medicininė knygelė (sveikatos pasas)“ (toliau – forma Nr. E048) ar elektroninės statistinės apskaitos formą „Privalomo sveikatos patikrinimo medicininė pažyma“ (toliau – forma Nr. E047)</w:t>
                      </w:r>
                      <w:r>
                        <w:rPr>
                          <w:szCs w:val="24"/>
                        </w:rPr>
                        <w:t xml:space="preserve">, nurodytas Elektroninės sveikatos paslaugų ir bendradarbiavimo infrastruktūros informacinės sistemos naudojimo tvarkos aprašo priede, </w:t>
                      </w:r>
                      <w:r>
                        <w:rPr>
                          <w:color w:val="000000"/>
                          <w:szCs w:val="24"/>
                        </w:rPr>
                        <w:t>– jeigu kartu yra atliekamas ir įsidarbinančių ar dirbančių pagal darbo sutartis 2 grupės kategorijų transporto priemonių, traktorių ir savaeigių mašinų vairuotojų ar B kategorijos transporto priemonių vairuotojų, naudojančių vairuotojo pažymėjimą profesiniams tikslams, sveikatos patikrinimas, vadovaujantis Asmenų, dirbančių darbo aplinkoje, kurioje galima profesinė rizika (kenksmingų veiksnių poveikis ir (ar) pavojingas darbas), privalomo sveikatos tikrinimo tvarkos aprašu, o tikrinant vairuotojų, kurių darbas susijęs su keleivių vežimu (autobusų, mikroautobusų ir kt.), sveikatą, vadovaujamasi ir Darbuotojų, kuriems leidžiama dirbti tik iš anksto pasitikrinusiems ir vėliau periodiškai besitikrinantiems, ar neserga užkrečiamosiomis ligomis, sveikatos tikrinimosi tvarka, patvirtinta Lietuvos Respublikos Vyriausybės 1999 m. gegužės 7 d. nutarimu Nr. 544 „Dėl Darbų ir veiklos sričių, kuriose leidžiama dirbti darbuotojams, tik iš anksto pasitikrinusiems ir vėliau periodiškai besitikrinantiems, ar neserga užkrečiamosiomis ligomis, sąrašo, Darbų ir veiklos sričių, kuriose leidžiama dirbti darbuotojams, pasitikrinusiems ir (ar) periodiškai besitikrinantiems, ar neserga užkrečiamąja liga, dėl kurios yra paskelbta valstybės lygio ekstremalioji situacija ir (ar) karantinas, sąrašo ir šių darbuotojų sveikatos tikrinimosi tvarkos patvirtinimo.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6f3b7046d011ec992fe4cdfceb5666">
                        <w:r w:rsidRPr="00532B9F">
                          <w:rPr>
                            <w:rFonts w:ascii="Times New Roman" w:eastAsia="MS Mincho" w:hAnsi="Times New Roman"/>
                            <w:sz w:val="20"/>
                            <w:i/>
                            <w:iCs/>
                            <w:color w:val="0000FF" w:themeColor="hyperlink"/>
                            <w:u w:val="single"/>
                          </w:rPr>
                          <w:t>V-2596</w:t>
                        </w:r>
                      </w:fldSimple>
                      <w:r>
                        <w:rPr>
                          <w:rFonts w:ascii="Times New Roman" w:eastAsia="MS Mincho" w:hAnsi="Times New Roman"/>
                          <w:sz w:val="20"/>
                          <w:i/>
                          <w:iCs/>
                        </w:rPr>
                        <w:t>,
2021-11-16,
paskelbta TAR 2021-11-16, i. k. 2021-23674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c1d914846111efabdbb4a1fc8b0b63">
                        <w:r w:rsidRPr="00532B9F">
                          <w:rPr>
                            <w:rFonts w:ascii="Times New Roman" w:eastAsia="MS Mincho" w:hAnsi="Times New Roman"/>
                            <w:sz w:val="20"/>
                            <w:i/>
                            <w:iCs/>
                            <w:color w:val="0000FF" w:themeColor="hyperlink"/>
                            <w:u w:val="single"/>
                          </w:rPr>
                          <w:t>V-966</w:t>
                        </w:r>
                      </w:fldSimple>
                      <w:r>
                        <w:rPr>
                          <w:rFonts w:ascii="Times New Roman" w:eastAsia="MS Mincho" w:hAnsi="Times New Roman"/>
                          <w:sz w:val="20"/>
                          <w:i/>
                          <w:iCs/>
                        </w:rPr>
                        <w:t>,
2024-10-07,
paskelbta TAR 2024-10-07, i. k. 2024-17546            </w:t>
                      </w:r>
                    </w:p>
                    <w:p/>
                  </w:sdtContent>
                </w:sdt>
              </w:sdtContent>
            </w:sdt>
            <w:sdt>
              <w:sdtPr>
                <w:alias w:val="7 pr. 13 p."/>
                <w:tag w:val="part_931cae19013d43a1867c589a3f30983e"/>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pPr>
                  <w:sdt>
                    <w:sdtPr>
                      <w:alias w:val="Numeris"/>
                      <w:tag w:val="nr_931cae19013d43a1867c589a3f30983e"/>
                      <w:lock w:val="sdtLocked"/>
                      <w:richText/>
                    </w:sdtPr>
                    <w:sdtContent>
                      <w:r>
                        <w:rPr>
                          <w:szCs w:val="24"/>
                        </w:rPr>
                        <w:t>13.</w:t>
                      </w:r>
                    </w:sdtContent>
                  </w:sdt>
                  <w:r>
                    <w:rPr>
                      <w:szCs w:val="24"/>
                    </w:rPr>
                    <w:t xml:space="preserve"> Pacientai, norintys tikrintis sveikatą SPĮ, kurioje jie neprisirašę, nurodo, kokių kategorijų transporto priemones nori vairuoti, ir pateikia 12 punkte nurodytus dokumentus bei F Nr. 027/a iš juos aptarnaujančio psichikos sveikatos centro gydytojo psichiatro ar vaikų ir paauglių psichiatro.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6f3b7046d011ec992fe4cdfceb5666">
                    <w:r w:rsidRPr="00532B9F">
                      <w:rPr>
                        <w:rFonts w:ascii="Times New Roman" w:eastAsia="MS Mincho" w:hAnsi="Times New Roman"/>
                        <w:sz w:val="20"/>
                        <w:i/>
                        <w:iCs/>
                        <w:color w:val="0000FF" w:themeColor="hyperlink"/>
                        <w:u w:val="single"/>
                      </w:rPr>
                      <w:t>V-2596</w:t>
                    </w:r>
                  </w:fldSimple>
                  <w:r>
                    <w:rPr>
                      <w:rFonts w:ascii="Times New Roman" w:eastAsia="MS Mincho" w:hAnsi="Times New Roman"/>
                      <w:sz w:val="20"/>
                      <w:i/>
                      <w:iCs/>
                    </w:rPr>
                    <w:t>,
2021-11-16,
paskelbta TAR 2021-11-16, i. k. 2021-23674            </w:t>
                  </w:r>
                </w:p>
                <w:p/>
              </w:sdtContent>
            </w:sdt>
            <w:sdt>
              <w:sdtPr>
                <w:alias w:val="7 pr. 14 p."/>
                <w:tag w:val="part_7de7cb5508eb4487b95e24594c81804a"/>
                <w:lock w:val="sdtLocked"/>
                <w:richText/>
              </w:sdtPr>
              <w:sdtContent>
                <w:p>
                  <w:pPr>
                    <w:pStyle w:val="PlainText"/>
                    <w:ind w:firstLine="567"/>
                    <w:jc w:val="both"/>
                    <w:rPr>
                      <w:rFonts w:ascii="Times New Roman" w:hAnsi="Times New Roman"/>
                      <w:b/>
                      <w:bCs/>
                      <w:sz w:val="22"/>
                    </w:rPr>
                  </w:pPr>
                  <w:r>
                    <w:rPr>
                      <w:rFonts w:ascii="Times New Roman" w:hAnsi="Times New Roman"/>
                      <w:sz w:val="22"/>
                    </w:rPr>
                    <w:t>14</w:t>
                  </w:r>
                  <w:r>
                    <w:rPr>
                      <w:rFonts w:ascii="Times New Roman" w:hAnsi="Times New Roman"/>
                      <w:sz w:val="22"/>
                    </w:rPr>
                    <w:t>.</w:t>
                  </w:r>
                  <w:r>
                    <w:rPr>
                      <w:rFonts w:ascii="Times New Roman" w:eastAsia="MS Mincho" w:hAnsi="Times New Roman"/>
                      <w:sz w:val="20"/>
                      <w:i/>
                      <w:iCs/>
                    </w:rPr>
                    <w:t xml:space="preserve"> Neteko galios nuo 2019-04-17</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3cf8f0601411e98b599e654d7d03a0">
                    <w:r w:rsidRPr="00532B9F">
                      <w:rPr>
                        <w:rFonts w:ascii="Times New Roman" w:eastAsia="MS Mincho" w:hAnsi="Times New Roman"/>
                        <w:sz w:val="20"/>
                        <w:i/>
                        <w:iCs/>
                        <w:color w:val="0000FF" w:themeColor="hyperlink"/>
                        <w:u w:val="single"/>
                      </w:rPr>
                      <w:t>V-422</w:t>
                    </w:r>
                  </w:fldSimple>
                  <w:r>
                    <w:rPr>
                      <w:rFonts w:ascii="Times New Roman" w:eastAsia="MS Mincho" w:hAnsi="Times New Roman"/>
                      <w:sz w:val="20"/>
                      <w:i/>
                      <w:iCs/>
                    </w:rPr>
                    <w:t>,
2019-04-15,
paskelbta TAR 2019-04-16, i. k. 2019-06202        </w:t>
                  </w:r>
                </w:p>
                <w:p/>
              </w:sdtContent>
            </w:sdt>
            <w:sdt>
              <w:sdtPr>
                <w:alias w:val="7 pr. 15 p."/>
                <w:tag w:val="part_6843f5f8edff4ab88098bdab43be4992"/>
                <w:lock w:val="sdtLocked"/>
                <w:richText/>
              </w:sdtPr>
              <w:sdtContent>
                <w:p>
                  <w:pPr>
                    <w:ind w:firstLine="567"/>
                    <w:jc w:val="both"/>
                  </w:pPr>
                  <w:sdt>
                    <w:sdtPr>
                      <w:alias w:val="Numeris"/>
                      <w:tag w:val="nr_6843f5f8edff4ab88098bdab43be4992"/>
                      <w:lock w:val="sdtLocked"/>
                      <w:richText/>
                    </w:sdtPr>
                    <w:sdtContent>
                      <w:r>
                        <w:t>15</w:t>
                      </w:r>
                    </w:sdtContent>
                  </w:sdt>
                  <w:r>
                    <w:t>. Traktorių ir savaeigių mašinų vairuotojų, dirbančių pagal darbo sutartis, tikrinimo tvarka nurodyta Aprašo 1 lentelės 4 dalyje.</w:t>
                  </w:r>
                </w:p>
              </w:sdtContent>
            </w:sdt>
            <w:sdt>
              <w:sdtPr>
                <w:alias w:val="7 pr. 16 p."/>
                <w:tag w:val="part_ae8e397c11da4debaa4394c81e5ab18a"/>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pPr>
                  <w:sdt>
                    <w:sdtPr>
                      <w:alias w:val="Numeris"/>
                      <w:tag w:val="nr_ae8e397c11da4debaa4394c81e5ab18a"/>
                      <w:lock w:val="sdtLocked"/>
                      <w:richText/>
                    </w:sdtPr>
                    <w:sdtContent>
                      <w:r>
                        <w:rPr>
                          <w:szCs w:val="24"/>
                        </w:rPr>
                        <w:t>16</w:t>
                      </w:r>
                    </w:sdtContent>
                  </w:sdt>
                  <w:r>
                    <w:rPr>
                      <w:szCs w:val="24"/>
                    </w:rPr>
                    <w:t xml:space="preserve">. Atlikus profilaktinį tikrinimą, ESPBI IS užpildoma elektroninės statistinės apskaitos forma Nr. E083-1 „Vairuotojo sveikatos patikrinimo medicininė pažyma“ (toliau – F Nr. E083-1) arba išduodama forma Nr. 083-1/a „Vairuotojo sveikatos patikrinimo medicininė pažyma“, patvirtinta Lietuvos Respublikos sveikatos apsaugos ministro 1999 m. lapkričio 29 d. įsakymu Nr. 515 „Dėl sveikatos priežiūros įstaigų veiklos apskaitos ir atskaitomybės tvarkos“ (toliau </w:t>
                  </w:r>
                  <w:r>
                    <w:rPr>
                      <w:szCs w:val="24"/>
                      <w:lang w:eastAsia="lt-LT"/>
                    </w:rPr>
                    <w:t xml:space="preserve">– </w:t>
                  </w:r>
                  <w:r>
                    <w:rPr>
                      <w:rFonts w:eastAsia="Calibri"/>
                      <w:szCs w:val="24"/>
                    </w:rPr>
                    <w:t xml:space="preserve">F </w:t>
                  </w:r>
                  <w:r>
                    <w:rPr>
                      <w:szCs w:val="24"/>
                    </w:rPr>
                    <w:t xml:space="preserve">Nr. 083-1/a). </w:t>
                  </w:r>
                  <w:r>
                    <w:rPr>
                      <w:szCs w:val="24"/>
                      <w:lang w:eastAsia="lt-LT"/>
                    </w:rPr>
                    <w:t xml:space="preserve">Esant ESPBI IS arba SPĮ vidinių informacinės sistemos veikimo sutrikimų, </w:t>
                  </w:r>
                  <w:r>
                    <w:rPr>
                      <w:szCs w:val="24"/>
                    </w:rPr>
                    <w:t xml:space="preserve">F Nr. E083-1 </w:t>
                  </w:r>
                  <w:r>
                    <w:rPr>
                      <w:szCs w:val="24"/>
                      <w:lang w:eastAsia="lt-LT"/>
                    </w:rPr>
                    <w:t xml:space="preserve">užpildoma atkūrus sistemos / sistemų veiklą. </w:t>
                  </w:r>
                  <w:r>
                    <w:rPr>
                      <w:szCs w:val="24"/>
                    </w:rPr>
                    <w:t>F</w:t>
                  </w:r>
                  <w:r>
                    <w:rPr>
                      <w:szCs w:val="24"/>
                      <w:lang w:eastAsia="lt-LT"/>
                    </w:rPr>
                    <w:t> </w:t>
                  </w:r>
                  <w:r>
                    <w:rPr>
                      <w:szCs w:val="24"/>
                    </w:rPr>
                    <w:t>Nr. 083-1/a gali būti išduodama tik asmens kodo neturintiems trečiųjų šalių piliečiams, neketinantiems įsigyti ar keisti vairuotojo pažymėjimo, kuriems nėra galimybių ESPB IS užpildyti F Nr. E083-1.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6f3b7046d011ec992fe4cdfceb5666">
                    <w:r w:rsidRPr="00532B9F">
                      <w:rPr>
                        <w:rFonts w:ascii="Times New Roman" w:eastAsia="MS Mincho" w:hAnsi="Times New Roman"/>
                        <w:sz w:val="20"/>
                        <w:i/>
                        <w:iCs/>
                        <w:color w:val="0000FF" w:themeColor="hyperlink"/>
                        <w:u w:val="single"/>
                      </w:rPr>
                      <w:t>V-2596</w:t>
                    </w:r>
                  </w:fldSimple>
                  <w:r>
                    <w:rPr>
                      <w:rFonts w:ascii="Times New Roman" w:eastAsia="MS Mincho" w:hAnsi="Times New Roman"/>
                      <w:sz w:val="20"/>
                      <w:i/>
                      <w:iCs/>
                    </w:rPr>
                    <w:t>,
2021-11-16,
paskelbta TAR 2021-11-16, i. k. 2021-23674            </w:t>
                  </w:r>
                </w:p>
                <w:p/>
              </w:sdtContent>
            </w:sdt>
            <w:sdt>
              <w:sdtPr>
                <w:alias w:val="7 pr. 17 p."/>
                <w:tag w:val="part_8317bcfafaf44d5e81e9d994ae51a8a9"/>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pPr>
                  <w:sdt>
                    <w:sdtPr>
                      <w:alias w:val="Numeris"/>
                      <w:tag w:val="nr_8317bcfafaf44d5e81e9d994ae51a8a9"/>
                      <w:lock w:val="sdtLocked"/>
                      <w:richText/>
                    </w:sdtPr>
                    <w:sdtContent>
                      <w:r>
                        <w:rPr>
                          <w:szCs w:val="24"/>
                        </w:rPr>
                        <w:t>17</w:t>
                      </w:r>
                    </w:sdtContent>
                  </w:sdt>
                  <w:r>
                    <w:rPr>
                      <w:szCs w:val="24"/>
                    </w:rPr>
                    <w:t>. Vairuotojo, turinčio galiojančią F Nr. E083-1 (ar</w:t>
                  </w:r>
                  <w:r>
                    <w:rPr>
                      <w:b/>
                      <w:bCs/>
                      <w:szCs w:val="24"/>
                    </w:rPr>
                    <w:t xml:space="preserve"> </w:t>
                  </w:r>
                  <w:r>
                    <w:rPr>
                      <w:szCs w:val="24"/>
                    </w:rPr>
                    <w:t>F Nr. 083-1/a</w:t>
                  </w:r>
                  <w:r>
                    <w:rPr>
                      <w:b/>
                      <w:bCs/>
                      <w:szCs w:val="24"/>
                    </w:rPr>
                    <w:t>)</w:t>
                  </w:r>
                  <w:r>
                    <w:rPr>
                      <w:szCs w:val="24"/>
                    </w:rPr>
                    <w:t>, sveikata gali būti tikrinama anksčiau šiais atvejais: asmens sveikatos priežiūros specialistui nurodžius, siunčiant policijai, darbovietės administracijai, nurodžius priešlaikinio tikrinimo priežastį arba asmeniui pageidaujant.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a3f320b48611e598c4c7724bda031b">
                    <w:r w:rsidRPr="00532B9F">
                      <w:rPr>
                        <w:rFonts w:ascii="Times New Roman" w:eastAsia="MS Mincho" w:hAnsi="Times New Roman"/>
                        <w:sz w:val="20"/>
                        <w:i/>
                        <w:iCs/>
                        <w:color w:val="0000FF" w:themeColor="hyperlink"/>
                        <w:u w:val="single"/>
                      </w:rPr>
                      <w:t>V-1604</w:t>
                    </w:r>
                  </w:fldSimple>
                  <w:r>
                    <w:rPr>
                      <w:rFonts w:ascii="Times New Roman" w:eastAsia="MS Mincho" w:hAnsi="Times New Roman"/>
                      <w:sz w:val="20"/>
                      <w:i/>
                      <w:iCs/>
                    </w:rPr>
                    <w:t>,
2015-12-31,
paskelbta TAR 2016-01-07, i. k. 2016-00381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6f3b7046d011ec992fe4cdfceb5666">
                    <w:r w:rsidRPr="00532B9F">
                      <w:rPr>
                        <w:rFonts w:ascii="Times New Roman" w:eastAsia="MS Mincho" w:hAnsi="Times New Roman"/>
                        <w:sz w:val="20"/>
                        <w:i/>
                        <w:iCs/>
                        <w:color w:val="0000FF" w:themeColor="hyperlink"/>
                        <w:u w:val="single"/>
                      </w:rPr>
                      <w:t>V-2596</w:t>
                    </w:r>
                  </w:fldSimple>
                  <w:r>
                    <w:rPr>
                      <w:rFonts w:ascii="Times New Roman" w:eastAsia="MS Mincho" w:hAnsi="Times New Roman"/>
                      <w:sz w:val="20"/>
                      <w:i/>
                      <w:iCs/>
                    </w:rPr>
                    <w:t>,
2021-11-16,
paskelbta TAR 2021-11-16, i. k. 2021-23674            </w:t>
                  </w:r>
                </w:p>
                <w:p/>
              </w:sdtContent>
            </w:sdt>
            <w:sdt>
              <w:sdtPr>
                <w:alias w:val="7 pr. 18 p."/>
                <w:tag w:val="part_03ae22862c834a69aeaa7b497a34a473"/>
                <w:lock w:val="sdtLocked"/>
                <w:richText/>
              </w:sdtPr>
              <w:sdtContent>
                <w:p>
                  <w:pPr>
                    <w:tabs>
                      <w:tab w:val="left" w:pos="0"/>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pPr>
                  <w:sdt>
                    <w:sdtPr>
                      <w:alias w:val="Numeris"/>
                      <w:tag w:val="nr_03ae22862c834a69aeaa7b497a34a473"/>
                      <w:lock w:val="sdtLocked"/>
                      <w:richText/>
                    </w:sdtPr>
                    <w:sdtContent>
                      <w:r>
                        <w:rPr>
                          <w:color w:val="000000"/>
                          <w:szCs w:val="24"/>
                          <w:lang w:eastAsia="lt-LT"/>
                        </w:rPr>
                        <w:t>18</w:t>
                      </w:r>
                    </w:sdtContent>
                  </w:sdt>
                  <w:r>
                    <w:rPr>
                      <w:color w:val="000000"/>
                      <w:szCs w:val="24"/>
                      <w:lang w:eastAsia="lt-LT"/>
                    </w:rPr>
                    <w:t xml:space="preserve">. Tikrinimo duomenis ir išvadas apie tai, kokias transporto priemones ir kokiomis sąlygomis asmuo gali vairuoti, šeimos ar vidaus / vaikų ligų ir kiti tikrinantys gydytojai, nurodydami vairuotojui taikomų apribojimų kodą (5 lentelė) (toliau – apribojimai), įrašo į </w:t>
                  </w:r>
                  <w:r>
                    <w:rPr>
                      <w:color w:val="000000"/>
                      <w:szCs w:val="24"/>
                    </w:rPr>
                    <w:t>formą Nr. E025</w:t>
                  </w:r>
                  <w:r>
                    <w:rPr>
                      <w:color w:val="000000"/>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c1d914846111efabdbb4a1fc8b0b63">
                    <w:r w:rsidRPr="00532B9F">
                      <w:rPr>
                        <w:rFonts w:ascii="Times New Roman" w:eastAsia="MS Mincho" w:hAnsi="Times New Roman"/>
                        <w:sz w:val="20"/>
                        <w:i/>
                        <w:iCs/>
                        <w:color w:val="0000FF" w:themeColor="hyperlink"/>
                        <w:u w:val="single"/>
                      </w:rPr>
                      <w:t>V-966</w:t>
                    </w:r>
                  </w:fldSimple>
                  <w:r>
                    <w:rPr>
                      <w:rFonts w:ascii="Times New Roman" w:eastAsia="MS Mincho" w:hAnsi="Times New Roman"/>
                      <w:sz w:val="20"/>
                      <w:i/>
                      <w:iCs/>
                    </w:rPr>
                    <w:t>,
2024-10-07,
paskelbta TAR 2024-10-07, i. k. 2024-17546            </w:t>
                  </w:r>
                </w:p>
                <w:p/>
              </w:sdtContent>
            </w:sdt>
            <w:sdt>
              <w:sdtPr>
                <w:alias w:val="7 pr. 19 p."/>
                <w:tag w:val="part_1049cf0e12b7412f93ffa4f390c93f7a"/>
                <w:lock w:val="sdtLocked"/>
                <w:richText/>
              </w:sdtPr>
              <w:sdtContent>
                <w:p>
                  <w:pPr>
                    <w:tabs>
                      <w:tab w:val="left" w:pos="0"/>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pPr>
                  <w:sdt>
                    <w:sdtPr>
                      <w:alias w:val="Numeris"/>
                      <w:tag w:val="nr_1049cf0e12b7412f93ffa4f390c93f7a"/>
                      <w:lock w:val="sdtLocked"/>
                      <w:richText/>
                    </w:sdtPr>
                    <w:sdtContent>
                      <w:r>
                        <w:rPr>
                          <w:color w:val="000000"/>
                          <w:szCs w:val="24"/>
                          <w:lang w:eastAsia="lt-LT"/>
                        </w:rPr>
                        <w:t>19</w:t>
                      </w:r>
                    </w:sdtContent>
                  </w:sdt>
                  <w:r>
                    <w:rPr>
                      <w:color w:val="000000"/>
                      <w:szCs w:val="24"/>
                      <w:lang w:eastAsia="lt-LT"/>
                    </w:rPr>
                    <w:t xml:space="preserve">. Galutinę išvadą į </w:t>
                  </w:r>
                  <w:r>
                    <w:rPr>
                      <w:color w:val="000000"/>
                      <w:szCs w:val="24"/>
                    </w:rPr>
                    <w:t>formą Nr. E025</w:t>
                  </w:r>
                  <w:r>
                    <w:rPr>
                      <w:color w:val="000000"/>
                      <w:szCs w:val="24"/>
                      <w:lang w:eastAsia="lt-LT"/>
                    </w:rPr>
                    <w:t xml:space="preserve"> įrašo SPĮ vadovo įsakymu įgaliotas asmuo.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6f3b7046d011ec992fe4cdfceb5666">
                    <w:r w:rsidRPr="00532B9F">
                      <w:rPr>
                        <w:rFonts w:ascii="Times New Roman" w:eastAsia="MS Mincho" w:hAnsi="Times New Roman"/>
                        <w:sz w:val="20"/>
                        <w:i/>
                        <w:iCs/>
                        <w:color w:val="0000FF" w:themeColor="hyperlink"/>
                        <w:u w:val="single"/>
                      </w:rPr>
                      <w:t>V-2596</w:t>
                    </w:r>
                  </w:fldSimple>
                  <w:r>
                    <w:rPr>
                      <w:rFonts w:ascii="Times New Roman" w:eastAsia="MS Mincho" w:hAnsi="Times New Roman"/>
                      <w:sz w:val="20"/>
                      <w:i/>
                      <w:iCs/>
                    </w:rPr>
                    <w:t>,
2021-11-16,
paskelbta TAR 2021-11-16, i. k. 2021-23674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c1d914846111efabdbb4a1fc8b0b63">
                    <w:r w:rsidRPr="00532B9F">
                      <w:rPr>
                        <w:rFonts w:ascii="Times New Roman" w:eastAsia="MS Mincho" w:hAnsi="Times New Roman"/>
                        <w:sz w:val="20"/>
                        <w:i/>
                        <w:iCs/>
                        <w:color w:val="0000FF" w:themeColor="hyperlink"/>
                        <w:u w:val="single"/>
                      </w:rPr>
                      <w:t>V-966</w:t>
                    </w:r>
                  </w:fldSimple>
                  <w:r>
                    <w:rPr>
                      <w:rFonts w:ascii="Times New Roman" w:eastAsia="MS Mincho" w:hAnsi="Times New Roman"/>
                      <w:sz w:val="20"/>
                      <w:i/>
                      <w:iCs/>
                    </w:rPr>
                    <w:t>,
2024-10-07,
paskelbta TAR 2024-10-07, i. k. 2024-17546            </w:t>
                  </w:r>
                </w:p>
                <w:p/>
              </w:sdtContent>
            </w:sdt>
            <w:sdt>
              <w:sdtPr>
                <w:alias w:val="7 pr. 20 p."/>
                <w:tag w:val="part_20ff8c034f334f6cbcc1e1ec243992b1"/>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pPr>
                  <w:sdt>
                    <w:sdtPr>
                      <w:alias w:val="Numeris"/>
                      <w:tag w:val="nr_20ff8c034f334f6cbcc1e1ec243992b1"/>
                      <w:lock w:val="sdtLocked"/>
                      <w:richText/>
                    </w:sdtPr>
                    <w:sdtContent>
                      <w:r>
                        <w:rPr>
                          <w:szCs w:val="24"/>
                        </w:rPr>
                        <w:t>20</w:t>
                      </w:r>
                    </w:sdtContent>
                  </w:sdt>
                  <w:r>
                    <w:rPr>
                      <w:szCs w:val="24"/>
                    </w:rPr>
                    <w:t>. Išvada apie tinkamumą vairuoti įrašoma į F Nr. E083-1 (ar F Nr. 083-1/a). F Nr. E083-1 elektroniniu parašu pasirašo SPĮ vadovo įgaliotas asmuo. F Nr. 083-1/a pasirašo ir patvirtina asmeniniais spaudais, Vairuotojų sveikatos tikrinimo arba gydytojų konsultacinės komisijos (toliau – GKK) antspaudu arba SPĮ įstaigos antspaudu komisijos pirmininkas ir sekretorius.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6f3b7046d011ec992fe4cdfceb5666">
                    <w:r w:rsidRPr="00532B9F">
                      <w:rPr>
                        <w:rFonts w:ascii="Times New Roman" w:eastAsia="MS Mincho" w:hAnsi="Times New Roman"/>
                        <w:sz w:val="20"/>
                        <w:i/>
                        <w:iCs/>
                        <w:color w:val="0000FF" w:themeColor="hyperlink"/>
                        <w:u w:val="single"/>
                      </w:rPr>
                      <w:t>V-2596</w:t>
                    </w:r>
                  </w:fldSimple>
                  <w:r>
                    <w:rPr>
                      <w:rFonts w:ascii="Times New Roman" w:eastAsia="MS Mincho" w:hAnsi="Times New Roman"/>
                      <w:sz w:val="20"/>
                      <w:i/>
                      <w:iCs/>
                    </w:rPr>
                    <w:t>,
2021-11-16,
paskelbta TAR 2021-11-16, i. k. 2021-23674            </w:t>
                  </w:r>
                </w:p>
                <w:p/>
              </w:sdtContent>
            </w:sdt>
            <w:sdt>
              <w:sdtPr>
                <w:alias w:val="7 pr. 21 p."/>
                <w:tag w:val="part_feb43a3182da4a2e9e63525ad9c599d5"/>
                <w:lock w:val="sdtLocked"/>
                <w:richText/>
              </w:sdtPr>
              <w:sdtContent>
                <w:p>
                  <w:pPr>
                    <w:tabs>
                      <w:tab w:val="left" w:pos="0"/>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pPr>
                  <w:sdt>
                    <w:sdtPr>
                      <w:alias w:val="Numeris"/>
                      <w:tag w:val="nr_feb43a3182da4a2e9e63525ad9c599d5"/>
                      <w:lock w:val="sdtLocked"/>
                      <w:richText/>
                    </w:sdtPr>
                    <w:sdtContent>
                      <w:r>
                        <w:rPr>
                          <w:color w:val="000000"/>
                          <w:szCs w:val="24"/>
                        </w:rPr>
                        <w:t>21</w:t>
                      </w:r>
                    </w:sdtContent>
                  </w:sdt>
                  <w:r>
                    <w:rPr>
                      <w:color w:val="000000"/>
                      <w:szCs w:val="24"/>
                    </w:rPr>
                    <w:t xml:space="preserve">. Vairuotojams, dirbantiems galimos profesinės rizikos sąlygomis (kenksmingų veiksnių poveikis ir pavojingas darbas), išvada įrašoma ir į formą Nr. 048/a, įsidarbinant – ir į formą Nr. 047/a. </w:t>
                  </w:r>
                  <w:r>
                    <w:rPr>
                      <w:szCs w:val="24"/>
                    </w:rPr>
                    <w:t>Jeigu SPĮ, atliekančioje</w:t>
                  </w:r>
                  <w:r>
                    <w:rPr>
                      <w:b/>
                      <w:bCs/>
                      <w:szCs w:val="24"/>
                    </w:rPr>
                    <w:t xml:space="preserve"> </w:t>
                  </w:r>
                  <w:r>
                    <w:rPr>
                      <w:color w:val="000000"/>
                      <w:szCs w:val="24"/>
                    </w:rPr>
                    <w:t>vairuotojo, dirbančio galimos profesinės rizikos sąlygomis, sveikatos patikrinimą,</w:t>
                  </w:r>
                  <w:r>
                    <w:rPr>
                      <w:b/>
                      <w:bCs/>
                      <w:szCs w:val="24"/>
                    </w:rPr>
                    <w:t xml:space="preserve"> </w:t>
                  </w:r>
                  <w:r>
                    <w:rPr>
                      <w:szCs w:val="24"/>
                    </w:rPr>
                    <w:t xml:space="preserve">gauta darbdaviui atstovaujančio ar jo įgalioto asmens elektroniniu būdu užpildytos formos Nr. E047 ar formos Nr. E048 darbdavio dalis, atlikus sveikatos tikrinimą, ESPBI IS yra užpildoma atitinkamos formos SPĮ dalis. </w:t>
                  </w:r>
                  <w:r>
                    <w:rPr>
                      <w:color w:val="000000"/>
                      <w:szCs w:val="24"/>
                    </w:rPr>
                    <w:t>Esant ESPBI IS arba SPĮ vidinių informacinės sistemos veikimo sutrikimų, forma Nr. E047 arba forma Nr. E048 užpildoma atkūrus sistemos / sistemų veiklą. Užpildytą formą Nr. E047 arba formą Nr. E048 darbdaviui atstovaujantis ar jo įgaliotas asmuo gauna tiesiogiai elektroninėmis priemonėmis. Pacientui pageidaujant, SPĮ nustatyta tvarka išduodama atspausdinta formos Nr. E047 arba formos Nr. E048 kopija.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6f3b7046d011ec992fe4cdfceb5666">
                    <w:r w:rsidRPr="00532B9F">
                      <w:rPr>
                        <w:rFonts w:ascii="Times New Roman" w:eastAsia="MS Mincho" w:hAnsi="Times New Roman"/>
                        <w:sz w:val="20"/>
                        <w:i/>
                        <w:iCs/>
                        <w:color w:val="0000FF" w:themeColor="hyperlink"/>
                        <w:u w:val="single"/>
                      </w:rPr>
                      <w:t>V-2596</w:t>
                    </w:r>
                  </w:fldSimple>
                  <w:r>
                    <w:rPr>
                      <w:rFonts w:ascii="Times New Roman" w:eastAsia="MS Mincho" w:hAnsi="Times New Roman"/>
                      <w:sz w:val="20"/>
                      <w:i/>
                      <w:iCs/>
                    </w:rPr>
                    <w:t>,
2021-11-16,
paskelbta TAR 2021-11-16, i. k. 2021-23674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c1d914846111efabdbb4a1fc8b0b63">
                    <w:r w:rsidRPr="00532B9F">
                      <w:rPr>
                        <w:rFonts w:ascii="Times New Roman" w:eastAsia="MS Mincho" w:hAnsi="Times New Roman"/>
                        <w:sz w:val="20"/>
                        <w:i/>
                        <w:iCs/>
                        <w:color w:val="0000FF" w:themeColor="hyperlink"/>
                        <w:u w:val="single"/>
                      </w:rPr>
                      <w:t>V-966</w:t>
                    </w:r>
                  </w:fldSimple>
                  <w:r>
                    <w:rPr>
                      <w:rFonts w:ascii="Times New Roman" w:eastAsia="MS Mincho" w:hAnsi="Times New Roman"/>
                      <w:sz w:val="20"/>
                      <w:i/>
                      <w:iCs/>
                    </w:rPr>
                    <w:t>,
2024-10-07,
paskelbta TAR 2024-10-07, i. k. 2024-17546            </w:t>
                  </w:r>
                </w:p>
                <w:p/>
              </w:sdtContent>
            </w:sdt>
            <w:sdt>
              <w:sdtPr>
                <w:alias w:val="7 pr. 22 p."/>
                <w:tag w:val="part_b581a4aaa9bb4db2a27c331c8202e819"/>
                <w:lock w:val="sdtLocked"/>
                <w:richText/>
              </w:sdtPr>
              <w:sdtContent>
                <w:p>
                  <w:pPr>
                    <w:tabs>
                      <w:tab w:val="left" w:pos="0"/>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spacing w:beforeLines="20" w:before="48" w:afterLines="20" w:after="48"/>
                    <w:ind w:firstLine="567"/>
                    <w:jc w:val="both"/>
                  </w:pPr>
                  <w:sdt>
                    <w:sdtPr>
                      <w:alias w:val="Numeris"/>
                      <w:tag w:val="nr_b581a4aaa9bb4db2a27c331c8202e819"/>
                      <w:lock w:val="sdtLocked"/>
                      <w:richText/>
                    </w:sdtPr>
                    <w:sdtContent>
                      <w:r>
                        <w:rPr>
                          <w:szCs w:val="24"/>
                          <w:lang w:eastAsia="lt-LT"/>
                        </w:rPr>
                        <w:t>22</w:t>
                      </w:r>
                    </w:sdtContent>
                  </w:sdt>
                  <w:r>
                    <w:rPr>
                      <w:szCs w:val="24"/>
                      <w:lang w:eastAsia="lt-LT"/>
                    </w:rPr>
                    <w:t>. Išvada apie tinkamumą vairuoti transporto priemones (nurodant kategoriją (-as) daroma, atsižvelgiant į Aprašo 3 lentelėje „Minimalios sveikatos tinkamumo normos, taikomos asmenims, siekiantiems vairuoti ir vairuojantiems variklio varomą transporto priemonę“ išvardytas ligas ir sveikatos problemas, dėl kurių ribojama teisė vairuoti transporto priemones, bei 5 lentelėje išvardytus apribojimus dėl medicininių priežasčių.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8105e0b72011e88f64a5ecc703f89b">
                    <w:r w:rsidRPr="00532B9F">
                      <w:rPr>
                        <w:rFonts w:ascii="Times New Roman" w:eastAsia="MS Mincho" w:hAnsi="Times New Roman"/>
                        <w:sz w:val="20"/>
                        <w:i/>
                        <w:iCs/>
                        <w:color w:val="0000FF" w:themeColor="hyperlink"/>
                        <w:u w:val="single"/>
                      </w:rPr>
                      <w:t>V-1000</w:t>
                    </w:r>
                  </w:fldSimple>
                  <w:r>
                    <w:rPr>
                      <w:rFonts w:ascii="Times New Roman" w:eastAsia="MS Mincho" w:hAnsi="Times New Roman"/>
                      <w:sz w:val="20"/>
                      <w:i/>
                      <w:iCs/>
                    </w:rPr>
                    <w:t>,
2018-09-11,
paskelbta TAR 2018-09-13, i. k. 2018-14464            </w:t>
                  </w:r>
                </w:p>
                <w:p/>
              </w:sdtContent>
            </w:sdt>
            <w:sdt>
              <w:sdtPr>
                <w:alias w:val="7 pr. 23 p."/>
                <w:tag w:val="part_6f0c3be17c09474ab4c47b98ddf462ec"/>
                <w:lock w:val="sdtLocked"/>
                <w:richText/>
              </w:sdtPr>
              <w:sdtContent>
                <w:p>
                  <w:pPr>
                    <w:ind w:firstLine="567"/>
                    <w:jc w:val="both"/>
                  </w:pPr>
                  <w:sdt>
                    <w:sdtPr>
                      <w:alias w:val="Numeris"/>
                      <w:tag w:val="nr_6f0c3be17c09474ab4c47b98ddf462ec"/>
                      <w:lock w:val="sdtLocked"/>
                      <w:richText/>
                    </w:sdtPr>
                    <w:sdtContent>
                      <w:r>
                        <w:t>23</w:t>
                      </w:r>
                    </w:sdtContent>
                  </w:sdt>
                  <w:r>
                    <w:t>. Sveikatos tikrinimo duomenys registruojami sveikatos tikrinimo žurnale (ambulatorinių ligonių registravimo žurnalas) (toliau – F Nr. 074/a) ir patvirtinami sekretoriaus vardiniu spaudu ir parašu.</w:t>
                  </w:r>
                </w:p>
              </w:sdtContent>
            </w:sdt>
            <w:sdt>
              <w:sdtPr>
                <w:alias w:val="7 pr. 24 p."/>
                <w:tag w:val="part_18496efe88f44834a6fe78ae8f699003"/>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pPr>
                  <w:sdt>
                    <w:sdtPr>
                      <w:alias w:val="Numeris"/>
                      <w:tag w:val="nr_18496efe88f44834a6fe78ae8f699003"/>
                      <w:lock w:val="sdtLocked"/>
                      <w:richText/>
                    </w:sdtPr>
                    <w:sdtContent>
                      <w:r>
                        <w:rPr>
                          <w:szCs w:val="24"/>
                        </w:rPr>
                        <w:t>24</w:t>
                      </w:r>
                    </w:sdtContent>
                  </w:sdt>
                  <w:r>
                    <w:rPr>
                      <w:szCs w:val="24"/>
                    </w:rPr>
                    <w:t>. Mokymo įstaigų, kuriose papildomai mokoma vairuoti traktorius bei automobilius, moksleiviams, jaunesniems negu nurodyta šio Aprašo 2 lentelėje „Transporto priemonių kategorijos, minimalus vairuotojų amžius“, išduodama Stojančio į mokymo įstaigą ar įdarbinamo nepilnamečio medicininė pažyma (F Nr. 086/a), o vėliau, baigus mokyklą arba sulaukus atitinkamo amžiaus, po pakartotinio sveikatos tikrinimo – F Nr. E083-1.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6f3b7046d011ec992fe4cdfceb5666">
                    <w:r w:rsidRPr="00532B9F">
                      <w:rPr>
                        <w:rFonts w:ascii="Times New Roman" w:eastAsia="MS Mincho" w:hAnsi="Times New Roman"/>
                        <w:sz w:val="20"/>
                        <w:i/>
                        <w:iCs/>
                        <w:color w:val="0000FF" w:themeColor="hyperlink"/>
                        <w:u w:val="single"/>
                      </w:rPr>
                      <w:t>V-2596</w:t>
                    </w:r>
                  </w:fldSimple>
                  <w:r>
                    <w:rPr>
                      <w:rFonts w:ascii="Times New Roman" w:eastAsia="MS Mincho" w:hAnsi="Times New Roman"/>
                      <w:sz w:val="20"/>
                      <w:i/>
                      <w:iCs/>
                    </w:rPr>
                    <w:t>,
2021-11-16,
paskelbta TAR 2021-11-16, i. k. 2021-23674            </w:t>
                  </w:r>
                </w:p>
                <w:p/>
              </w:sdtContent>
            </w:sdt>
            <w:sdt>
              <w:sdtPr>
                <w:alias w:val="7 pr. 25 p."/>
                <w:tag w:val="part_52635baee99c47b3b1477af2fa249763"/>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pPr>
                  <w:sdt>
                    <w:sdtPr>
                      <w:alias w:val="Numeris"/>
                      <w:tag w:val="nr_52635baee99c47b3b1477af2fa249763"/>
                      <w:lock w:val="sdtLocked"/>
                      <w:richText/>
                    </w:sdtPr>
                    <w:sdtContent>
                      <w:r>
                        <w:rPr>
                          <w:szCs w:val="24"/>
                        </w:rPr>
                        <w:t>25</w:t>
                      </w:r>
                    </w:sdtContent>
                  </w:sdt>
                  <w:r>
                    <w:rPr>
                      <w:szCs w:val="24"/>
                    </w:rPr>
                    <w:t>. F Nr. E083-1 gali būti išduodama asmenims, ne daugiau kaip vienais metais jaunesniems nei Saugaus eismo automobilių keliais įstatymo 23 straipsnio 2 dalyje nustatytas amžius, nuo kurio leidžiama vairuoti atitinkamos kategorijos transporto priemonę. Tais atvejais, kai minimalų vairuotojų amžių nustato ne šis įstatymas, o kiti teisės aktai, taikomos atitinkamų teisės aktų nuostatos.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64DA17088A1">
                    <w:r w:rsidRPr="00532B9F">
                      <w:rPr>
                        <w:rFonts w:ascii="Times New Roman" w:eastAsia="MS Mincho" w:hAnsi="Times New Roman"/>
                        <w:sz w:val="20"/>
                        <w:i/>
                        <w:iCs/>
                        <w:color w:val="0000FF" w:themeColor="hyperlink"/>
                        <w:u w:val="single"/>
                      </w:rPr>
                      <w:t>V-802</w:t>
                    </w:r>
                  </w:fldSimple>
                  <w:r>
                    <w:rPr>
                      <w:rFonts w:ascii="Times New Roman" w:eastAsia="MS Mincho" w:hAnsi="Times New Roman"/>
                      <w:sz w:val="20"/>
                      <w:i/>
                      <w:iCs/>
                    </w:rPr>
                    <w:t>,
2010-09-20,
Žin., 2010, Nr.
113-5802 (2010-09-25), i. k. 1102250ISAK000V-802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6f3b7046d011ec992fe4cdfceb5666">
                    <w:r w:rsidRPr="00532B9F">
                      <w:rPr>
                        <w:rFonts w:ascii="Times New Roman" w:eastAsia="MS Mincho" w:hAnsi="Times New Roman"/>
                        <w:sz w:val="20"/>
                        <w:i/>
                        <w:iCs/>
                        <w:color w:val="0000FF" w:themeColor="hyperlink"/>
                        <w:u w:val="single"/>
                      </w:rPr>
                      <w:t>V-2596</w:t>
                    </w:r>
                  </w:fldSimple>
                  <w:r>
                    <w:rPr>
                      <w:rFonts w:ascii="Times New Roman" w:eastAsia="MS Mincho" w:hAnsi="Times New Roman"/>
                      <w:sz w:val="20"/>
                      <w:i/>
                      <w:iCs/>
                    </w:rPr>
                    <w:t>,
2021-11-16,
paskelbta TAR 2021-11-16, i. k. 2021-23674            </w:t>
                  </w:r>
                </w:p>
                <w:p/>
              </w:sdtContent>
            </w:sdt>
            <w:sdt>
              <w:sdtPr>
                <w:alias w:val="7 pr. 26 p."/>
                <w:tag w:val="part_a8bb4113f2ab41e49594e8a530777148"/>
                <w:lock w:val="sdtLocked"/>
                <w:richText/>
              </w:sdtPr>
              <w:sdtContent>
                <w:p>
                  <w:pPr>
                    <w:tabs>
                      <w:tab w:val="left" w:pos="0"/>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spacing w:beforeLines="20" w:before="48" w:afterLines="20" w:after="48"/>
                    <w:ind w:firstLine="567"/>
                    <w:jc w:val="both"/>
                  </w:pPr>
                  <w:sdt>
                    <w:sdtPr>
                      <w:alias w:val="Numeris"/>
                      <w:tag w:val="nr_a8bb4113f2ab41e49594e8a530777148"/>
                      <w:lock w:val="sdtLocked"/>
                      <w:richText/>
                    </w:sdtPr>
                    <w:sdtContent>
                      <w:r>
                        <w:rPr>
                          <w:color w:val="000000"/>
                          <w:szCs w:val="24"/>
                        </w:rPr>
                        <w:t>26</w:t>
                      </w:r>
                    </w:sdtContent>
                  </w:sdt>
                  <w:r>
                    <w:rPr>
                      <w:color w:val="000000"/>
                      <w:szCs w:val="24"/>
                    </w:rPr>
                    <w:t>. Bet kurios profesinės kvalifikacijos gydytojas, nustatęs, kad asmuo dėl sveikatos būklės vairuoti negali, raštu (arba elektroniniu būdu) informuoja savo sveikatos priežiūros įstaigos administraciją, o jos įgaliotas asmuo nedelsdamas elektroniniu būdu ir per 5</w:t>
                  </w:r>
                  <w:r>
                    <w:rPr>
                      <w:i/>
                      <w:iCs/>
                      <w:color w:val="000000"/>
                      <w:szCs w:val="24"/>
                    </w:rPr>
                    <w:t xml:space="preserve"> </w:t>
                  </w:r>
                  <w:r>
                    <w:rPr>
                      <w:color w:val="000000"/>
                      <w:szCs w:val="24"/>
                    </w:rPr>
                    <w:t xml:space="preserve">darbo dienas raštu informuoja policijos komisariatą pagal tikrinamojo gyvenamąją vietą ar Lietuvos kelių policijos tarnybą apie asmenis, kurie dėl sveikatos būklės negali vairuoti traktorių ir (arba) savaeigių mašinų, o apie asmenis, kurie  dėl sveikatos būklės negali vairuoti kitų transporto priemonių – valstybės įmonę „Regitra“. Informacija, kad asmuo dėl sveikatos būklės vairuoti negali, pateikiama nurodant tikrinamojo asmens kodą, vardą, pavardę, adresą ir kito sveikatos patikrinimo laiką.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64DA17088A1">
                    <w:r w:rsidRPr="00532B9F">
                      <w:rPr>
                        <w:rFonts w:ascii="Times New Roman" w:eastAsia="MS Mincho" w:hAnsi="Times New Roman"/>
                        <w:sz w:val="20"/>
                        <w:i/>
                        <w:iCs/>
                        <w:color w:val="0000FF" w:themeColor="hyperlink"/>
                        <w:u w:val="single"/>
                      </w:rPr>
                      <w:t>V-802</w:t>
                    </w:r>
                  </w:fldSimple>
                  <w:r>
                    <w:rPr>
                      <w:rFonts w:ascii="Times New Roman" w:eastAsia="MS Mincho" w:hAnsi="Times New Roman"/>
                      <w:sz w:val="20"/>
                      <w:i/>
                      <w:iCs/>
                    </w:rPr>
                    <w:t>,
2010-09-20,
Žin., 2010, Nr.
113-5802 (2010-09-25), i. k. 1102250ISAK000V-802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8105e0b72011e88f64a5ecc703f89b">
                    <w:r w:rsidRPr="00532B9F">
                      <w:rPr>
                        <w:rFonts w:ascii="Times New Roman" w:eastAsia="MS Mincho" w:hAnsi="Times New Roman"/>
                        <w:sz w:val="20"/>
                        <w:i/>
                        <w:iCs/>
                        <w:color w:val="0000FF" w:themeColor="hyperlink"/>
                        <w:u w:val="single"/>
                      </w:rPr>
                      <w:t>V-1000</w:t>
                    </w:r>
                  </w:fldSimple>
                  <w:r>
                    <w:rPr>
                      <w:rFonts w:ascii="Times New Roman" w:eastAsia="MS Mincho" w:hAnsi="Times New Roman"/>
                      <w:sz w:val="20"/>
                      <w:i/>
                      <w:iCs/>
                    </w:rPr>
                    <w:t>,
2018-09-11,
paskelbta TAR 2018-09-13, i. k. 2018-14464            </w:t>
                  </w:r>
                </w:p>
                <w:p/>
              </w:sdtContent>
            </w:sdt>
            <w:sdt>
              <w:sdtPr>
                <w:alias w:val="7 pr. 27 p."/>
                <w:tag w:val="part_6e80d9179f874a6090207c5ee5bdf808"/>
                <w:lock w:val="sdtLocked"/>
                <w:richText/>
              </w:sdtPr>
              <w:sdtContent>
                <w:p>
                  <w:pPr>
                    <w:ind w:firstLine="567"/>
                    <w:jc w:val="both"/>
                  </w:pPr>
                  <w:sdt>
                    <w:sdtPr>
                      <w:alias w:val="Numeris"/>
                      <w:tag w:val="nr_6e80d9179f874a6090207c5ee5bdf808"/>
                      <w:lock w:val="sdtLocked"/>
                      <w:richText/>
                    </w:sdtPr>
                    <w:sdtContent>
                      <w:r>
                        <w:t>27</w:t>
                      </w:r>
                    </w:sdtContent>
                  </w:sdt>
                  <w:r>
                    <w:t>. Jei laminuojama, pažyma gali būti perpus mažesnė (10,5 cm x 14,8 cm). Medicininėje pažymoje įrašai turi būti įskaitomi, negalima jų taisyti.</w:t>
                  </w:r>
                </w:p>
                <w:p>
                  <w:pPr>
                    <w:ind w:firstLine="567"/>
                    <w:jc w:val="both"/>
                  </w:pPr>
                </w:p>
              </w:sdtContent>
            </w:sdt>
          </w:sdtContent>
        </w:sdt>
        <w:sdt>
          <w:sdtPr>
            <w:alias w:val="skyrius"/>
            <w:tag w:val="part_209eb8696082471f9039cd2ef495f97e"/>
            <w:lock w:val="sdtLocked"/>
            <w:richText/>
          </w:sdtPr>
          <w:sdtContent>
            <w:p>
              <w:pPr>
                <w:jc w:val="center"/>
                <w:rPr>
                  <w:b/>
                  <w:bCs/>
                </w:rPr>
              </w:pPr>
              <w:sdt>
                <w:sdtPr>
                  <w:alias w:val="Numeris"/>
                  <w:tag w:val="nr_209eb8696082471f9039cd2ef495f97e"/>
                  <w:lock w:val="sdtLocked"/>
                  <w:richText/>
                </w:sdtPr>
                <w:sdtContent>
                  <w:r>
                    <w:rPr>
                      <w:b/>
                      <w:bCs/>
                    </w:rPr>
                    <w:t>III</w:t>
                  </w:r>
                </w:sdtContent>
              </w:sdt>
              <w:r>
                <w:rPr>
                  <w:b/>
                  <w:bCs/>
                </w:rPr>
                <w:t xml:space="preserve">. </w:t>
              </w:r>
              <w:sdt>
                <w:sdtPr>
                  <w:alias w:val="Pavadinimas"/>
                  <w:tag w:val="title_209eb8696082471f9039cd2ef495f97e"/>
                  <w:lock w:val="sdtLocked"/>
                  <w:richText/>
                </w:sdtPr>
                <w:sdtContent>
                  <w:r>
                    <w:rPr>
                      <w:b/>
                      <w:bCs/>
                    </w:rPr>
                    <w:t>BAIGIAMOSIOS NUOSTATOS</w:t>
                  </w:r>
                </w:sdtContent>
              </w:sdt>
            </w:p>
            <w:p>
              <w:pPr>
                <w:ind w:firstLine="567"/>
                <w:jc w:val="both"/>
              </w:pPr>
            </w:p>
            <w:sdt>
              <w:sdtPr>
                <w:alias w:val="7 pr. 28 p."/>
                <w:tag w:val="part_cc769c43cc01423094aae7a4583f4f19"/>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pPr>
                  <w:sdt>
                    <w:sdtPr>
                      <w:alias w:val="Numeris"/>
                      <w:tag w:val="nr_cc769c43cc01423094aae7a4583f4f19"/>
                      <w:lock w:val="sdtLocked"/>
                      <w:richText/>
                    </w:sdtPr>
                    <w:sdtContent>
                      <w:r>
                        <w:rPr>
                          <w:szCs w:val="24"/>
                        </w:rPr>
                        <w:t>28</w:t>
                      </w:r>
                    </w:sdtContent>
                  </w:sdt>
                  <w:r>
                    <w:rPr>
                      <w:szCs w:val="24"/>
                    </w:rPr>
                    <w:t>. Atlikus profilaktinį sveikatos tikrinimą, F Nr. 086/a ir (arba) F Nr. 083-1/a išduodamos pacientui. U</w:t>
                  </w:r>
                  <w:r>
                    <w:rPr>
                      <w:szCs w:val="24"/>
                      <w:lang w:eastAsia="lt-LT"/>
                    </w:rPr>
                    <w:t xml:space="preserve">žpildytą </w:t>
                  </w:r>
                  <w:r>
                    <w:rPr>
                      <w:szCs w:val="24"/>
                    </w:rPr>
                    <w:t>F Nr. E083-1</w:t>
                  </w:r>
                  <w:r>
                    <w:rPr>
                      <w:szCs w:val="24"/>
                      <w:lang w:eastAsia="lt-LT"/>
                    </w:rPr>
                    <w:t xml:space="preserve"> vairuotojo pažymėjimą išduodanti įstaiga (valstybės įmonė „Regitra“) gauna tiesiogiai elektroninėmis priemonėmis. Pacientui pageidaujant, SPĮ nustatyta tvarka išduodama atspausdinta </w:t>
                  </w:r>
                  <w:r>
                    <w:rPr>
                      <w:szCs w:val="24"/>
                    </w:rPr>
                    <w:t xml:space="preserve">F Nr. E083-1 kopija.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6f3b7046d011ec992fe4cdfceb5666">
                    <w:r w:rsidRPr="00532B9F">
                      <w:rPr>
                        <w:rFonts w:ascii="Times New Roman" w:eastAsia="MS Mincho" w:hAnsi="Times New Roman"/>
                        <w:sz w:val="20"/>
                        <w:i/>
                        <w:iCs/>
                        <w:color w:val="0000FF" w:themeColor="hyperlink"/>
                        <w:u w:val="single"/>
                      </w:rPr>
                      <w:t>V-2596</w:t>
                    </w:r>
                  </w:fldSimple>
                  <w:r>
                    <w:rPr>
                      <w:rFonts w:ascii="Times New Roman" w:eastAsia="MS Mincho" w:hAnsi="Times New Roman"/>
                      <w:sz w:val="20"/>
                      <w:i/>
                      <w:iCs/>
                    </w:rPr>
                    <w:t>,
2021-11-16,
paskelbta TAR 2021-11-16, i. k. 2021-23674            </w:t>
                  </w:r>
                </w:p>
                <w:p/>
              </w:sdtContent>
            </w:sdt>
            <w:sdt>
              <w:sdtPr>
                <w:alias w:val="7 pr. 29 p."/>
                <w:tag w:val="part_98968d0765a54fe59117478563d2cbf0"/>
                <w:lock w:val="sdtLocked"/>
                <w:richText/>
              </w:sdtPr>
              <w:sdtContent>
                <w:p>
                  <w:pPr>
                    <w:ind w:firstLine="567"/>
                    <w:jc w:val="both"/>
                  </w:pPr>
                  <w:sdt>
                    <w:sdtPr>
                      <w:alias w:val="Numeris"/>
                      <w:tag w:val="nr_98968d0765a54fe59117478563d2cbf0"/>
                      <w:lock w:val="sdtLocked"/>
                      <w:richText/>
                    </w:sdtPr>
                    <w:sdtContent>
                      <w:r>
                        <w:t>29</w:t>
                      </w:r>
                    </w:sdtContent>
                  </w:sdt>
                  <w:r>
                    <w:t>. Sudėtingais ir konfliktiniais (kai išvadai reikia priimti individualius sprendimus) atvejais apie tinkamumą vairuoti sprendžia Vairuotojų sveikatos tikrinimo komisija arba SPĮ GKK.</w:t>
                  </w:r>
                </w:p>
              </w:sdtContent>
            </w:sdt>
            <w:sdt>
              <w:sdtPr>
                <w:alias w:val="7 pr. 30 p."/>
                <w:tag w:val="part_d19d6ab5e37f4ea9bbf69d13e27ac2da"/>
                <w:lock w:val="sdtLocked"/>
                <w:richText/>
              </w:sdtPr>
              <w:sdtContent>
                <w:p>
                  <w:pPr>
                    <w:ind w:firstLine="567"/>
                    <w:jc w:val="both"/>
                  </w:pPr>
                  <w:sdt>
                    <w:sdtPr>
                      <w:alias w:val="Numeris"/>
                      <w:tag w:val="nr_d19d6ab5e37f4ea9bbf69d13e27ac2da"/>
                      <w:lock w:val="sdtLocked"/>
                      <w:richText/>
                    </w:sdtPr>
                    <w:sdtContent>
                      <w:r>
                        <w:t>30</w:t>
                      </w:r>
                    </w:sdtContent>
                  </w:sdt>
                  <w:r>
                    <w:t xml:space="preserve">. Pacientas, nesutinkantis su Vairuotojų sveikatos tikrinimo komisijos arba GKK sprendimu, per 5 darbo dienas gali apskųsti jį SPĮ vadovui, o įstaigos vadovo sprendimą – teismui Lietuvos Respublikos administracinių bylų teisenos įstatymo (Žin., 1999, Nr. </w:t>
                  </w:r>
                  <w:hyperlink r:id="rId55" w:tgtFrame="_blank" w:history="1">
                    <w:r>
                      <w:rPr>
                        <w:color w:val="0000FF" w:themeColor="hyperlink"/>
                        <w:u w:val="single"/>
                      </w:rPr>
                      <w:t>13-308</w:t>
                    </w:r>
                  </w:hyperlink>
                  <w:r>
                    <w:t xml:space="preserve">; 2000, Nr. </w:t>
                  </w:r>
                  <w:hyperlink r:id="rId56" w:tgtFrame="_blank" w:history="1">
                    <w:r>
                      <w:rPr>
                        <w:color w:val="0000FF" w:themeColor="hyperlink"/>
                        <w:u w:val="single"/>
                      </w:rPr>
                      <w:t>85-2566</w:t>
                    </w:r>
                  </w:hyperlink>
                  <w:r>
                    <w:t>) nustatyta tvarka.</w:t>
                  </w:r>
                </w:p>
                <w:p>
                  <w:pPr>
                    <w:jc w:val="both"/>
                  </w:pPr>
                </w:p>
                <w:p>
                  <w:pPr>
                    <w:jc w:val="center"/>
                  </w:pPr>
                  <w:r>
                    <w:t>_________________</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693EEE35C8">
            <w:r w:rsidRPr="00532B9F">
              <w:rPr>
                <w:rFonts w:ascii="Times New Roman" w:eastAsia="MS Mincho" w:hAnsi="Times New Roman"/>
                <w:sz w:val="20"/>
                <w:i/>
                <w:iCs/>
                <w:color w:val="0000FF" w:themeColor="hyperlink"/>
                <w:u w:val="single"/>
              </w:rPr>
              <w:t>V-973</w:t>
            </w:r>
          </w:fldSimple>
          <w:r>
            <w:rPr>
              <w:rFonts w:ascii="Times New Roman" w:eastAsia="MS Mincho" w:hAnsi="Times New Roman"/>
              <w:sz w:val="20"/>
              <w:i/>
              <w:iCs/>
            </w:rPr>
            <w:t>,
2008-10-10,
Žin., 2008, Nr.
121-4626 (2008-10-21), i. k. 1082250ISAK000V-973            </w:t>
          </w:r>
        </w:p>
        <w:p/>
      </w:sdtContent>
    </w:sdt>
    <w:sdt>
      <w:sdtPr>
        <w:alias w:val="lentele"/>
        <w:tag w:val="part_f76676ed76be4327b794be8afcd92b3e"/>
        <w:lock w:val="sdtLocked"/>
        <w:richText/>
      </w:sdtPr>
      <w:sdtContent>
        <w:p>
          <w:pPr>
            <w:tabs>
              <w:tab w:val="left" w:pos="8789"/>
            </w:tabs>
            <w:spacing w:line="276" w:lineRule="auto"/>
            <w:ind w:left="4895"/>
            <w:jc w:val="right"/>
            <w:sectPr>
              <w:pgSz w:w="11907" w:h="16840" w:code="9"/>
              <w:pgMar w:top="1134" w:right="1134" w:bottom="1134" w:left="1079" w:header="567" w:footer="567" w:gutter="0"/>
              <w:pgNumType w:start="1"/>
              <w:cols w:space="1296"/>
              <w:titlePg/>
              <w:docGrid w:linePitch="360"/>
            </w:sectPr>
          </w:pPr>
        </w:p>
        <w:p>
          <w:pPr>
            <w:tabs>
              <w:tab w:val="left" w:pos="8789"/>
            </w:tabs>
            <w:spacing w:line="276" w:lineRule="auto"/>
            <w:ind w:left="4895"/>
            <w:jc w:val="right"/>
            <w:rPr>
              <w:szCs w:val="24"/>
            </w:rPr>
          </w:pPr>
          <w:r>
            <w:rPr>
              <w:szCs w:val="24"/>
            </w:rPr>
            <w:t>1 lentelė</w:t>
          </w:r>
        </w:p>
        <w:p>
          <w:pPr>
            <w:rPr>
              <w:sz w:val="18"/>
              <w:szCs w:val="18"/>
            </w:rPr>
          </w:pPr>
        </w:p>
        <w:p>
          <w:pPr>
            <w:spacing w:line="276" w:lineRule="auto"/>
            <w:rPr>
              <w:szCs w:val="24"/>
            </w:rPr>
          </w:pPr>
        </w:p>
        <w:p>
          <w:pPr>
            <w:rPr>
              <w:sz w:val="18"/>
              <w:szCs w:val="18"/>
            </w:rPr>
          </w:pPr>
        </w:p>
        <w:p>
          <w:pPr>
            <w:spacing w:line="276" w:lineRule="auto"/>
            <w:jc w:val="center"/>
            <w:rPr>
              <w:b/>
              <w:bCs/>
              <w:szCs w:val="24"/>
            </w:rPr>
          </w:pPr>
          <w:r>
            <w:rPr>
              <w:b/>
              <w:bCs/>
              <w:szCs w:val="24"/>
            </w:rPr>
            <w:t>TRANSPORTO PRIEMONIŲ VAIRUOTOJŲ SVEIKATOS TIKRINIMO MASTAS IR PERIODIŠKUMAS</w:t>
          </w:r>
        </w:p>
        <w:p>
          <w:pPr>
            <w:rPr>
              <w:sz w:val="18"/>
              <w:szCs w:val="18"/>
            </w:rPr>
          </w:pPr>
        </w:p>
        <w:p>
          <w:pPr>
            <w:jc w:val="both"/>
            <w:rPr>
              <w:szCs w:val="24"/>
            </w:rPr>
          </w:pPr>
        </w:p>
        <w:tbl>
          <w:tblPr>
            <w:tblW w:w="99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40" w:type="dxa"/>
              <w:right w:w="40" w:type="dxa"/>
            </w:tblCellMar>
            <w:tblLook w:val="0000" w:firstRow="0" w:lastRow="0" w:firstColumn="0" w:lastColumn="0" w:noHBand="0" w:noVBand="0"/>
          </w:tblPr>
          <w:tblGrid>
            <w:gridCol w:w="1842"/>
            <w:gridCol w:w="1544"/>
            <w:gridCol w:w="1700"/>
            <w:gridCol w:w="1845"/>
            <w:gridCol w:w="2990"/>
          </w:tblGrid>
          <w:tr>
            <w:trPr>
              <w:trHeight w:val="20"/>
            </w:trPr>
            <w:tc>
              <w:tcPr>
                <w:tcW w:w="928" w:type="pct"/>
                <w:vMerge w:val="restart"/>
                <w:vAlign w:val="center"/>
              </w:tcPr>
              <w:p>
                <w:pPr>
                  <w:jc w:val="center"/>
                  <w:rPr>
                    <w:szCs w:val="24"/>
                  </w:rPr>
                </w:pPr>
                <w:r>
                  <w:rPr>
                    <w:szCs w:val="24"/>
                  </w:rPr>
                  <w:t>Tikrinamieji: kandidatai ir vairuotojai</w:t>
                </w:r>
              </w:p>
            </w:tc>
            <w:tc>
              <w:tcPr>
                <w:tcW w:w="778" w:type="pct"/>
                <w:vMerge w:val="restart"/>
                <w:vAlign w:val="center"/>
              </w:tcPr>
              <w:p>
                <w:pPr>
                  <w:jc w:val="center"/>
                  <w:rPr>
                    <w:szCs w:val="24"/>
                  </w:rPr>
                </w:pPr>
                <w:r>
                  <w:rPr>
                    <w:szCs w:val="24"/>
                  </w:rPr>
                  <w:t>Tikrinimų periodiškumas</w:t>
                </w:r>
              </w:p>
            </w:tc>
            <w:tc>
              <w:tcPr>
                <w:tcW w:w="1787" w:type="pct"/>
                <w:gridSpan w:val="2"/>
                <w:vAlign w:val="center"/>
              </w:tcPr>
              <w:p>
                <w:pPr>
                  <w:jc w:val="center"/>
                  <w:rPr>
                    <w:szCs w:val="24"/>
                  </w:rPr>
                </w:pPr>
                <w:r>
                  <w:rPr>
                    <w:szCs w:val="24"/>
                  </w:rPr>
                  <w:t>Sveikatos tikrintojai</w:t>
                </w:r>
              </w:p>
            </w:tc>
            <w:tc>
              <w:tcPr>
                <w:tcW w:w="1507" w:type="pct"/>
                <w:vMerge w:val="restart"/>
                <w:vAlign w:val="center"/>
              </w:tcPr>
              <w:p>
                <w:pPr>
                  <w:jc w:val="center"/>
                  <w:rPr>
                    <w:szCs w:val="24"/>
                  </w:rPr>
                </w:pPr>
                <w:r>
                  <w:rPr>
                    <w:szCs w:val="24"/>
                  </w:rPr>
                  <w:t>Tyrimai</w:t>
                </w:r>
              </w:p>
            </w:tc>
          </w:tr>
          <w:tr>
            <w:trPr>
              <w:trHeight w:val="20"/>
            </w:trPr>
            <w:tc>
              <w:tcPr>
                <w:tcW w:w="928" w:type="pct"/>
                <w:vMerge/>
                <w:vAlign w:val="center"/>
              </w:tcPr>
              <w:p>
                <w:pPr>
                  <w:rPr>
                    <w:szCs w:val="24"/>
                  </w:rPr>
                </w:pPr>
              </w:p>
            </w:tc>
            <w:tc>
              <w:tcPr>
                <w:tcW w:w="778" w:type="pct"/>
                <w:vMerge/>
                <w:vAlign w:val="center"/>
              </w:tcPr>
              <w:p>
                <w:pPr>
                  <w:rPr>
                    <w:szCs w:val="24"/>
                  </w:rPr>
                </w:pPr>
              </w:p>
            </w:tc>
            <w:tc>
              <w:tcPr>
                <w:tcW w:w="857" w:type="pct"/>
                <w:vAlign w:val="center"/>
              </w:tcPr>
              <w:p>
                <w:pPr>
                  <w:jc w:val="center"/>
                  <w:rPr>
                    <w:szCs w:val="24"/>
                  </w:rPr>
                </w:pPr>
                <w:r>
                  <w:rPr>
                    <w:szCs w:val="24"/>
                  </w:rPr>
                  <w:t>Pirminis lygis</w:t>
                </w:r>
              </w:p>
            </w:tc>
            <w:tc>
              <w:tcPr>
                <w:tcW w:w="930" w:type="pct"/>
                <w:vAlign w:val="center"/>
              </w:tcPr>
              <w:p>
                <w:pPr>
                  <w:jc w:val="center"/>
                  <w:rPr>
                    <w:szCs w:val="24"/>
                    <w:u w:val="single"/>
                  </w:rPr>
                </w:pPr>
                <w:r>
                  <w:rPr>
                    <w:szCs w:val="24"/>
                  </w:rPr>
                  <w:t>Kiti</w:t>
                </w:r>
              </w:p>
            </w:tc>
            <w:tc>
              <w:tcPr>
                <w:tcW w:w="1507" w:type="pct"/>
                <w:vMerge/>
                <w:vAlign w:val="center"/>
              </w:tcPr>
              <w:p>
                <w:pPr>
                  <w:rPr>
                    <w:szCs w:val="24"/>
                  </w:rPr>
                </w:pPr>
              </w:p>
            </w:tc>
          </w:tr>
          <w:tr>
            <w:trPr>
              <w:trHeight w:val="1919"/>
            </w:trPr>
            <w:tc>
              <w:tcPr>
                <w:tcW w:w="928" w:type="pct"/>
              </w:tcPr>
              <w:p>
                <w:pPr>
                  <w:rPr>
                    <w:szCs w:val="24"/>
                  </w:rPr>
                </w:pPr>
                <w:r>
                  <w:rPr>
                    <w:szCs w:val="24"/>
                  </w:rPr>
                  <w:t>1. 1 grupės:</w:t>
                </w:r>
              </w:p>
            </w:tc>
            <w:tc>
              <w:tcPr>
                <w:tcW w:w="778" w:type="pct"/>
              </w:tcPr>
              <w:p>
                <w:pPr>
                  <w:rPr>
                    <w:szCs w:val="24"/>
                  </w:rPr>
                </w:pPr>
              </w:p>
            </w:tc>
            <w:tc>
              <w:tcPr>
                <w:tcW w:w="857" w:type="pct"/>
                <w:vMerge w:val="restart"/>
              </w:tcPr>
              <w:p>
                <w:pPr>
                  <w:rPr>
                    <w:szCs w:val="24"/>
                  </w:rPr>
                </w:pPr>
                <w:r>
                  <w:rPr>
                    <w:szCs w:val="24"/>
                  </w:rPr>
                  <w:t>Šeimos gydytojas, psichiatras (pagal pasirinktą SPĮ) ar vidaus ligų gydytojas arba vaikų ligų gydytojas</w:t>
                </w:r>
              </w:p>
            </w:tc>
            <w:tc>
              <w:tcPr>
                <w:tcW w:w="930" w:type="pct"/>
                <w:vMerge w:val="restart"/>
              </w:tcPr>
              <w:p>
                <w:pPr>
                  <w:rPr>
                    <w:szCs w:val="24"/>
                  </w:rPr>
                </w:pPr>
                <w:r>
                  <w:rPr>
                    <w:szCs w:val="24"/>
                  </w:rPr>
                  <w:t xml:space="preserve">Oftalmologas, otorinolaringologas, neurologas, kai sveikatą tikrina vidaus ligų gydytojas ar vaikų ligų gydytojas, arba kuris nors iš jų šeimos gydytojo sprendimu. </w:t>
                </w:r>
              </w:p>
              <w:p>
                <w:pPr>
                  <w:jc w:val="both"/>
                  <w:rPr>
                    <w:szCs w:val="24"/>
                  </w:rPr>
                </w:pPr>
              </w:p>
              <w:p>
                <w:pPr>
                  <w:jc w:val="both"/>
                  <w:rPr>
                    <w:szCs w:val="24"/>
                  </w:rPr>
                </w:pPr>
                <w:r>
                  <w:rPr>
                    <w:szCs w:val="24"/>
                  </w:rPr>
                  <w:t>Pulmonologas</w:t>
                </w:r>
                <w:r>
                  <w:rPr>
                    <w:szCs w:val="24"/>
                    <w:lang w:val="en-US"/>
                  </w:rPr>
                  <w:t>*</w:t>
                </w:r>
                <w:r>
                  <w:rPr>
                    <w:szCs w:val="24"/>
                  </w:rPr>
                  <w:t xml:space="preserve"> arba neurologas* tikrina, jei siunčia šeimos gydytojas, esant įtarimui dėl OMA.</w:t>
                </w:r>
              </w:p>
            </w:tc>
            <w:tc>
              <w:tcPr>
                <w:tcW w:w="1507" w:type="pct"/>
                <w:vMerge w:val="restart"/>
              </w:tcPr>
              <w:p>
                <w:pPr>
                  <w:rPr>
                    <w:szCs w:val="24"/>
                  </w:rPr>
                </w:pPr>
                <w:r>
                  <w:rPr>
                    <w:szCs w:val="24"/>
                  </w:rPr>
                  <w:t xml:space="preserve">Regėjimo aštrumo, regėjimo lauko tyrimai, akispūdžio matavimas (asmenims nuo </w:t>
                </w:r>
                <w:smartTag w:uri="urn:schemas-microsoft-com:office:smarttags" w:element="metricconverter">
                  <w:smartTagPr>
                    <w:attr w:name="ProductID" w:val="40 m"/>
                  </w:smartTagPr>
                  <w:r>
                    <w:rPr>
                      <w:szCs w:val="24"/>
                    </w:rPr>
                    <w:t>40</w:t>
                  </w:r>
                  <w:r>
                    <w:rPr>
                      <w:i/>
                      <w:szCs w:val="24"/>
                    </w:rPr>
                    <w:t xml:space="preserve"> </w:t>
                  </w:r>
                  <w:r>
                    <w:rPr>
                      <w:szCs w:val="24"/>
                    </w:rPr>
                    <w:t>m</w:t>
                  </w:r>
                </w:smartTag>
                <w:r>
                  <w:rPr>
                    <w:szCs w:val="24"/>
                  </w:rPr>
                  <w:t>.). Jei regėjimas neatitinka regėjimo lauko arba regėjimo aštrumo standarto – regėjimo prieblandoje, jautrumo ryškiai šviesai, kontrastinio jautrumo tyrimas.</w:t>
                </w:r>
              </w:p>
              <w:p>
                <w:pPr>
                  <w:rPr>
                    <w:szCs w:val="24"/>
                  </w:rPr>
                </w:pPr>
                <w:r>
                  <w:rPr>
                    <w:szCs w:val="24"/>
                  </w:rPr>
                  <w:t>Klausos</w:t>
                </w:r>
                <w:r>
                  <w:rPr>
                    <w:i/>
                    <w:szCs w:val="24"/>
                  </w:rPr>
                  <w:t xml:space="preserve"> </w:t>
                </w:r>
                <w:r>
                  <w:rPr>
                    <w:szCs w:val="24"/>
                  </w:rPr>
                  <w:t>– šnabždesiu abipus, vestibulinės funkcijos tyrimai. EKG, psichologinės atrankos, reakcijos ir kiti tyrimai (gydytojui skyrus).</w:t>
                </w:r>
              </w:p>
              <w:p>
                <w:pPr>
                  <w:rPr>
                    <w:sz w:val="18"/>
                    <w:szCs w:val="18"/>
                  </w:rPr>
                </w:pPr>
              </w:p>
              <w:p>
                <w:pPr>
                  <w:rPr>
                    <w:szCs w:val="24"/>
                  </w:rPr>
                </w:pPr>
                <w:r>
                  <w:rPr>
                    <w:szCs w:val="24"/>
                  </w:rPr>
                  <w:t>Viso nakties miego laikotarpio respiracinė poligrafija ir (ar) polisomnografija ir kiti tyrimai (pulmonologui ar neurologui skyrus).</w:t>
                </w:r>
              </w:p>
            </w:tc>
          </w:tr>
          <w:tr>
            <w:trPr>
              <w:trHeight w:val="20"/>
            </w:trPr>
            <w:tc>
              <w:tcPr>
                <w:tcW w:w="928" w:type="pct"/>
              </w:tcPr>
              <w:p>
                <w:pPr>
                  <w:rPr>
                    <w:szCs w:val="24"/>
                  </w:rPr>
                </w:pPr>
                <w:r>
                  <w:rPr>
                    <w:szCs w:val="24"/>
                  </w:rPr>
                  <w:t>1.1. asmenys iki 65 metų</w:t>
                </w:r>
              </w:p>
            </w:tc>
            <w:tc>
              <w:tcPr>
                <w:tcW w:w="778" w:type="pct"/>
              </w:tcPr>
              <w:p>
                <w:pPr>
                  <w:rPr>
                    <w:szCs w:val="24"/>
                  </w:rPr>
                </w:pPr>
                <w:r>
                  <w:rPr>
                    <w:szCs w:val="24"/>
                  </w:rPr>
                  <w:t>1 kartą per 10 metų**</w:t>
                </w:r>
              </w:p>
            </w:tc>
            <w:tc>
              <w:tcPr>
                <w:tcW w:w="857" w:type="pct"/>
                <w:vMerge/>
                <w:vAlign w:val="center"/>
              </w:tcPr>
              <w:p>
                <w:pPr>
                  <w:jc w:val="center"/>
                  <w:rPr>
                    <w:szCs w:val="24"/>
                  </w:rPr>
                </w:pPr>
              </w:p>
            </w:tc>
            <w:tc>
              <w:tcPr>
                <w:tcW w:w="930" w:type="pct"/>
                <w:vMerge/>
                <w:vAlign w:val="center"/>
              </w:tcPr>
              <w:p>
                <w:pPr>
                  <w:jc w:val="both"/>
                  <w:rPr>
                    <w:szCs w:val="24"/>
                  </w:rPr>
                </w:pPr>
              </w:p>
            </w:tc>
            <w:tc>
              <w:tcPr>
                <w:tcW w:w="1507" w:type="pct"/>
                <w:vMerge/>
                <w:vAlign w:val="center"/>
              </w:tcPr>
              <w:p>
                <w:pPr>
                  <w:rPr>
                    <w:szCs w:val="24"/>
                  </w:rPr>
                </w:pPr>
              </w:p>
            </w:tc>
          </w:tr>
          <w:tr>
            <w:trPr>
              <w:trHeight w:val="20"/>
            </w:trPr>
            <w:tc>
              <w:tcPr>
                <w:tcW w:w="928" w:type="pct"/>
              </w:tcPr>
              <w:p>
                <w:pPr>
                  <w:rPr>
                    <w:szCs w:val="24"/>
                  </w:rPr>
                </w:pPr>
                <w:r>
                  <w:rPr>
                    <w:szCs w:val="24"/>
                  </w:rPr>
                  <w:t>1.2. asmenys nuo 66 iki 79 metų</w:t>
                </w:r>
              </w:p>
            </w:tc>
            <w:tc>
              <w:tcPr>
                <w:tcW w:w="778" w:type="pct"/>
              </w:tcPr>
              <w:p>
                <w:pPr>
                  <w:rPr>
                    <w:szCs w:val="24"/>
                  </w:rPr>
                </w:pPr>
                <w:r>
                  <w:rPr>
                    <w:szCs w:val="24"/>
                  </w:rPr>
                  <w:t>1 kartą per 5 metus**</w:t>
                </w:r>
              </w:p>
            </w:tc>
            <w:tc>
              <w:tcPr>
                <w:tcW w:w="857" w:type="pct"/>
                <w:vMerge/>
                <w:vAlign w:val="center"/>
              </w:tcPr>
              <w:p>
                <w:pPr>
                  <w:jc w:val="center"/>
                  <w:rPr>
                    <w:szCs w:val="24"/>
                  </w:rPr>
                </w:pPr>
              </w:p>
            </w:tc>
            <w:tc>
              <w:tcPr>
                <w:tcW w:w="930" w:type="pct"/>
                <w:vMerge/>
                <w:vAlign w:val="center"/>
              </w:tcPr>
              <w:p>
                <w:pPr>
                  <w:jc w:val="both"/>
                  <w:rPr>
                    <w:szCs w:val="24"/>
                  </w:rPr>
                </w:pPr>
              </w:p>
            </w:tc>
            <w:tc>
              <w:tcPr>
                <w:tcW w:w="1507" w:type="pct"/>
                <w:vMerge/>
                <w:vAlign w:val="center"/>
              </w:tcPr>
              <w:p>
                <w:pPr>
                  <w:rPr>
                    <w:szCs w:val="24"/>
                  </w:rPr>
                </w:pPr>
              </w:p>
            </w:tc>
          </w:tr>
          <w:tr>
            <w:trPr>
              <w:trHeight w:val="2484"/>
            </w:trPr>
            <w:tc>
              <w:tcPr>
                <w:tcW w:w="928" w:type="pct"/>
                <w:tcBorders>
                  <w:bottom w:val="single" w:sz="4" w:space="0" w:color="auto"/>
                </w:tcBorders>
              </w:tcPr>
              <w:p>
                <w:pPr>
                  <w:rPr>
                    <w:szCs w:val="24"/>
                  </w:rPr>
                </w:pPr>
                <w:r>
                  <w:rPr>
                    <w:szCs w:val="24"/>
                  </w:rPr>
                  <w:t>1.3. asmenys nuo 80 metų</w:t>
                </w:r>
              </w:p>
            </w:tc>
            <w:tc>
              <w:tcPr>
                <w:tcW w:w="778" w:type="pct"/>
                <w:tcBorders>
                  <w:bottom w:val="single" w:sz="4" w:space="0" w:color="auto"/>
                </w:tcBorders>
              </w:tcPr>
              <w:p>
                <w:pPr>
                  <w:rPr>
                    <w:szCs w:val="24"/>
                  </w:rPr>
                </w:pPr>
                <w:r>
                  <w:rPr>
                    <w:szCs w:val="24"/>
                  </w:rPr>
                  <w:t>1 kartą per 2 metus**</w:t>
                </w:r>
              </w:p>
            </w:tc>
            <w:tc>
              <w:tcPr>
                <w:tcW w:w="857" w:type="pct"/>
                <w:vMerge/>
                <w:tcBorders>
                  <w:bottom w:val="single" w:sz="4" w:space="0" w:color="auto"/>
                </w:tcBorders>
                <w:vAlign w:val="center"/>
              </w:tcPr>
              <w:p>
                <w:pPr>
                  <w:jc w:val="center"/>
                  <w:rPr>
                    <w:szCs w:val="24"/>
                  </w:rPr>
                </w:pPr>
              </w:p>
            </w:tc>
            <w:tc>
              <w:tcPr>
                <w:tcW w:w="930" w:type="pct"/>
                <w:vMerge/>
                <w:tcBorders>
                  <w:bottom w:val="single" w:sz="4" w:space="0" w:color="auto"/>
                </w:tcBorders>
                <w:vAlign w:val="center"/>
              </w:tcPr>
              <w:p>
                <w:pPr>
                  <w:jc w:val="both"/>
                  <w:rPr>
                    <w:szCs w:val="24"/>
                  </w:rPr>
                </w:pPr>
              </w:p>
            </w:tc>
            <w:tc>
              <w:tcPr>
                <w:tcW w:w="1507" w:type="pct"/>
                <w:vMerge/>
                <w:tcBorders>
                  <w:bottom w:val="single" w:sz="4" w:space="0" w:color="auto"/>
                </w:tcBorders>
                <w:vAlign w:val="center"/>
              </w:tcPr>
              <w:p>
                <w:pPr>
                  <w:rPr>
                    <w:szCs w:val="24"/>
                  </w:rPr>
                </w:pPr>
              </w:p>
            </w:tc>
          </w:tr>
          <w:tr>
            <w:trPr>
              <w:trHeight w:val="20"/>
            </w:trPr>
            <w:tc>
              <w:tcPr>
                <w:tcW w:w="928" w:type="pct"/>
              </w:tcPr>
              <w:p>
                <w:pPr>
                  <w:rPr>
                    <w:szCs w:val="24"/>
                  </w:rPr>
                </w:pPr>
                <w:r>
                  <w:rPr>
                    <w:szCs w:val="24"/>
                  </w:rPr>
                  <w:t>2. 2 grupės vairuotojai, dirbantys galimos profesinės rizikos sąlygomis (veikiami kenksmingų veiksnių)</w:t>
                </w:r>
              </w:p>
            </w:tc>
            <w:tc>
              <w:tcPr>
                <w:tcW w:w="778" w:type="pct"/>
                <w:vMerge w:val="restart"/>
              </w:tcPr>
              <w:p>
                <w:pPr>
                  <w:rPr>
                    <w:szCs w:val="24"/>
                  </w:rPr>
                </w:pPr>
                <w:r>
                  <w:rPr>
                    <w:szCs w:val="24"/>
                  </w:rPr>
                  <w:t>1 kartą per 2 metus</w:t>
                </w:r>
              </w:p>
            </w:tc>
            <w:tc>
              <w:tcPr>
                <w:tcW w:w="857" w:type="pct"/>
                <w:vMerge w:val="restart"/>
              </w:tcPr>
              <w:p>
                <w:pPr>
                  <w:rPr>
                    <w:szCs w:val="24"/>
                  </w:rPr>
                </w:pPr>
                <w:r>
                  <w:rPr>
                    <w:szCs w:val="24"/>
                  </w:rPr>
                  <w:t>Šeimos gydytojas, psichiatras (pagal pasirinktą SPĮ) ar vidaus ligų gydytojas, psichiatras (pagal pasirinktą SPĮ)</w:t>
                </w:r>
              </w:p>
            </w:tc>
            <w:tc>
              <w:tcPr>
                <w:tcW w:w="930" w:type="pct"/>
                <w:vMerge w:val="restart"/>
              </w:tcPr>
              <w:p>
                <w:pPr>
                  <w:rPr>
                    <w:szCs w:val="24"/>
                  </w:rPr>
                </w:pPr>
                <w:r>
                  <w:rPr>
                    <w:szCs w:val="24"/>
                  </w:rPr>
                  <w:t>Oftalmologas, otorinolaringolo-gas, neurologas.</w:t>
                </w:r>
              </w:p>
              <w:p>
                <w:pPr>
                  <w:rPr>
                    <w:szCs w:val="24"/>
                  </w:rPr>
                </w:pPr>
                <w:r>
                  <w:rPr>
                    <w:szCs w:val="24"/>
                  </w:rPr>
                  <w:t xml:space="preserve">Pulmonologas* arba neurologas* tikrina, jei siunčia šeimos gydytojas, esant įtarimui dėl OMA. </w:t>
                </w:r>
              </w:p>
            </w:tc>
            <w:tc>
              <w:tcPr>
                <w:tcW w:w="1507" w:type="pct"/>
                <w:vMerge w:val="restart"/>
                <w:vAlign w:val="center"/>
              </w:tcPr>
              <w:p>
                <w:pPr>
                  <w:rPr>
                    <w:szCs w:val="24"/>
                  </w:rPr>
                </w:pPr>
                <w:r>
                  <w:rPr>
                    <w:szCs w:val="24"/>
                  </w:rPr>
                  <w:t xml:space="preserve">Regėjimo aštrumo, regėjimo lauko tyrimai, akispūdžio matavimas (asmenims nuo </w:t>
                </w:r>
                <w:smartTag w:uri="urn:schemas-microsoft-com:office:smarttags" w:element="metricconverter">
                  <w:smartTagPr>
                    <w:attr w:name="ProductID" w:val="40 m"/>
                  </w:smartTagPr>
                  <w:r>
                    <w:rPr>
                      <w:szCs w:val="24"/>
                    </w:rPr>
                    <w:t>40 m</w:t>
                  </w:r>
                </w:smartTag>
                <w:r>
                  <w:rPr>
                    <w:szCs w:val="24"/>
                  </w:rPr>
                  <w:t>.), regėjimo prieblandoje, jautrumo ryškiai šviesai, kontrastinio jautrumo, spalvinio jutimo (spręsti individualiai).</w:t>
                </w:r>
              </w:p>
              <w:p>
                <w:pPr>
                  <w:rPr>
                    <w:szCs w:val="24"/>
                  </w:rPr>
                </w:pPr>
                <w:r>
                  <w:rPr>
                    <w:szCs w:val="24"/>
                  </w:rPr>
                  <w:t>Klausos – šnabždesiu abipus, audiograma, vestibulinės funkcijos tyrimai.</w:t>
                </w:r>
              </w:p>
              <w:p>
                <w:pPr>
                  <w:rPr>
                    <w:szCs w:val="24"/>
                  </w:rPr>
                </w:pPr>
                <w:r>
                  <w:rPr>
                    <w:szCs w:val="24"/>
                  </w:rPr>
                  <w:t>Krūtinės ląstos rentgenograma – jei nėra atlikta per dvejus metus, EKG, psichologinės atrankos, reakcijos ir kiti tyrimai (gydytojui skyrus).</w:t>
                </w:r>
              </w:p>
              <w:p>
                <w:pPr>
                  <w:rPr>
                    <w:szCs w:val="24"/>
                  </w:rPr>
                </w:pPr>
                <w:r>
                  <w:rPr>
                    <w:szCs w:val="24"/>
                  </w:rPr>
                  <w:t xml:space="preserve">Viso nakties miego laikotarpio respiracinė poligrafija ir / ar polisomnografija ir kiti tyrimai (pulmonologui arba neurologui skyrus).  </w:t>
                </w:r>
              </w:p>
              <w:p>
                <w:pPr>
                  <w:rPr>
                    <w:szCs w:val="24"/>
                  </w:rPr>
                </w:pPr>
                <w:r>
                  <w:rPr>
                    <w:szCs w:val="24"/>
                  </w:rPr>
                  <w:t xml:space="preserve">Kiti tyrimai ir konsultacijos atliekami vadovaujantis Asmenų, dirbančių aplinkoje, kurioje galima profesinė rizika (kenksmingų veiksnių poveikis ir (ar) pavojingas darbas), privalomo sveikatos tikrinimo tvarkos aprašu (13 priedas), patvirtintu Lietuvos Respublikоs sveikatos apsaugos ministro </w:t>
                </w:r>
                <w:smartTag w:uri="urn:schemas-microsoft-com:office:smarttags" w:element="metricconverter">
                  <w:smartTagPr>
                    <w:attr w:name="ProductID" w:val="2000 m"/>
                  </w:smartTagPr>
                  <w:r>
                    <w:rPr>
                      <w:szCs w:val="24"/>
                    </w:rPr>
                    <w:t>2000 m</w:t>
                  </w:r>
                </w:smartTag>
                <w:r>
                  <w:rPr>
                    <w:szCs w:val="24"/>
                  </w:rPr>
                  <w:t xml:space="preserve">. gegužės 31 d. įsakymu Nr. 301 „Dėl profilaktinių sveikatos tikrinimų sveikatos priežiūros įstaigose patvirtinimo“ (toliau –  13 priedas).</w:t>
                </w:r>
              </w:p>
            </w:tc>
          </w:tr>
          <w:tr>
            <w:trPr>
              <w:trHeight w:val="20"/>
            </w:trPr>
            <w:tc>
              <w:tcPr>
                <w:tcW w:w="928" w:type="pct"/>
              </w:tcPr>
              <w:p>
                <w:pPr>
                  <w:rPr>
                    <w:szCs w:val="24"/>
                  </w:rPr>
                </w:pPr>
                <w:r>
                  <w:rPr>
                    <w:szCs w:val="24"/>
                  </w:rPr>
                  <w:t>2.1. automobilių ir vikšrinių kranų kranininkai</w:t>
                </w:r>
              </w:p>
            </w:tc>
            <w:tc>
              <w:tcPr>
                <w:tcW w:w="778" w:type="pct"/>
                <w:vMerge/>
              </w:tcPr>
              <w:p>
                <w:pPr>
                  <w:rPr>
                    <w:szCs w:val="24"/>
                  </w:rPr>
                </w:pPr>
              </w:p>
            </w:tc>
            <w:tc>
              <w:tcPr>
                <w:tcW w:w="857" w:type="pct"/>
                <w:vMerge/>
              </w:tcPr>
              <w:p>
                <w:pPr>
                  <w:rPr>
                    <w:szCs w:val="24"/>
                  </w:rPr>
                </w:pPr>
              </w:p>
            </w:tc>
            <w:tc>
              <w:tcPr>
                <w:tcW w:w="930" w:type="pct"/>
                <w:vMerge/>
              </w:tcPr>
              <w:p>
                <w:pPr>
                  <w:rPr>
                    <w:szCs w:val="24"/>
                  </w:rPr>
                </w:pPr>
              </w:p>
            </w:tc>
            <w:tc>
              <w:tcPr>
                <w:tcW w:w="1507" w:type="pct"/>
                <w:vMerge/>
              </w:tcPr>
              <w:p>
                <w:pPr>
                  <w:rPr>
                    <w:szCs w:val="24"/>
                  </w:rPr>
                </w:pPr>
              </w:p>
            </w:tc>
          </w:tr>
          <w:tr>
            <w:trPr>
              <w:trHeight w:val="5930"/>
            </w:trPr>
            <w:tc>
              <w:tcPr>
                <w:tcW w:w="928" w:type="pct"/>
              </w:tcPr>
              <w:p>
                <w:pPr>
                  <w:rPr>
                    <w:szCs w:val="24"/>
                  </w:rPr>
                </w:pPr>
                <w:r>
                  <w:rPr>
                    <w:szCs w:val="24"/>
                  </w:rPr>
                  <w:t>2.2. dirbantieji kitomis kenksmingomis sveikatai sąlygomis (triukšmas, vibracija, oro ir darbo aplinkos temperatūra, kiti veiksniai)</w:t>
                </w:r>
              </w:p>
            </w:tc>
            <w:tc>
              <w:tcPr>
                <w:tcW w:w="778" w:type="pct"/>
                <w:vMerge/>
                <w:vAlign w:val="center"/>
              </w:tcPr>
              <w:p>
                <w:pPr>
                  <w:rPr>
                    <w:szCs w:val="24"/>
                  </w:rPr>
                </w:pPr>
              </w:p>
            </w:tc>
            <w:tc>
              <w:tcPr>
                <w:tcW w:w="857" w:type="pct"/>
                <w:vMerge/>
                <w:vAlign w:val="center"/>
              </w:tcPr>
              <w:p>
                <w:pPr>
                  <w:rPr>
                    <w:szCs w:val="24"/>
                  </w:rPr>
                </w:pPr>
              </w:p>
            </w:tc>
            <w:tc>
              <w:tcPr>
                <w:tcW w:w="930" w:type="pct"/>
                <w:vMerge/>
                <w:vAlign w:val="center"/>
              </w:tcPr>
              <w:p>
                <w:pPr>
                  <w:rPr>
                    <w:szCs w:val="24"/>
                  </w:rPr>
                </w:pPr>
              </w:p>
            </w:tc>
            <w:tc>
              <w:tcPr>
                <w:tcW w:w="1507" w:type="pct"/>
                <w:vMerge/>
                <w:vAlign w:val="center"/>
              </w:tcPr>
              <w:p>
                <w:pPr>
                  <w:rPr>
                    <w:szCs w:val="24"/>
                  </w:rPr>
                </w:pPr>
              </w:p>
            </w:tc>
          </w:tr>
          <w:tr>
            <w:trPr>
              <w:trHeight w:val="2061"/>
            </w:trPr>
            <w:tc>
              <w:tcPr>
                <w:tcW w:w="928" w:type="pct"/>
                <w:tcBorders>
                  <w:top w:val="single" w:sz="4" w:space="0" w:color="auto"/>
                  <w:left w:val="single" w:sz="4" w:space="0" w:color="auto"/>
                </w:tcBorders>
              </w:tcPr>
              <w:p>
                <w:pPr>
                  <w:rPr>
                    <w:szCs w:val="24"/>
                  </w:rPr>
                </w:pPr>
                <w:r>
                  <w:rPr>
                    <w:szCs w:val="24"/>
                  </w:rPr>
                  <w:t>3. Vairuotojai, dirbantys didelės grėsmės žmonių sveikatai ir gyvybei sąlygomis:</w:t>
                </w:r>
              </w:p>
              <w:p>
                <w:pPr>
                  <w:rPr>
                    <w:sz w:val="18"/>
                    <w:szCs w:val="18"/>
                  </w:rPr>
                </w:pPr>
              </w:p>
              <w:p>
                <w:pPr>
                  <w:rPr>
                    <w:szCs w:val="24"/>
                  </w:rPr>
                </w:pPr>
                <w:r>
                  <w:rPr>
                    <w:szCs w:val="24"/>
                  </w:rPr>
                  <w:t>3.1. automobilių, skirtų keleiviams vežti – autobusų, mikroautobusų, autofurgonų su krovininių automobilių važiuokle ir turinčių daugiau kaip aštuonias sėdimas vietas (be vairuotojo) vairuotojai;</w:t>
                </w:r>
              </w:p>
              <w:p>
                <w:pPr>
                  <w:rPr>
                    <w:sz w:val="18"/>
                    <w:szCs w:val="18"/>
                  </w:rPr>
                </w:pPr>
              </w:p>
              <w:p>
                <w:pPr>
                  <w:rPr>
                    <w:szCs w:val="24"/>
                  </w:rPr>
                </w:pPr>
                <w:r>
                  <w:rPr>
                    <w:szCs w:val="24"/>
                  </w:rPr>
                  <w:t xml:space="preserve">3.2. automobilių, skirtų kroviniams vežti, šių transporto priemonių su priekabomis, kurių didžiausioji leidžiamoji masė didesnė kaip </w:t>
                </w:r>
                <w:smartTag w:uri="urn:schemas-microsoft-com:office:smarttags" w:element="metricconverter">
                  <w:smartTagPr>
                    <w:attr w:name="ProductID" w:val="750 kg"/>
                  </w:smartTagPr>
                  <w:r>
                    <w:rPr>
                      <w:szCs w:val="24"/>
                    </w:rPr>
                    <w:t>750 kg</w:t>
                  </w:r>
                </w:smartTag>
                <w:r>
                  <w:rPr>
                    <w:szCs w:val="24"/>
                  </w:rPr>
                  <w:t>, jų kategorijoms priskiriamų vilkikų vairuotojai;</w:t>
                </w:r>
              </w:p>
              <w:p>
                <w:pPr>
                  <w:rPr>
                    <w:sz w:val="18"/>
                    <w:szCs w:val="18"/>
                  </w:rPr>
                </w:pPr>
              </w:p>
              <w:p>
                <w:pPr>
                  <w:rPr>
                    <w:szCs w:val="24"/>
                  </w:rPr>
                </w:pPr>
                <w:r>
                  <w:rPr>
                    <w:szCs w:val="24"/>
                  </w:rPr>
                  <w:t>3.3. B kategorijos transporto priemonių ir naudojantys vairuotojo pažymėjimą profesiniams tikslams (lengvieji taksi automobiliai, greitosios pagalbos automobiliai ir pan.) vairuotojai;</w:t>
                </w:r>
              </w:p>
              <w:p>
                <w:pPr>
                  <w:rPr>
                    <w:sz w:val="18"/>
                    <w:szCs w:val="18"/>
                  </w:rPr>
                </w:pPr>
              </w:p>
              <w:p>
                <w:pPr>
                  <w:rPr>
                    <w:szCs w:val="24"/>
                  </w:rPr>
                </w:pPr>
                <w:r>
                  <w:rPr>
                    <w:szCs w:val="24"/>
                  </w:rPr>
                  <w:t>3.4. motorinių transporto priemonių (troleibusų – T) vairuotojai.</w:t>
                </w:r>
              </w:p>
              <w:p>
                <w:pPr>
                  <w:rPr>
                    <w:sz w:val="18"/>
                    <w:szCs w:val="18"/>
                  </w:rPr>
                </w:pPr>
              </w:p>
              <w:p>
                <w:pPr>
                  <w:rPr>
                    <w:szCs w:val="24"/>
                  </w:rPr>
                </w:pPr>
                <w:r>
                  <w:rPr>
                    <w:szCs w:val="24"/>
                  </w:rPr>
                  <w:t>4. Traktorių ir savaeigių mašinų vairuotojai, dirbantys pagal darbo sutartis.</w:t>
                </w:r>
              </w:p>
            </w:tc>
            <w:tc>
              <w:tcPr>
                <w:tcW w:w="778" w:type="pct"/>
              </w:tcPr>
              <w:p>
                <w:pPr>
                  <w:rPr>
                    <w:szCs w:val="24"/>
                  </w:rPr>
                </w:pPr>
                <w:r>
                  <w:rPr>
                    <w:szCs w:val="24"/>
                  </w:rPr>
                  <w:t>1 kartą per 2 metus</w:t>
                </w:r>
              </w:p>
              <w:p>
                <w:pPr>
                  <w:rPr>
                    <w:sz w:val="18"/>
                    <w:szCs w:val="18"/>
                  </w:rPr>
                </w:pPr>
              </w:p>
              <w:p>
                <w:pPr>
                  <w:rPr>
                    <w:szCs w:val="24"/>
                  </w:rPr>
                </w:pPr>
              </w:p>
            </w:tc>
            <w:tc>
              <w:tcPr>
                <w:tcW w:w="857" w:type="pct"/>
              </w:tcPr>
              <w:p>
                <w:pPr>
                  <w:rPr>
                    <w:szCs w:val="24"/>
                  </w:rPr>
                </w:pPr>
                <w:r>
                  <w:rPr>
                    <w:szCs w:val="24"/>
                  </w:rPr>
                  <w:t>Šeimos gydytojas, psichiatras (pagal pasirinktą SPĮ) ar vidaus ligų gydytojas, psichiatras (pagal pasirinktą SPĮ)</w:t>
                </w:r>
              </w:p>
            </w:tc>
            <w:tc>
              <w:tcPr>
                <w:tcW w:w="930" w:type="pct"/>
              </w:tcPr>
              <w:p>
                <w:pPr>
                  <w:rPr>
                    <w:szCs w:val="24"/>
                  </w:rPr>
                </w:pPr>
                <w:r>
                  <w:rPr>
                    <w:szCs w:val="24"/>
                  </w:rPr>
                  <w:t>Oftalmologas, otorinolaringolo-gas neurologas.</w:t>
                </w:r>
              </w:p>
              <w:p>
                <w:pPr>
                  <w:rPr>
                    <w:szCs w:val="24"/>
                  </w:rPr>
                </w:pPr>
                <w:r>
                  <w:rPr>
                    <w:szCs w:val="24"/>
                  </w:rPr>
                  <w:t xml:space="preserve">Pulmonologas* arba neurologas* tikrina, jei siunčia šeimos gydytojas, esant įtarimui dėl OMA. </w:t>
                </w:r>
              </w:p>
              <w:p>
                <w:pPr>
                  <w:rPr>
                    <w:sz w:val="18"/>
                    <w:szCs w:val="18"/>
                  </w:rPr>
                </w:pPr>
              </w:p>
              <w:p>
                <w:pPr>
                  <w:ind w:firstLine="60"/>
                  <w:rPr>
                    <w:szCs w:val="24"/>
                  </w:rPr>
                </w:pPr>
              </w:p>
            </w:tc>
            <w:tc>
              <w:tcPr>
                <w:tcW w:w="1507" w:type="pct"/>
              </w:tcPr>
              <w:p>
                <w:pPr>
                  <w:rPr>
                    <w:szCs w:val="24"/>
                  </w:rPr>
                </w:pPr>
                <w:r>
                  <w:rPr>
                    <w:szCs w:val="24"/>
                  </w:rPr>
                  <w:t xml:space="preserve">Regėjimo aštrumo, regėjimo lauko tyrimai, akispūdžio matavimas (asmenims nuo </w:t>
                </w:r>
                <w:smartTag w:uri="urn:schemas-microsoft-com:office:smarttags" w:element="metricconverter">
                  <w:smartTagPr>
                    <w:attr w:name="ProductID" w:val="40 m"/>
                  </w:smartTagPr>
                  <w:r>
                    <w:rPr>
                      <w:szCs w:val="24"/>
                    </w:rPr>
                    <w:t>40 m</w:t>
                  </w:r>
                </w:smartTag>
                <w:r>
                  <w:rPr>
                    <w:szCs w:val="24"/>
                  </w:rPr>
                  <w:t>.), regėjimo prieblandoje, jautrumo ryškiai šviesai, kontrastinio jautrumo, spalvinio jutimo (spręsti individualiai). Klausos – šnabždesiu abipus, audiograma – esant indikacijų, vestibulinės funkcijos tyrimai.</w:t>
                </w:r>
              </w:p>
              <w:p>
                <w:pPr>
                  <w:rPr>
                    <w:sz w:val="18"/>
                    <w:szCs w:val="18"/>
                  </w:rPr>
                </w:pPr>
              </w:p>
              <w:p>
                <w:pPr>
                  <w:rPr>
                    <w:szCs w:val="24"/>
                  </w:rPr>
                </w:pPr>
                <w:r>
                  <w:rPr>
                    <w:szCs w:val="24"/>
                  </w:rPr>
                  <w:t>Krūtinės ląstos rentgenograma – jei nėra atlikta per dvejus metus, EKG, psichologinės atrankos ir kiti tyrimai (gydytojui skyrus).</w:t>
                </w:r>
              </w:p>
              <w:p>
                <w:pPr>
                  <w:rPr>
                    <w:sz w:val="18"/>
                    <w:szCs w:val="18"/>
                  </w:rPr>
                </w:pPr>
              </w:p>
              <w:p>
                <w:pPr>
                  <w:rPr>
                    <w:szCs w:val="24"/>
                  </w:rPr>
                </w:pPr>
                <w:r>
                  <w:rPr>
                    <w:szCs w:val="24"/>
                  </w:rPr>
                  <w:t xml:space="preserve">Viso nakties miego laikotarpio respiracinė poligrafija ir / ar polisomnografija ir kiti tyrimai (pulmonologui arba neurologui skyrus).  </w:t>
                </w:r>
              </w:p>
              <w:p>
                <w:pPr>
                  <w:rPr>
                    <w:sz w:val="18"/>
                    <w:szCs w:val="18"/>
                  </w:rPr>
                </w:pPr>
              </w:p>
              <w:p>
                <w:pPr>
                  <w:rPr>
                    <w:szCs w:val="24"/>
                  </w:rPr>
                </w:pPr>
                <w:r>
                  <w:rPr>
                    <w:szCs w:val="24"/>
                  </w:rPr>
                  <w:t xml:space="preserve">Kiti tyrimai ir konsultacijos atliekami vadovaujantis  13 priedu.</w:t>
                </w:r>
              </w:p>
            </w:tc>
          </w:tr>
          <w:tr>
            <w:trPr>
              <w:trHeight w:val="20"/>
            </w:trPr>
            <w:tc>
              <w:tcPr>
                <w:tcW w:w="928" w:type="pct"/>
              </w:tcPr>
              <w:p>
                <w:pPr>
                  <w:rPr>
                    <w:szCs w:val="24"/>
                  </w:rPr>
                </w:pPr>
                <w:r>
                  <w:rPr>
                    <w:szCs w:val="24"/>
                  </w:rPr>
                  <w:t>5. Traktorių ir savaeigių mašinų vairuotojai, nenumatyti 4 punkte:</w:t>
                </w:r>
              </w:p>
            </w:tc>
            <w:tc>
              <w:tcPr>
                <w:tcW w:w="778" w:type="pct"/>
              </w:tcPr>
              <w:p>
                <w:pPr>
                  <w:rPr>
                    <w:szCs w:val="24"/>
                  </w:rPr>
                </w:pPr>
              </w:p>
            </w:tc>
            <w:tc>
              <w:tcPr>
                <w:tcW w:w="857" w:type="pct"/>
                <w:vMerge w:val="restart"/>
              </w:tcPr>
              <w:p>
                <w:pPr>
                  <w:rPr>
                    <w:szCs w:val="24"/>
                  </w:rPr>
                </w:pPr>
                <w:r>
                  <w:rPr>
                    <w:szCs w:val="24"/>
                  </w:rPr>
                  <w:t>Šeimos gydytojas, psichiatras (pagal pasirinktą SPĮ) ar vidaus ligų gydytojas, psichiatras (pagal pasirinktą SPĮ)</w:t>
                </w:r>
              </w:p>
            </w:tc>
            <w:tc>
              <w:tcPr>
                <w:tcW w:w="930" w:type="pct"/>
                <w:vMerge w:val="restart"/>
              </w:tcPr>
              <w:p>
                <w:pPr>
                  <w:rPr>
                    <w:szCs w:val="24"/>
                  </w:rPr>
                </w:pPr>
                <w:r>
                  <w:rPr>
                    <w:szCs w:val="24"/>
                  </w:rPr>
                  <w:t>Oftalmologas, otorinolaringolo-gas, neurologas.</w:t>
                </w:r>
              </w:p>
              <w:p>
                <w:pPr>
                  <w:rPr>
                    <w:szCs w:val="24"/>
                  </w:rPr>
                </w:pPr>
                <w:r>
                  <w:rPr>
                    <w:szCs w:val="24"/>
                  </w:rPr>
                  <w:t xml:space="preserve">Pulmonologas* arba neurologas* tikrina, jei siunčia šeimos gydytojas, esant įtarimui dėl OMA. </w:t>
                </w:r>
              </w:p>
            </w:tc>
            <w:tc>
              <w:tcPr>
                <w:tcW w:w="1507" w:type="pct"/>
                <w:vMerge w:val="restart"/>
                <w:vAlign w:val="center"/>
              </w:tcPr>
              <w:p>
                <w:pPr>
                  <w:rPr>
                    <w:szCs w:val="24"/>
                  </w:rPr>
                </w:pPr>
                <w:r>
                  <w:rPr>
                    <w:szCs w:val="24"/>
                  </w:rPr>
                  <w:t xml:space="preserve">Regėjimo aštrumo, regėjimo lauko tyrimai, akispūdžio matavimas (asmenims nuo </w:t>
                </w:r>
                <w:smartTag w:uri="urn:schemas-microsoft-com:office:smarttags" w:element="metricconverter">
                  <w:smartTagPr>
                    <w:attr w:name="ProductID" w:val="40 m"/>
                  </w:smartTagPr>
                  <w:r>
                    <w:rPr>
                      <w:szCs w:val="24"/>
                    </w:rPr>
                    <w:t>40 m</w:t>
                  </w:r>
                </w:smartTag>
                <w:r>
                  <w:rPr>
                    <w:szCs w:val="24"/>
                  </w:rPr>
                  <w:t>.), regėjimo prieblandoje, jautrumo ryškiai šviesai, kontrastinio jautrumo, spalvinio jutimo tyrimai (spręsti individualiai).</w:t>
                </w:r>
              </w:p>
              <w:p>
                <w:pPr>
                  <w:rPr>
                    <w:szCs w:val="24"/>
                  </w:rPr>
                </w:pPr>
                <w:r>
                  <w:rPr>
                    <w:szCs w:val="24"/>
                  </w:rPr>
                  <w:t>Klausos – šnabždesiu abipus, audiograma, vestibulinės funkcijos tyrimai.</w:t>
                </w:r>
              </w:p>
              <w:p>
                <w:pPr>
                  <w:rPr>
                    <w:szCs w:val="24"/>
                  </w:rPr>
                </w:pPr>
                <w:r>
                  <w:rPr>
                    <w:szCs w:val="24"/>
                  </w:rPr>
                  <w:t>Krūtinės ląstos rentgenograma – jei nėra atlikta per dvejus metus, EKG.</w:t>
                </w:r>
              </w:p>
              <w:p>
                <w:pPr>
                  <w:rPr>
                    <w:szCs w:val="24"/>
                  </w:rPr>
                </w:pPr>
                <w:r>
                  <w:rPr>
                    <w:szCs w:val="24"/>
                  </w:rPr>
                  <w:t xml:space="preserve">Viso nakties miego laikotarpio respiracinė poligrafija ir / ar polisomnografija ir kiti tyrimai (pulmonologui arba neurologui skyrus). </w:t>
                </w:r>
              </w:p>
              <w:p>
                <w:pPr>
                  <w:rPr>
                    <w:szCs w:val="24"/>
                  </w:rPr>
                </w:pPr>
                <w:r>
                  <w:rPr>
                    <w:szCs w:val="24"/>
                  </w:rPr>
                  <w:t xml:space="preserve">Kiti tyrimai ir konsultacijos atliekami vadovaujantis 13 priedu. </w:t>
                </w:r>
              </w:p>
            </w:tc>
          </w:tr>
          <w:tr>
            <w:trPr>
              <w:trHeight w:val="20"/>
            </w:trPr>
            <w:tc>
              <w:tcPr>
                <w:tcW w:w="928" w:type="pct"/>
              </w:tcPr>
              <w:p>
                <w:pPr>
                  <w:rPr>
                    <w:szCs w:val="24"/>
                  </w:rPr>
                </w:pPr>
                <w:r>
                  <w:rPr>
                    <w:szCs w:val="24"/>
                  </w:rPr>
                  <w:t>5.1. asmenys iki 59 metų amžiaus</w:t>
                </w:r>
              </w:p>
            </w:tc>
            <w:tc>
              <w:tcPr>
                <w:tcW w:w="778" w:type="pct"/>
              </w:tcPr>
              <w:p>
                <w:pPr>
                  <w:rPr>
                    <w:szCs w:val="24"/>
                  </w:rPr>
                </w:pPr>
                <w:r>
                  <w:rPr>
                    <w:szCs w:val="24"/>
                  </w:rPr>
                  <w:t>1 kartą per 5 metus</w:t>
                </w:r>
              </w:p>
            </w:tc>
            <w:tc>
              <w:tcPr>
                <w:tcW w:w="857" w:type="pct"/>
                <w:vMerge/>
              </w:tcPr>
              <w:p>
                <w:pPr>
                  <w:rPr>
                    <w:szCs w:val="24"/>
                  </w:rPr>
                </w:pPr>
              </w:p>
            </w:tc>
            <w:tc>
              <w:tcPr>
                <w:tcW w:w="930" w:type="pct"/>
                <w:vMerge/>
              </w:tcPr>
              <w:p>
                <w:pPr>
                  <w:rPr>
                    <w:szCs w:val="24"/>
                  </w:rPr>
                </w:pPr>
              </w:p>
            </w:tc>
            <w:tc>
              <w:tcPr>
                <w:tcW w:w="1507" w:type="pct"/>
                <w:vMerge/>
              </w:tcPr>
              <w:p>
                <w:pPr>
                  <w:rPr>
                    <w:szCs w:val="24"/>
                  </w:rPr>
                </w:pPr>
              </w:p>
            </w:tc>
          </w:tr>
          <w:tr>
            <w:trPr>
              <w:trHeight w:val="20"/>
            </w:trPr>
            <w:tc>
              <w:tcPr>
                <w:tcW w:w="928" w:type="pct"/>
              </w:tcPr>
              <w:p>
                <w:pPr>
                  <w:rPr>
                    <w:szCs w:val="24"/>
                  </w:rPr>
                </w:pPr>
                <w:r>
                  <w:rPr>
                    <w:szCs w:val="24"/>
                  </w:rPr>
                  <w:t>5.2. asmenys nuo 60 iki 70 metų amžiaus</w:t>
                </w:r>
              </w:p>
            </w:tc>
            <w:tc>
              <w:tcPr>
                <w:tcW w:w="778" w:type="pct"/>
              </w:tcPr>
              <w:p>
                <w:pPr>
                  <w:rPr>
                    <w:szCs w:val="24"/>
                  </w:rPr>
                </w:pPr>
                <w:r>
                  <w:rPr>
                    <w:szCs w:val="24"/>
                  </w:rPr>
                  <w:t>1 kartą per 2 metus</w:t>
                </w:r>
              </w:p>
            </w:tc>
            <w:tc>
              <w:tcPr>
                <w:tcW w:w="857" w:type="pct"/>
                <w:vMerge/>
              </w:tcPr>
              <w:p>
                <w:pPr>
                  <w:rPr>
                    <w:szCs w:val="24"/>
                  </w:rPr>
                </w:pPr>
              </w:p>
            </w:tc>
            <w:tc>
              <w:tcPr>
                <w:tcW w:w="930" w:type="pct"/>
                <w:vMerge/>
              </w:tcPr>
              <w:p>
                <w:pPr>
                  <w:rPr>
                    <w:szCs w:val="24"/>
                  </w:rPr>
                </w:pPr>
              </w:p>
            </w:tc>
            <w:tc>
              <w:tcPr>
                <w:tcW w:w="1507" w:type="pct"/>
                <w:vMerge/>
                <w:vAlign w:val="center"/>
              </w:tcPr>
              <w:p>
                <w:pPr>
                  <w:rPr>
                    <w:szCs w:val="24"/>
                  </w:rPr>
                </w:pPr>
              </w:p>
            </w:tc>
          </w:tr>
          <w:tr>
            <w:trPr>
              <w:trHeight w:val="20"/>
            </w:trPr>
            <w:tc>
              <w:tcPr>
                <w:tcW w:w="928" w:type="pct"/>
              </w:tcPr>
              <w:p>
                <w:pPr>
                  <w:rPr>
                    <w:szCs w:val="24"/>
                  </w:rPr>
                </w:pPr>
                <w:r>
                  <w:rPr>
                    <w:szCs w:val="24"/>
                  </w:rPr>
                  <w:t>5.3. asmenys nuo 70 metų amžiaus</w:t>
                </w:r>
              </w:p>
            </w:tc>
            <w:tc>
              <w:tcPr>
                <w:tcW w:w="778" w:type="pct"/>
              </w:tcPr>
              <w:p>
                <w:pPr>
                  <w:rPr>
                    <w:szCs w:val="24"/>
                  </w:rPr>
                </w:pPr>
                <w:r>
                  <w:rPr>
                    <w:szCs w:val="24"/>
                  </w:rPr>
                  <w:t>1 kartą per 1 metus</w:t>
                </w:r>
              </w:p>
            </w:tc>
            <w:tc>
              <w:tcPr>
                <w:tcW w:w="857" w:type="pct"/>
                <w:vMerge/>
                <w:vAlign w:val="center"/>
              </w:tcPr>
              <w:p>
                <w:pPr>
                  <w:rPr>
                    <w:szCs w:val="24"/>
                  </w:rPr>
                </w:pPr>
              </w:p>
            </w:tc>
            <w:tc>
              <w:tcPr>
                <w:tcW w:w="930" w:type="pct"/>
                <w:vMerge/>
                <w:vAlign w:val="center"/>
              </w:tcPr>
              <w:p>
                <w:pPr>
                  <w:rPr>
                    <w:szCs w:val="24"/>
                  </w:rPr>
                </w:pPr>
              </w:p>
            </w:tc>
            <w:tc>
              <w:tcPr>
                <w:tcW w:w="1507" w:type="pct"/>
                <w:vMerge/>
                <w:vAlign w:val="center"/>
              </w:tcPr>
              <w:p>
                <w:pPr>
                  <w:rPr>
                    <w:szCs w:val="24"/>
                  </w:rPr>
                </w:pPr>
              </w:p>
            </w:tc>
          </w:tr>
          <w:tr>
            <w:trPr>
              <w:trHeight w:val="20"/>
            </w:trPr>
            <w:tc>
              <w:tcPr>
                <w:tcW w:w="928" w:type="pct"/>
              </w:tcPr>
              <w:p>
                <w:pPr>
                  <w:rPr>
                    <w:szCs w:val="24"/>
                  </w:rPr>
                </w:pPr>
              </w:p>
            </w:tc>
            <w:tc>
              <w:tcPr>
                <w:tcW w:w="778" w:type="pct"/>
              </w:tcPr>
              <w:p>
                <w:pPr>
                  <w:rPr>
                    <w:szCs w:val="24"/>
                  </w:rPr>
                </w:pPr>
              </w:p>
            </w:tc>
            <w:tc>
              <w:tcPr>
                <w:tcW w:w="857" w:type="pct"/>
                <w:vMerge/>
                <w:vAlign w:val="center"/>
              </w:tcPr>
              <w:p>
                <w:pPr>
                  <w:rPr>
                    <w:szCs w:val="24"/>
                  </w:rPr>
                </w:pPr>
              </w:p>
            </w:tc>
            <w:tc>
              <w:tcPr>
                <w:tcW w:w="930" w:type="pct"/>
                <w:vMerge/>
                <w:vAlign w:val="center"/>
              </w:tcPr>
              <w:p>
                <w:pPr>
                  <w:rPr>
                    <w:szCs w:val="24"/>
                  </w:rPr>
                </w:pPr>
              </w:p>
            </w:tc>
            <w:tc>
              <w:tcPr>
                <w:tcW w:w="1507" w:type="pct"/>
                <w:vMerge/>
                <w:vAlign w:val="center"/>
              </w:tcPr>
              <w:p>
                <w:pPr>
                  <w:rPr>
                    <w:szCs w:val="24"/>
                  </w:rPr>
                </w:pPr>
              </w:p>
            </w:tc>
          </w:tr>
        </w:tbl>
        <w:p/>
        <w:p>
          <w:pPr>
            <w:spacing w:line="276" w:lineRule="auto"/>
            <w:jc w:val="both"/>
            <w:rPr>
              <w:szCs w:val="24"/>
            </w:rPr>
          </w:pPr>
          <w:r>
            <w:rPr>
              <w:szCs w:val="24"/>
            </w:rPr>
            <w:t>* įstaigose, kurios turi galimybę ir licenciją atlikti reikiamus tyrimus OMA diagnozei patvirtinti arba paneigti ir geba vertinti gydymo efektyvumą.</w:t>
          </w:r>
        </w:p>
        <w:p>
          <w:pPr>
            <w:spacing w:line="276" w:lineRule="auto"/>
            <w:jc w:val="both"/>
          </w:pPr>
          <w:r>
            <w:rPr>
              <w:szCs w:val="24"/>
            </w:rPr>
            <w:t>** Jeigu kandidatams į vairuotojus ar vairuotojams yra diagnozuotos ligos ar sveikatos problemos (dėl kurių gali būti ribojama teisė vairuoti transporto priemones), nurodytos Aprašo 3 lentelėje, atsižvelgiant į ligos ar sveikatos problemos progresavimą, už sveikatos patikrinimo išvadą atsakingo asmens, nurodyto Aprašo 19 punkte, sprendimu gali būti nustatytas ankstesnis kito sveikatos patikrinimo laikas.</w:t>
          </w:r>
        </w:p>
        <w:p>
          <w:pPr>
            <w:pStyle w:val="PlainText"/>
            <w:rPr>
              <w:rFonts w:ascii="Times New Roman" w:eastAsia="MS Mincho" w:hAnsi="Times New Roman"/>
              <w:sz w:val="20"/>
              <w:i/>
              <w:iCs/>
            </w:rPr>
          </w:pPr>
          <w:r>
            <w:rPr>
              <w:rFonts w:ascii="Times New Roman" w:eastAsia="MS Mincho" w:hAnsi="Times New Roman"/>
              <w:sz w:val="20"/>
              <w:i/>
              <w:iCs/>
            </w:rPr>
            <w:t>Papildyta lentele:</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693EEE35C8">
            <w:r w:rsidRPr="00532B9F">
              <w:rPr>
                <w:rFonts w:ascii="Times New Roman" w:eastAsia="MS Mincho" w:hAnsi="Times New Roman"/>
                <w:sz w:val="20"/>
                <w:i/>
                <w:iCs/>
                <w:color w:val="0000FF" w:themeColor="hyperlink"/>
                <w:u w:val="single"/>
              </w:rPr>
              <w:t>V-973</w:t>
            </w:r>
          </w:fldSimple>
          <w:r>
            <w:rPr>
              <w:rFonts w:ascii="Times New Roman" w:eastAsia="MS Mincho" w:hAnsi="Times New Roman"/>
              <w:sz w:val="20"/>
              <w:i/>
              <w:iCs/>
            </w:rPr>
            <w:t>,
2008-10-10,
Žin., 2008, Nr.
121-4626 (2008-10-21), i. k. 1082250ISAK000V-973        </w:t>
          </w:r>
        </w:p>
        <w:p>
          <w:pPr>
            <w:pStyle w:val="PlainText"/>
            <w:rPr>
              <w:rFonts w:ascii="Times New Roman" w:eastAsia="MS Mincho" w:hAnsi="Times New Roman"/>
              <w:sz w:val="20"/>
              <w:i/>
              <w:iCs/>
            </w:rPr>
          </w:pPr>
          <w:r>
            <w:rPr>
              <w:rFonts w:ascii="Times New Roman" w:eastAsia="MS Mincho" w:hAnsi="Times New Roman"/>
              <w:sz w:val="20"/>
              <w:i/>
              <w:iCs/>
            </w:rPr>
            <w:t>Lentelės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CD069E8FA43">
            <w:r w:rsidRPr="00532B9F">
              <w:rPr>
                <w:rFonts w:ascii="Times New Roman" w:eastAsia="MS Mincho" w:hAnsi="Times New Roman"/>
                <w:sz w:val="20"/>
                <w:i/>
                <w:iCs/>
                <w:color w:val="0000FF" w:themeColor="hyperlink"/>
                <w:u w:val="single"/>
              </w:rPr>
              <w:t>V-1072</w:t>
            </w:r>
          </w:fldSimple>
          <w:r>
            <w:rPr>
              <w:rFonts w:ascii="Times New Roman" w:eastAsia="MS Mincho" w:hAnsi="Times New Roman"/>
              <w:sz w:val="20"/>
              <w:i/>
              <w:iCs/>
            </w:rPr>
            <w:t>,
2009-12-29,
Žin., 2010, Nr.
4-163 (2010-01-12), i. k. 1092250ISAK00V-1072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64DA17088A1">
            <w:r w:rsidRPr="00532B9F">
              <w:rPr>
                <w:rFonts w:ascii="Times New Roman" w:eastAsia="MS Mincho" w:hAnsi="Times New Roman"/>
                <w:sz w:val="20"/>
                <w:i/>
                <w:iCs/>
                <w:color w:val="0000FF" w:themeColor="hyperlink"/>
                <w:u w:val="single"/>
              </w:rPr>
              <w:t>V-802</w:t>
            </w:r>
          </w:fldSimple>
          <w:r>
            <w:rPr>
              <w:rFonts w:ascii="Times New Roman" w:eastAsia="MS Mincho" w:hAnsi="Times New Roman"/>
              <w:sz w:val="20"/>
              <w:i/>
              <w:iCs/>
            </w:rPr>
            <w:t>,
2010-09-20,
Žin., 2010, Nr.
113-5802 (2010-09-25), i. k. 1102250ISAK000V-802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a3f320b48611e598c4c7724bda031b">
            <w:r w:rsidRPr="00532B9F">
              <w:rPr>
                <w:rFonts w:ascii="Times New Roman" w:eastAsia="MS Mincho" w:hAnsi="Times New Roman"/>
                <w:sz w:val="20"/>
                <w:i/>
                <w:iCs/>
                <w:color w:val="0000FF" w:themeColor="hyperlink"/>
                <w:u w:val="single"/>
              </w:rPr>
              <w:t>V-1604</w:t>
            </w:r>
          </w:fldSimple>
          <w:r>
            <w:rPr>
              <w:rFonts w:ascii="Times New Roman" w:eastAsia="MS Mincho" w:hAnsi="Times New Roman"/>
              <w:sz w:val="20"/>
              <w:i/>
              <w:iCs/>
            </w:rPr>
            <w:t>,
2015-12-31,
paskelbta TAR 2016-01-07, i. k. 2016-00381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e2fc0837e11eea5a28c81c82193a8">
            <w:r w:rsidRPr="00532B9F">
              <w:rPr>
                <w:rFonts w:ascii="Times New Roman" w:eastAsia="MS Mincho" w:hAnsi="Times New Roman"/>
                <w:sz w:val="20"/>
                <w:i/>
                <w:iCs/>
                <w:color w:val="0000FF" w:themeColor="hyperlink"/>
                <w:u w:val="single"/>
              </w:rPr>
              <w:t>V-1178</w:t>
            </w:r>
          </w:fldSimple>
          <w:r>
            <w:rPr>
              <w:rFonts w:ascii="Times New Roman" w:eastAsia="MS Mincho" w:hAnsi="Times New Roman"/>
              <w:sz w:val="20"/>
              <w:i/>
              <w:iCs/>
            </w:rPr>
            <w:t>,
2023-11-15,
paskelbta TAR 2023-11-15, i. k. 2023-21992            </w:t>
          </w:r>
        </w:p>
        <w:p/>
      </w:sdtContent>
    </w:sdt>
    <w:sdt>
      <w:sdtPr>
        <w:alias w:val="lentele"/>
        <w:tag w:val="part_ddcc24f42f904bf2be6b0a71cb6b7ac0"/>
        <w:lock w:val="sdtLocked"/>
        <w:richText/>
      </w:sdtPr>
      <w:sdtContent>
        <w:p>
          <w:pPr>
            <w:jc w:val="right"/>
            <w:sectPr>
              <w:pgSz w:w="11907" w:h="16840" w:code="9"/>
              <w:pgMar w:top="1134" w:right="1134" w:bottom="1134" w:left="1079" w:header="567" w:footer="567" w:gutter="0"/>
              <w:pgNumType w:start="1"/>
              <w:cols w:space="1296"/>
              <w:titlePg/>
              <w:docGrid w:linePitch="360"/>
            </w:sectPr>
          </w:pPr>
        </w:p>
        <w:p>
          <w:pPr>
            <w:jc w:val="right"/>
          </w:pPr>
          <w:sdt>
            <w:sdtPr>
              <w:alias w:val="Numeris"/>
              <w:tag w:val="nr_ddcc24f42f904bf2be6b0a71cb6b7ac0"/>
              <w:lock w:val="sdtLocked"/>
              <w:richText/>
            </w:sdtPr>
            <w:sdtContent>
              <w:r>
                <w:rPr>
                  <w:bCs/>
                </w:rPr>
                <w:t>2</w:t>
              </w:r>
            </w:sdtContent>
          </w:sdt>
          <w:r>
            <w:rPr>
              <w:bCs/>
            </w:rPr>
            <w:t xml:space="preserve"> </w:t>
          </w:r>
          <w:r>
            <w:t>lentelė</w:t>
          </w:r>
        </w:p>
        <w:p>
          <w:pPr>
            <w:jc w:val="both"/>
            <w:rPr>
              <w:bCs/>
            </w:rPr>
          </w:pPr>
        </w:p>
        <w:p>
          <w:pPr>
            <w:jc w:val="center"/>
            <w:rPr>
              <w:b/>
              <w:bCs/>
            </w:rPr>
          </w:pPr>
          <w:sdt>
            <w:sdtPr>
              <w:alias w:val="Pavadinimas"/>
              <w:tag w:val="title_ddcc24f42f904bf2be6b0a71cb6b7ac0"/>
              <w:lock w:val="sdtLocked"/>
              <w:richText/>
            </w:sdtPr>
            <w:sdtContent>
              <w:r>
                <w:rPr>
                  <w:b/>
                  <w:bCs/>
                </w:rPr>
                <w:t>TRANSPORTO PRIEMONIŲ KATEGORIJOS, MINIMALUS VAIRUOTOJŲ AMŽIUS</w:t>
              </w:r>
            </w:sdtContent>
          </w:sdt>
        </w:p>
        <w:p>
          <w:pPr>
            <w:jc w:val="both"/>
          </w:pPr>
        </w:p>
        <w:tbl>
          <w:tblPr>
            <w:tblW w:w="14740" w:type="dxa"/>
            <w:tblLayout w:type="fixed"/>
            <w:tblCellMar>
              <w:left w:w="40" w:type="dxa"/>
              <w:right w:w="40" w:type="dxa"/>
            </w:tblCellMar>
            <w:tblLook w:val="0000" w:firstRow="0" w:lastRow="0" w:firstColumn="0" w:lastColumn="0" w:noHBand="0" w:noVBand="0"/>
          </w:tblPr>
          <w:tblGrid>
            <w:gridCol w:w="1510"/>
            <w:gridCol w:w="6139"/>
            <w:gridCol w:w="7091"/>
          </w:tblGrid>
          <w:tr>
            <w:trPr>
              <w:cantSplit/>
              <w:trHeight w:val="23"/>
              <w:tblHeader/>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Transporto priemonių kategorija</w:t>
                </w:r>
              </w:p>
            </w:tc>
            <w:tc>
              <w:tcPr>
                <w:tcW w:w="613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Pagrindiniai duomenys</w:t>
                </w:r>
              </w:p>
            </w:tc>
            <w:tc>
              <w:tcPr>
                <w:tcW w:w="7091" w:type="dxa"/>
                <w:tcBorders>
                  <w:top w:val="single" w:sz="6" w:space="0" w:color="auto"/>
                  <w:left w:val="single" w:sz="6" w:space="0" w:color="auto"/>
                  <w:bottom w:val="single" w:sz="6" w:space="0" w:color="auto"/>
                  <w:right w:val="single" w:sz="6" w:space="0" w:color="auto"/>
                </w:tcBorders>
              </w:tcPr>
              <w:p>
                <w:pPr>
                  <w:jc w:val="center"/>
                  <w:rPr>
                    <w:sz w:val="22"/>
                  </w:rPr>
                </w:pPr>
                <w:r>
                  <w:rPr>
                    <w:sz w:val="22"/>
                  </w:rPr>
                  <w:t>Minimalus amžius, nuo kurio leidžiama įgyti teisę vairuoti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AM</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Mopedai ir lengvieji keturračiai motociklai</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15 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A1</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Motociklai, kurių variklio darbinis tūris didesnis kaip 50 cm</w:t>
                </w:r>
                <w:r>
                  <w:rPr>
                    <w:sz w:val="22"/>
                    <w:vertAlign w:val="superscript"/>
                  </w:rPr>
                  <w:t>3</w:t>
                </w:r>
                <w:r>
                  <w:rPr>
                    <w:sz w:val="22"/>
                  </w:rPr>
                  <w:t>, bet ne didesnis kaip 125 cm</w:t>
                </w:r>
                <w:r>
                  <w:rPr>
                    <w:sz w:val="22"/>
                    <w:vertAlign w:val="superscript"/>
                  </w:rPr>
                  <w:t>3</w:t>
                </w:r>
                <w:r>
                  <w:rPr>
                    <w:sz w:val="22"/>
                  </w:rPr>
                  <w:t xml:space="preserve"> ir jų galia neviršija 11 kW</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16 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A</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Motociklai su šonine priekaba arba be jos</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 (teisė vairuoti motociklus, kurių galia didesnė kaip 25 kW arba galios ir svorio santykis didesnis kaip 0,16 kW/kg, bei motociklus su šonine priekaba, kurių galios ir svorio santykis viršija 0,16 kW/kg, suteikiama tik turint ne trumpesnį kaip dvejų metų motociklų su žemesnėmis charakteristikomis vairavimo patirtį) arba 21 metai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tabs>
                    <w:tab w:val="left" w:pos="916"/>
                  </w:tabs>
                  <w:spacing w:line="276" w:lineRule="auto"/>
                  <w:jc w:val="center"/>
                  <w:rPr>
                    <w:color w:val="000000"/>
                    <w:sz w:val="22"/>
                    <w:szCs w:val="22"/>
                    <w:lang w:eastAsia="lt-LT"/>
                  </w:rPr>
                </w:pPr>
                <w:r>
                  <w:rPr>
                    <w:color w:val="000000"/>
                    <w:sz w:val="22"/>
                    <w:szCs w:val="22"/>
                    <w:lang w:eastAsia="lt-LT"/>
                  </w:rPr>
                  <w:t>A2</w:t>
                </w:r>
              </w:p>
            </w:tc>
            <w:tc>
              <w:tcPr>
                <w:tcW w:w="6139" w:type="dxa"/>
                <w:tcBorders>
                  <w:top w:val="single" w:sz="6" w:space="0" w:color="auto"/>
                  <w:left w:val="single" w:sz="6" w:space="0" w:color="auto"/>
                  <w:bottom w:val="single" w:sz="6" w:space="0" w:color="auto"/>
                  <w:right w:val="single" w:sz="6" w:space="0" w:color="auto"/>
                </w:tcBorders>
              </w:tcPr>
              <w:p>
                <w:pPr>
                  <w:tabs>
                    <w:tab w:val="left" w:pos="916"/>
                  </w:tabs>
                  <w:spacing w:line="276" w:lineRule="auto"/>
                  <w:rPr>
                    <w:color w:val="000000"/>
                    <w:sz w:val="22"/>
                    <w:szCs w:val="22"/>
                    <w:lang w:eastAsia="lt-LT"/>
                  </w:rPr>
                </w:pPr>
                <w:r>
                  <w:rPr>
                    <w:sz w:val="22"/>
                    <w:szCs w:val="22"/>
                  </w:rPr>
                  <w:t>Motociklai, kurių galia ne didesnė kaip 35 kW, galios ir svorio santykis ne didesnis kaip 0,2 kW/kg ir kurie nėra kilę iš daugiau kaip du kartus galingesnės transporto priemonės</w:t>
                </w:r>
              </w:p>
            </w:tc>
            <w:tc>
              <w:tcPr>
                <w:tcW w:w="7091" w:type="dxa"/>
                <w:tcBorders>
                  <w:top w:val="single" w:sz="6" w:space="0" w:color="auto"/>
                  <w:left w:val="single" w:sz="6" w:space="0" w:color="auto"/>
                  <w:bottom w:val="single" w:sz="6" w:space="0" w:color="auto"/>
                  <w:right w:val="single" w:sz="6" w:space="0" w:color="auto"/>
                </w:tcBorders>
              </w:tcPr>
              <w:p>
                <w:pPr>
                  <w:tabs>
                    <w:tab w:val="left" w:pos="916"/>
                  </w:tabs>
                  <w:spacing w:line="276" w:lineRule="auto"/>
                  <w:rPr>
                    <w:strike/>
                    <w:color w:val="000000"/>
                    <w:sz w:val="22"/>
                    <w:szCs w:val="22"/>
                    <w:lang w:eastAsia="lt-LT"/>
                  </w:rPr>
                </w:pPr>
                <w:r>
                  <w:rPr>
                    <w:sz w:val="22"/>
                    <w:szCs w:val="22"/>
                    <w:lang w:eastAsia="lt-LT"/>
                  </w:rPr>
                  <w:t>18 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B1</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Triračiai ar keturračiai motociklai</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16 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B</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Automobiliai, kurių didžiausia leidžiama masė ne didesnė kaip 3 500 kg ir kurie turi ne daugiau kaip aštuonias sėdimas vietas be vairuotojo vietos; šie automobiliai gali būti sujungti su priekaba, kurios didžiausia leidžiama masė ne didesnė kaip 750 kg; šie automobiliai taip pat gali būti sujungti su priekaba, kurios didžiausia leidžiama masė didesnė kaip 750 kg, tačiau junginio didžiausia leidžiama masė turi būti ne didesnė kaip 3 500 kg, o priekabos didžiausia leidžiama masė turi būti ne didesnė už automobilio masę be krovinio</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BE</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B kategorijos automobilio ir priekabos, kurios didžiausia leidžiama masė didesnė kaip 750 kg, junginiai</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Cl</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Automobiliai, kurie nepriskiriami Dl ir D kategorijoms ir kurių didžiausia leidžiama masė didesnė kaip 3 500 kg, bet ne didesnė kaip 7 500 kg; šie automobiliai gali būti sujungti su priekabomis, kurių didžiausia leidžiama masė ne didesnė kaip 750 kg</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C1E</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Cl kategorijos automobilių ir priekabų, kurių didžiausia leidžiama masė didesnė kaip 750 kg, junginiai; šių junginių didžiausia leidžiama masė turi būti ne didesnė kaip 12 000 kg, o priekabos didžiausia leidžiama masė ne didesnė už automobilio masę be krovinio</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C</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Automobiliai, kurie nepriskiriami D1 ir D kategorijoms ir kurių didžiausia leidžiama masė didesnė kaip 3 500 kg; šios kategorijos automobiliai gali būti sujungti su priekabomis, kurių didžiausia leidžiama masė ne didesnė kaip 750 kg</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 (tik teisės aktų nustatyta tvarka įgijus pradinę profesinę kvalifikaciją vežti krovinius) arba 21 metai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CE</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C kategorijos automobilių ir priekabų, kurių didžiausia leidžiama masė didesnė kaip 750 kg, junginiai</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 (tik teisės aktų nustatyta tvarka įgijus pradinę profesinę kvalifikaciją vežti krovinius) arba 21 metai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D1</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Automobiliai, skirti vežti keleivius ir turintys daugiau kaip aštuonias, bet ne daugiau kaip šešiolika sėdimų vietų be vairuotojo vietos; šie automobiliai gali būti sujungti su priekabomis, kurių didžiausia leidžiama masė ne didesnė kaip 750 kg</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 (tik teisės aktų nustatyta tvarka įgijus pradinę profesinę kvalifikaciją vežti keleivius) arba 21 metai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D1E</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Dl kategorijos automobilių ir priekabų, kurių didžiausia leidžiama masė didesnė kaip 750 kg, junginiai; šių junginių didžiausia leidžiama masė ne didesnė kaip 12 000 kg bei priekabos didžiausia leidžiama masė ne didesnė už automobilio masę be krovinio ir ji nenaudojama keleiviams vežti</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 (tik teisės aktų nustatyta tvarka įgijus pradinę profesinę kvalifikaciją vežti keleivius) arba 21 metai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D</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Automobiliai, skirti vežti keleivius ir turintys daugiau kaip aštuonias sėdimas vietas be vairuotojo vietos; šie automobiliai gali būti sujungti su priekaba, kurios didžiausia leidžiama masė ne didesnė kaip 750 kg</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 (vežti keleivius reguliariais reisais, jeigu maršrutas ne ilgesnis kaip 50 km, ir tik teisės aktų nustatyta tvarka įgijus pradinę profesinę kvalifikaciją vežti keleivius), 21 metai (vežti keleivius reguliariais reisais, jeigu maršrutas ne ilgesnis kaip 50 km, arba tik teisės aktų nustatyta tvarka įgijus pradinę profesinę kvalifikaciją vežti keleivius) arba 23 metai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DE</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D kategorijos automobilių ir priekabų, kurių didžiausia leidžiama masė didesnė kaip 750 kg, junginiai</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 (vežti keleivius reguliariais reisais, jeigu maršrutas ne ilgesnis kaip 50 km, ir tik teisės aktų nustatyta tvarka įgijus pradinę profesinę kvalifikaciją vežti keleivius), 21 metai (vežti keleivius reguliariais reisais, jeigu maršrutas ne ilgesnis kaip 50 km, arba tik teisės aktų nustatyta tvarka įgijus pradinę profesinę kvalifikaciją vežti keleivius) arba 23 metai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T</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Troleibusai, tai yra nebėginės transporto priemonės, sujungtos su išoriniu elektros šaltiniu</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21 metai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TR 1 kategorijos traktoriai</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iki 60 kW variklio galios traktoriai</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15</w:t>
                </w:r>
                <w:r>
                  <w:rPr>
                    <w:i/>
                    <w:sz w:val="22"/>
                  </w:rPr>
                  <w:t xml:space="preserve"> </w:t>
                </w:r>
                <w:r>
                  <w:rPr>
                    <w:sz w:val="22"/>
                  </w:rPr>
                  <w:t>metų (be teisės važiuoti keliais, kol sukaks 16</w:t>
                </w:r>
                <w:r>
                  <w:rPr>
                    <w:i/>
                    <w:sz w:val="22"/>
                  </w:rPr>
                  <w:t xml:space="preserve"> </w:t>
                </w:r>
                <w:r>
                  <w:rPr>
                    <w:sz w:val="22"/>
                  </w:rPr>
                  <w:t>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TR 2 kategorijos traktoriai ir savaeigės mašinos</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60 kW arba didesnės variklio galios traktoriai ir savaeigės mašinos</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17 metų</w:t>
                </w:r>
              </w:p>
            </w:tc>
          </w:tr>
        </w:tbl>
        <w:p>
          <w:pPr>
            <w:jc w:val="both"/>
          </w:pPr>
        </w:p>
        <w:p>
          <w:pPr>
            <w:pStyle w:val="PlainText"/>
            <w:rPr>
              <w:rFonts w:ascii="Times New Roman" w:eastAsia="MS Mincho" w:hAnsi="Times New Roman"/>
              <w:sz w:val="20"/>
              <w:i/>
              <w:iCs/>
            </w:rPr>
          </w:pPr>
          <w:r>
            <w:rPr>
              <w:rFonts w:ascii="Times New Roman" w:eastAsia="MS Mincho" w:hAnsi="Times New Roman"/>
              <w:sz w:val="20"/>
              <w:i/>
              <w:iCs/>
            </w:rPr>
            <w:t>Papildyta lentele:</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693EEE35C8">
            <w:r w:rsidRPr="00532B9F">
              <w:rPr>
                <w:rFonts w:ascii="Times New Roman" w:eastAsia="MS Mincho" w:hAnsi="Times New Roman"/>
                <w:sz w:val="20"/>
                <w:i/>
                <w:iCs/>
                <w:color w:val="0000FF" w:themeColor="hyperlink"/>
                <w:u w:val="single"/>
              </w:rPr>
              <w:t>V-973</w:t>
            </w:r>
          </w:fldSimple>
          <w:r>
            <w:rPr>
              <w:rFonts w:ascii="Times New Roman" w:eastAsia="MS Mincho" w:hAnsi="Times New Roman"/>
              <w:sz w:val="20"/>
              <w:i/>
              <w:iCs/>
            </w:rPr>
            <w:t>,
2008-10-10,
Žin., 2008, Nr.
121-4626 (2008-10-21), i. k. 1082250ISAK000V-973        </w:t>
          </w:r>
        </w:p>
        <w:p>
          <w:pPr>
            <w:pStyle w:val="PlainText"/>
            <w:rPr>
              <w:rFonts w:ascii="Times New Roman" w:eastAsia="MS Mincho" w:hAnsi="Times New Roman"/>
              <w:sz w:val="20"/>
              <w:i/>
              <w:iCs/>
            </w:rPr>
          </w:pPr>
          <w:r>
            <w:rPr>
              <w:rFonts w:ascii="Times New Roman" w:eastAsia="MS Mincho" w:hAnsi="Times New Roman"/>
              <w:sz w:val="20"/>
              <w:i/>
              <w:iCs/>
            </w:rPr>
            <w:t>Lentelės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64DA17088A1">
            <w:r w:rsidRPr="00532B9F">
              <w:rPr>
                <w:rFonts w:ascii="Times New Roman" w:eastAsia="MS Mincho" w:hAnsi="Times New Roman"/>
                <w:sz w:val="20"/>
                <w:i/>
                <w:iCs/>
                <w:color w:val="0000FF" w:themeColor="hyperlink"/>
                <w:u w:val="single"/>
              </w:rPr>
              <w:t>V-802</w:t>
            </w:r>
          </w:fldSimple>
          <w:r>
            <w:rPr>
              <w:rFonts w:ascii="Times New Roman" w:eastAsia="MS Mincho" w:hAnsi="Times New Roman"/>
              <w:sz w:val="20"/>
              <w:i/>
              <w:iCs/>
            </w:rPr>
            <w:t>,
2010-09-20,
Žin., 2010, Nr.
113-5802 (2010-09-25), i. k. 1102250ISAK000V-802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b7aa50bcfd11e4afdc866ec67ebcf3">
            <w:r w:rsidRPr="00532B9F">
              <w:rPr>
                <w:rFonts w:ascii="Times New Roman" w:eastAsia="MS Mincho" w:hAnsi="Times New Roman"/>
                <w:sz w:val="20"/>
                <w:i/>
                <w:iCs/>
                <w:color w:val="0000FF" w:themeColor="hyperlink"/>
                <w:u w:val="single"/>
              </w:rPr>
              <w:t>V-224</w:t>
            </w:r>
          </w:fldSimple>
          <w:r>
            <w:rPr>
              <w:rFonts w:ascii="Times New Roman" w:eastAsia="MS Mincho" w:hAnsi="Times New Roman"/>
              <w:sz w:val="20"/>
              <w:i/>
              <w:iCs/>
            </w:rPr>
            <w:t>,
2015-02-18,
paskelbta TAR 2015-02-26, i. k. 2015-02965            </w:t>
          </w:r>
        </w:p>
        <w:p/>
      </w:sdtContent>
    </w:sdt>
    <w:sdt>
      <w:sdtPr>
        <w:alias w:val="lentele"/>
        <w:tag w:val="part_7a74db2534bc45fba20256b828e51842"/>
        <w:lock w:val="sdtLocked"/>
        <w:richText/>
      </w:sdtPr>
      <w:sdtContent>
        <w:p>
          <w:pPr>
            <w:jc w:val="right"/>
            <w:sectPr>
              <w:pgSz w:w="16840" w:h="11907" w:orient="landscape" w:code="9"/>
              <w:pgMar w:top="1079" w:right="1134" w:bottom="1134" w:left="1134" w:header="567" w:footer="567" w:gutter="0"/>
              <w:pgNumType w:start="1"/>
              <w:cols w:space="1296"/>
              <w:titlePg/>
              <w:docGrid w:linePitch="360"/>
            </w:sectPr>
          </w:pPr>
        </w:p>
        <w:p>
          <w:pPr>
            <w:jc w:val="right"/>
          </w:pPr>
          <w:sdt>
            <w:sdtPr>
              <w:alias w:val="Numeris"/>
              <w:tag w:val="nr_7a74db2534bc45fba20256b828e51842"/>
              <w:lock w:val="sdtLocked"/>
              <w:richText/>
            </w:sdtPr>
            <w:sdtContent>
              <w:r>
                <w:t>3</w:t>
              </w:r>
            </w:sdtContent>
          </w:sdt>
          <w:r>
            <w:t xml:space="preserve"> lentelė</w:t>
          </w:r>
        </w:p>
        <w:p>
          <w:pPr>
            <w:jc w:val="both"/>
            <w:rPr>
              <w:bCs/>
            </w:rPr>
          </w:pPr>
        </w:p>
        <w:p>
          <w:pPr>
            <w:jc w:val="center"/>
            <w:rPr>
              <w:b/>
              <w:bCs/>
            </w:rPr>
          </w:pPr>
          <w:sdt>
            <w:sdtPr>
              <w:alias w:val="Pavadinimas"/>
              <w:tag w:val="title_7a74db2534bc45fba20256b828e51842"/>
              <w:lock w:val="sdtLocked"/>
              <w:richText/>
            </w:sdtPr>
            <w:sdtContent>
              <w:r>
                <w:rPr>
                  <w:b/>
                  <w:szCs w:val="24"/>
                </w:rPr>
                <w:t>MINIMALIOS SVEIKATOS TINKAMUMO NORMOS, TAIKOMOS ASMENIMS, SIEKIANTIEMS VAIRUOTI IR VAIRUOJANTIEMS VARIKLIO VAROMĄ TRANSPORTO PRIEMONĘ</w:t>
              </w:r>
            </w:sdtContent>
          </w:sdt>
        </w:p>
        <w:p>
          <w:pPr>
            <w:jc w:val="both"/>
          </w:pPr>
        </w:p>
        <w:tbl>
          <w:tblPr>
            <w:tblW w:w="14740" w:type="dxa"/>
            <w:tblLayout w:type="fixed"/>
            <w:tblCellMar>
              <w:left w:w="40" w:type="dxa"/>
              <w:right w:w="40" w:type="dxa"/>
            </w:tblCellMar>
            <w:tblLook w:val="0000" w:firstRow="0" w:lastRow="0" w:firstColumn="0" w:lastColumn="0" w:noHBand="0" w:noVBand="0"/>
          </w:tblPr>
          <w:tblGrid>
            <w:gridCol w:w="891"/>
            <w:gridCol w:w="9109"/>
            <w:gridCol w:w="2370"/>
            <w:gridCol w:w="2370"/>
          </w:tblGrid>
          <w:tr>
            <w:trPr>
              <w:trHeight w:val="23"/>
              <w:tblHeader/>
            </w:trPr>
            <w:tc>
              <w:tcPr>
                <w:tcW w:w="891" w:type="dxa"/>
                <w:vMerge w:val="restart"/>
                <w:tcBorders>
                  <w:top w:val="single" w:sz="6" w:space="0" w:color="auto"/>
                  <w:left w:val="single" w:sz="6" w:space="0" w:color="auto"/>
                  <w:right w:val="single" w:sz="6" w:space="0" w:color="auto"/>
                </w:tcBorders>
              </w:tcPr>
              <w:p>
                <w:pPr>
                  <w:rPr>
                    <w:sz w:val="22"/>
                    <w:szCs w:val="22"/>
                  </w:rPr>
                </w:pPr>
                <w:r>
                  <w:rPr>
                    <w:sz w:val="22"/>
                    <w:szCs w:val="22"/>
                  </w:rPr>
                  <w:t>Eil. Nr.</w:t>
                </w:r>
              </w:p>
            </w:tc>
            <w:tc>
              <w:tcPr>
                <w:tcW w:w="9109" w:type="dxa"/>
                <w:vMerge w:val="restart"/>
                <w:tcBorders>
                  <w:top w:val="single" w:sz="6" w:space="0" w:color="auto"/>
                  <w:left w:val="single" w:sz="6" w:space="0" w:color="auto"/>
                  <w:right w:val="single" w:sz="6" w:space="0" w:color="auto"/>
                </w:tcBorders>
              </w:tcPr>
              <w:p>
                <w:pPr>
                  <w:jc w:val="center"/>
                  <w:rPr>
                    <w:sz w:val="22"/>
                    <w:szCs w:val="22"/>
                  </w:rPr>
                </w:pPr>
                <w:r>
                  <w:rPr>
                    <w:sz w:val="22"/>
                    <w:szCs w:val="22"/>
                  </w:rPr>
                  <w:t xml:space="preserve">Minimalios </w:t>
                </w:r>
                <w:r>
                  <w:rPr>
                    <w:color w:val="000000"/>
                    <w:sz w:val="22"/>
                    <w:szCs w:val="22"/>
                  </w:rPr>
                  <w:t xml:space="preserve">sveikatos </w:t>
                </w:r>
                <w:r>
                  <w:rPr>
                    <w:sz w:val="22"/>
                    <w:szCs w:val="22"/>
                  </w:rPr>
                  <w:t>tinkamumo normos, taikomos asmenims, siekiantiems vairuoti ir vairuojantiems variklio varomą transporto priemonę</w:t>
                </w:r>
              </w:p>
              <w:p>
                <w:pPr>
                  <w:jc w:val="center"/>
                  <w:rPr>
                    <w:sz w:val="22"/>
                    <w:szCs w:val="22"/>
                  </w:rPr>
                </w:pPr>
                <w:r>
                  <w:rPr>
                    <w:sz w:val="22"/>
                    <w:szCs w:val="22"/>
                  </w:rPr>
                  <w:t>(Ligos ir sveikatos problemos, dėl kurių ribojama teisė vairuoti transporto priemones)</w:t>
                </w:r>
              </w:p>
            </w:tc>
            <w:tc>
              <w:tcPr>
                <w:tcW w:w="4740" w:type="dxa"/>
                <w:gridSpan w:val="2"/>
                <w:tcBorders>
                  <w:top w:val="single" w:sz="6" w:space="0" w:color="auto"/>
                  <w:left w:val="single" w:sz="6" w:space="0" w:color="auto"/>
                  <w:bottom w:val="single" w:sz="6" w:space="0" w:color="auto"/>
                </w:tcBorders>
                <w:vAlign w:val="center"/>
              </w:tcPr>
              <w:p>
                <w:pPr>
                  <w:jc w:val="center"/>
                  <w:rPr>
                    <w:b/>
                    <w:sz w:val="22"/>
                    <w:szCs w:val="22"/>
                  </w:rPr>
                </w:pPr>
                <w:r>
                  <w:rPr>
                    <w:sz w:val="22"/>
                    <w:szCs w:val="22"/>
                  </w:rPr>
                  <w:t>Transporto priemonių, kurias vairuoti draudžiama, kategorijos bei apribojimų (žr. 5 lentelę) kodai</w:t>
                </w:r>
              </w:p>
            </w:tc>
          </w:tr>
          <w:tr>
            <w:trPr>
              <w:trHeight w:val="23"/>
              <w:tblHeader/>
            </w:trPr>
            <w:tc>
              <w:tcPr>
                <w:tcW w:w="891" w:type="dxa"/>
                <w:vMerge/>
                <w:tcBorders>
                  <w:left w:val="single" w:sz="6" w:space="0" w:color="auto"/>
                  <w:bottom w:val="single" w:sz="6" w:space="0" w:color="auto"/>
                  <w:right w:val="single" w:sz="6" w:space="0" w:color="auto"/>
                </w:tcBorders>
              </w:tcPr>
              <w:p>
                <w:pPr>
                  <w:jc w:val="center"/>
                  <w:rPr>
                    <w:sz w:val="22"/>
                  </w:rPr>
                </w:pPr>
              </w:p>
            </w:tc>
            <w:tc>
              <w:tcPr>
                <w:tcW w:w="9109" w:type="dxa"/>
                <w:vMerge/>
                <w:tcBorders>
                  <w:left w:val="single" w:sz="6" w:space="0" w:color="auto"/>
                  <w:bottom w:val="single" w:sz="6" w:space="0" w:color="auto"/>
                  <w:right w:val="single" w:sz="6" w:space="0" w:color="auto"/>
                </w:tcBorders>
              </w:tcPr>
              <w:p>
                <w:pPr>
                  <w:jc w:val="center"/>
                  <w:rPr>
                    <w:sz w:val="22"/>
                  </w:rPr>
                </w:pP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1 grupė</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2 grupė</w:t>
                </w:r>
              </w:p>
            </w:tc>
          </w:tr>
          <w:tr>
            <w:trPr>
              <w:trHeight w:val="23"/>
              <w:tblHeader/>
            </w:trPr>
            <w:tc>
              <w:tcPr>
                <w:tcW w:w="891"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910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3</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4</w:t>
                </w:r>
              </w:p>
            </w:tc>
          </w:tr>
          <w:tr>
            <w:trPr>
              <w:trHeight w:val="23"/>
            </w:trPr>
            <w:tc>
              <w:tcPr>
                <w:tcW w:w="891" w:type="dxa"/>
                <w:tcBorders>
                  <w:top w:val="single" w:sz="2" w:space="0" w:color="auto"/>
                  <w:left w:val="single" w:sz="2" w:space="0" w:color="auto"/>
                  <w:bottom w:val="single" w:sz="2" w:space="0" w:color="auto"/>
                  <w:right w:val="single" w:sz="2" w:space="0" w:color="auto"/>
                </w:tcBorders>
              </w:tcPr>
              <w:p>
                <w:pPr>
                  <w:rPr>
                    <w:szCs w:val="24"/>
                  </w:rPr>
                </w:pPr>
                <w:r>
                  <w:rPr>
                    <w:szCs w:val="24"/>
                  </w:rPr>
                  <w:t>1.</w:t>
                </w:r>
              </w:p>
            </w:tc>
            <w:tc>
              <w:tcPr>
                <w:tcW w:w="9109" w:type="dxa"/>
                <w:tcBorders>
                  <w:top w:val="single" w:sz="2" w:space="0" w:color="auto"/>
                  <w:left w:val="single" w:sz="2" w:space="0" w:color="auto"/>
                  <w:bottom w:val="single" w:sz="2" w:space="0" w:color="auto"/>
                  <w:right w:val="single" w:sz="2" w:space="0" w:color="auto"/>
                </w:tcBorders>
              </w:tcPr>
              <w:p>
                <w:pPr>
                  <w:rPr>
                    <w:color w:val="000000"/>
                    <w:szCs w:val="24"/>
                  </w:rPr>
                </w:pPr>
                <w:r>
                  <w:rPr>
                    <w:color w:val="000000"/>
                    <w:szCs w:val="24"/>
                  </w:rPr>
                  <w:t>REGĖJIMAS</w:t>
                </w:r>
              </w:p>
              <w:p>
                <w:pPr>
                  <w:rPr>
                    <w:color w:val="000000"/>
                    <w:szCs w:val="24"/>
                  </w:rPr>
                </w:pPr>
                <w:r>
                  <w:rPr>
                    <w:color w:val="000000"/>
                    <w:szCs w:val="24"/>
                  </w:rPr>
                  <w:t xml:space="preserve">Visi kandidatai vairuotojo pažymėjimui gauti šeimos gydytojo patikrinami, ar jų regėjimas yra pakankamai aštrus variklio varomoms transporto priemonėms vairuoti. Kilus pagrįstų abejonių dėl kandidato vairuotojo pažymėjimui gauti regėjimo, jį tikrina gydytojas oftalmologas. Patikrinimo metu dėmesys visų pirma kreipiamas į regėjimo aštrumą, regėjimo lauką, regėjimą prieblandoje, jautrumą ryškiai šviesai ir kontrastinį jautrumą, diplopiją (dvejinimasis) ir į kitus regėjimo funkcijos sutrikimus, kurie gali trukdyti saugiai vairuoti. Nustačius regėjimo prieblandoje sutrikimų, sprendžiama dėl </w:t>
                </w:r>
                <w:r>
                  <w:rPr>
                    <w:szCs w:val="24"/>
                    <w:lang w:eastAsia="lt-LT"/>
                  </w:rPr>
                  <w:t xml:space="preserve">transporto priemonės naudojimo ribojimo kodo </w:t>
                </w:r>
                <w:r>
                  <w:rPr>
                    <w:color w:val="000000"/>
                    <w:szCs w:val="24"/>
                  </w:rPr>
                  <w:t xml:space="preserve">61 (tik kelionės dienos metu) taikymo. </w:t>
                </w:r>
              </w:p>
              <w:p>
                <w:pPr>
                  <w:rPr>
                    <w:color w:val="000000"/>
                    <w:szCs w:val="24"/>
                  </w:rPr>
                </w:pPr>
                <w:r>
                  <w:rPr>
                    <w:color w:val="000000"/>
                    <w:szCs w:val="24"/>
                  </w:rPr>
                  <w:t>1 grupės vairuotojams, kurių regėjimas neatitinka regėjimo lauko arba regėjimo aštrumo standarto, pažymėjimai gali būti išduodami išskirtiniais atvejais; tokiais atvejais gydytojas oftalmologas turi</w:t>
                </w:r>
                <w:r>
                  <w:rPr>
                    <w:b/>
                    <w:bCs/>
                    <w:color w:val="000000"/>
                    <w:szCs w:val="24"/>
                  </w:rPr>
                  <w:t xml:space="preserve"> </w:t>
                </w:r>
                <w:r>
                  <w:rPr>
                    <w:color w:val="000000"/>
                    <w:szCs w:val="24"/>
                  </w:rPr>
                  <w:t>ištirti vairuotojo regėjimą ir nustatyti, ar jis neturi jokių kitų regėjimo funkcijos sutrikimų, įskaitant jautrumo ryškiai šviesai, kontrastinio jautrumo ir regėjimo prieblandoje sutrikimus. Šiame priede intraokuliniai lęšiai nelaikomi korekciniais lęšiais.</w:t>
                </w:r>
              </w:p>
            </w:tc>
            <w:tc>
              <w:tcPr>
                <w:tcW w:w="2370" w:type="dxa"/>
                <w:tcBorders>
                  <w:top w:val="single" w:sz="2" w:space="0" w:color="auto"/>
                  <w:left w:val="single" w:sz="2" w:space="0" w:color="auto"/>
                  <w:bottom w:val="single" w:sz="2" w:space="0" w:color="auto"/>
                  <w:right w:val="single" w:sz="2" w:space="0" w:color="auto"/>
                </w:tcBorders>
                <w:vAlign w:val="center"/>
              </w:tcPr>
              <w:p>
                <w:pPr>
                  <w:jc w:val="center"/>
                  <w:rPr>
                    <w:szCs w:val="24"/>
                  </w:rPr>
                </w:pPr>
              </w:p>
            </w:tc>
            <w:tc>
              <w:tcPr>
                <w:tcW w:w="2370" w:type="dxa"/>
                <w:tcBorders>
                  <w:top w:val="single" w:sz="2" w:space="0" w:color="auto"/>
                  <w:left w:val="single" w:sz="2" w:space="0" w:color="auto"/>
                  <w:bottom w:val="single" w:sz="2" w:space="0" w:color="auto"/>
                  <w:right w:val="single" w:sz="2" w:space="0" w:color="auto"/>
                </w:tcBorders>
                <w:vAlign w:val="center"/>
              </w:tcPr>
              <w:p>
                <w:pPr>
                  <w:jc w:val="center"/>
                  <w:rPr>
                    <w:szCs w:val="24"/>
                  </w:rPr>
                </w:pPr>
              </w:p>
            </w:tc>
          </w:tr>
          <w:tr>
            <w:trPr>
              <w:trHeight w:val="23"/>
            </w:trPr>
            <w:tc>
              <w:tcPr>
                <w:tcW w:w="891" w:type="dxa"/>
                <w:tcBorders>
                  <w:top w:val="single" w:sz="2" w:space="0" w:color="auto"/>
                  <w:left w:val="single" w:sz="2" w:space="0" w:color="auto"/>
                  <w:bottom w:val="single" w:sz="2" w:space="0" w:color="auto"/>
                  <w:right w:val="single" w:sz="2" w:space="0" w:color="auto"/>
                </w:tcBorders>
              </w:tcPr>
              <w:p>
                <w:pPr>
                  <w:rPr>
                    <w:szCs w:val="24"/>
                  </w:rPr>
                </w:pPr>
              </w:p>
            </w:tc>
            <w:tc>
              <w:tcPr>
                <w:tcW w:w="9109" w:type="dxa"/>
                <w:tcBorders>
                  <w:top w:val="single" w:sz="2" w:space="0" w:color="auto"/>
                  <w:left w:val="single" w:sz="2" w:space="0" w:color="auto"/>
                  <w:bottom w:val="single" w:sz="2" w:space="0" w:color="auto"/>
                  <w:right w:val="single" w:sz="2" w:space="0" w:color="auto"/>
                </w:tcBorders>
              </w:tcPr>
              <w:p>
                <w:pPr>
                  <w:rPr>
                    <w:color w:val="000000"/>
                    <w:szCs w:val="24"/>
                  </w:rPr>
                </w:pPr>
                <w:r>
                  <w:rPr>
                    <w:color w:val="000000"/>
                    <w:szCs w:val="24"/>
                  </w:rPr>
                  <w:t>1 grupė:</w:t>
                </w:r>
              </w:p>
            </w:tc>
            <w:tc>
              <w:tcPr>
                <w:tcW w:w="2370" w:type="dxa"/>
                <w:tcBorders>
                  <w:top w:val="single" w:sz="2" w:space="0" w:color="auto"/>
                  <w:left w:val="single" w:sz="2" w:space="0" w:color="auto"/>
                  <w:bottom w:val="single" w:sz="2" w:space="0" w:color="auto"/>
                  <w:right w:val="single" w:sz="2" w:space="0" w:color="auto"/>
                </w:tcBorders>
                <w:vAlign w:val="center"/>
              </w:tcPr>
              <w:p>
                <w:pPr>
                  <w:jc w:val="center"/>
                  <w:rPr>
                    <w:szCs w:val="24"/>
                  </w:rPr>
                </w:pPr>
              </w:p>
            </w:tc>
            <w:tc>
              <w:tcPr>
                <w:tcW w:w="2370" w:type="dxa"/>
                <w:tcBorders>
                  <w:top w:val="single" w:sz="2" w:space="0" w:color="auto"/>
                  <w:left w:val="single" w:sz="2" w:space="0" w:color="auto"/>
                  <w:bottom w:val="single" w:sz="2" w:space="0" w:color="auto"/>
                  <w:right w:val="single" w:sz="2" w:space="0" w:color="auto"/>
                </w:tcBorders>
                <w:vAlign w:val="center"/>
              </w:tcPr>
              <w:p>
                <w:pPr>
                  <w:jc w:val="center"/>
                  <w:rPr>
                    <w:szCs w:val="24"/>
                  </w:rPr>
                </w:pPr>
              </w:p>
            </w:tc>
          </w:tr>
          <w:tr>
            <w:trPr>
              <w:trHeight w:val="23"/>
            </w:trPr>
            <w:tc>
              <w:tcPr>
                <w:tcW w:w="891" w:type="dxa"/>
                <w:tcBorders>
                  <w:top w:val="single" w:sz="2" w:space="0" w:color="auto"/>
                  <w:left w:val="single" w:sz="2" w:space="0" w:color="auto"/>
                  <w:bottom w:val="single" w:sz="2" w:space="0" w:color="auto"/>
                  <w:right w:val="single" w:sz="2" w:space="0" w:color="auto"/>
                </w:tcBorders>
              </w:tcPr>
              <w:p>
                <w:pPr>
                  <w:rPr>
                    <w:szCs w:val="24"/>
                  </w:rPr>
                </w:pPr>
                <w:r>
                  <w:rPr>
                    <w:szCs w:val="24"/>
                  </w:rPr>
                  <w:t>1.1.</w:t>
                </w:r>
              </w:p>
            </w:tc>
            <w:tc>
              <w:tcPr>
                <w:tcW w:w="9109" w:type="dxa"/>
                <w:tcBorders>
                  <w:top w:val="single" w:sz="2" w:space="0" w:color="auto"/>
                  <w:left w:val="single" w:sz="2" w:space="0" w:color="auto"/>
                  <w:bottom w:val="single" w:sz="2" w:space="0" w:color="auto"/>
                  <w:right w:val="single" w:sz="2" w:space="0" w:color="auto"/>
                </w:tcBorders>
              </w:tcPr>
              <w:p>
                <w:pPr>
                  <w:rPr>
                    <w:color w:val="000000"/>
                    <w:szCs w:val="24"/>
                  </w:rPr>
                </w:pPr>
                <w:r>
                  <w:rPr>
                    <w:color w:val="000000"/>
                    <w:szCs w:val="24"/>
                  </w:rPr>
                  <w:t>Kandidato vairuotojo pažymėjimui gauti arba atnaujinti binokulinis regėjimas, jeigu reikia, su korekciniais lęšiais, žiūrint abiem akimis, turi būti ne mažesnis kaip 0,5.</w:t>
                </w:r>
              </w:p>
              <w:p>
                <w:pPr>
                  <w:rPr>
                    <w:color w:val="000000"/>
                    <w:szCs w:val="24"/>
                  </w:rPr>
                </w:pPr>
                <w:r>
                  <w:rPr>
                    <w:color w:val="000000"/>
                    <w:szCs w:val="24"/>
                  </w:rPr>
                  <w:t>Be to, regėjimo horizontalus laukas turi būti ne mažesnis kaip 120 laipsnių, regėjimo lauko plotis – ne mažesnis kaip 50 laipsnių į kairę ir į dešinę ir 20 laipsnių į viršų ir žemyn. Centriniame 20 laipsnių regėjimo spindulyje neturėtų būti jokių regėjimo defektų.</w:t>
                </w:r>
              </w:p>
              <w:p>
                <w:pPr>
                  <w:rPr>
                    <w:color w:val="000000"/>
                    <w:szCs w:val="24"/>
                  </w:rPr>
                </w:pPr>
                <w:r>
                  <w:rPr>
                    <w:color w:val="000000"/>
                    <w:szCs w:val="24"/>
                  </w:rPr>
                  <w:t>Jei kandidatui nustatoma ar konstatuojama progresuojanti akių liga, vairuotojo sveikatos patikrinimo medicininės pažymos galiojimo laikas gali būti trumpinamas ir pažyma atnaujinama po gydytojo oftalmologo patikros.</w:t>
                </w:r>
              </w:p>
            </w:tc>
            <w:tc>
              <w:tcPr>
                <w:tcW w:w="2370" w:type="dxa"/>
                <w:tcBorders>
                  <w:top w:val="single" w:sz="2" w:space="0" w:color="auto"/>
                  <w:left w:val="single" w:sz="2" w:space="0" w:color="auto"/>
                  <w:bottom w:val="single" w:sz="2" w:space="0" w:color="auto"/>
                  <w:right w:val="single" w:sz="2" w:space="0" w:color="auto"/>
                </w:tcBorders>
                <w:vAlign w:val="center"/>
              </w:tcPr>
              <w:p>
                <w:pPr>
                  <w:jc w:val="center"/>
                  <w:rPr>
                    <w:szCs w:val="24"/>
                  </w:rPr>
                </w:pPr>
                <w:r>
                  <w:rPr>
                    <w:szCs w:val="24"/>
                  </w:rPr>
                  <w:t>Spręsti individualiai taikant reikiamą apribojimą 01.01, 01.02, 01.05, 01.06, 01.07</w:t>
                </w:r>
              </w:p>
            </w:tc>
            <w:tc>
              <w:tcPr>
                <w:tcW w:w="2370" w:type="dxa"/>
                <w:tcBorders>
                  <w:top w:val="single" w:sz="2" w:space="0" w:color="auto"/>
                  <w:left w:val="single" w:sz="2" w:space="0" w:color="auto"/>
                  <w:bottom w:val="single" w:sz="2" w:space="0" w:color="auto"/>
                  <w:right w:val="single" w:sz="2" w:space="0" w:color="auto"/>
                </w:tcBorders>
                <w:vAlign w:val="center"/>
              </w:tcPr>
              <w:p>
                <w:pPr>
                  <w:jc w:val="center"/>
                  <w:rPr>
                    <w:szCs w:val="24"/>
                  </w:rPr>
                </w:pPr>
              </w:p>
            </w:tc>
          </w:tr>
          <w:tr>
            <w:trPr>
              <w:trHeight w:val="23"/>
            </w:trPr>
            <w:tc>
              <w:tcPr>
                <w:tcW w:w="891" w:type="dxa"/>
                <w:tcBorders>
                  <w:top w:val="single" w:sz="2" w:space="0" w:color="auto"/>
                  <w:left w:val="single" w:sz="2" w:space="0" w:color="auto"/>
                  <w:bottom w:val="single" w:sz="2" w:space="0" w:color="auto"/>
                  <w:right w:val="single" w:sz="2" w:space="0" w:color="auto"/>
                </w:tcBorders>
              </w:tcPr>
              <w:p>
                <w:pPr>
                  <w:rPr>
                    <w:szCs w:val="24"/>
                  </w:rPr>
                </w:pPr>
                <w:r>
                  <w:rPr>
                    <w:szCs w:val="24"/>
                  </w:rPr>
                  <w:t>1.2.</w:t>
                </w:r>
              </w:p>
            </w:tc>
            <w:tc>
              <w:tcPr>
                <w:tcW w:w="9109" w:type="dxa"/>
                <w:tcBorders>
                  <w:top w:val="single" w:sz="2" w:space="0" w:color="auto"/>
                  <w:left w:val="single" w:sz="2" w:space="0" w:color="auto"/>
                  <w:bottom w:val="single" w:sz="2" w:space="0" w:color="auto"/>
                  <w:right w:val="single" w:sz="2" w:space="0" w:color="auto"/>
                </w:tcBorders>
              </w:tcPr>
              <w:p>
                <w:pPr>
                  <w:rPr>
                    <w:color w:val="000000"/>
                    <w:szCs w:val="24"/>
                  </w:rPr>
                </w:pPr>
                <w:r>
                  <w:rPr>
                    <w:color w:val="000000"/>
                    <w:szCs w:val="24"/>
                  </w:rPr>
                  <w:t>Kandidato vairuotojo pažymėjimui gauti arba atnaujinti, visai nematančio viena akimi arba matančio tik viena akimi (diplopijos atveju), regėjimo aštrumas turi būti, jeigu reikia, su korekciniais lęšiais, ne mažesnis kaip 0,5. Gydytojas oftalmologas turi patvirtinti, kad tokia kandidato vairuotojo pažymėjimui gauti monokuliarinio regėjimo būklė tęsiasi pakankamai ilgai, kad prie jos būtų galima prisitaikyti, ir kad regėjimo ta akimi laukas atitinka 1.1  papunktyje nustatytus reikalavimus.</w:t>
                </w:r>
              </w:p>
            </w:tc>
            <w:tc>
              <w:tcPr>
                <w:tcW w:w="2370" w:type="dxa"/>
                <w:tcBorders>
                  <w:top w:val="single" w:sz="2" w:space="0" w:color="auto"/>
                  <w:left w:val="single" w:sz="2" w:space="0" w:color="auto"/>
                  <w:bottom w:val="single" w:sz="2" w:space="0" w:color="auto"/>
                  <w:right w:val="single" w:sz="2" w:space="0" w:color="auto"/>
                </w:tcBorders>
                <w:vAlign w:val="center"/>
              </w:tcPr>
              <w:p>
                <w:pPr>
                  <w:jc w:val="center"/>
                  <w:rPr>
                    <w:szCs w:val="24"/>
                  </w:rPr>
                </w:pPr>
                <w:r>
                  <w:rPr>
                    <w:szCs w:val="24"/>
                  </w:rPr>
                  <w:t>Spręsti individualiai</w:t>
                </w:r>
              </w:p>
            </w:tc>
            <w:tc>
              <w:tcPr>
                <w:tcW w:w="2370" w:type="dxa"/>
                <w:tcBorders>
                  <w:top w:val="single" w:sz="2" w:space="0" w:color="auto"/>
                  <w:left w:val="single" w:sz="2" w:space="0" w:color="auto"/>
                  <w:bottom w:val="single" w:sz="2" w:space="0" w:color="auto"/>
                  <w:right w:val="single" w:sz="2" w:space="0" w:color="auto"/>
                </w:tcBorders>
                <w:vAlign w:val="center"/>
              </w:tcPr>
              <w:p>
                <w:pPr>
                  <w:jc w:val="center"/>
                  <w:rPr>
                    <w:szCs w:val="24"/>
                  </w:rPr>
                </w:pPr>
              </w:p>
            </w:tc>
          </w:tr>
          <w:tr>
            <w:trPr>
              <w:trHeight w:val="23"/>
            </w:trPr>
            <w:tc>
              <w:tcPr>
                <w:tcW w:w="891" w:type="dxa"/>
                <w:tcBorders>
                  <w:top w:val="single" w:sz="2" w:space="0" w:color="auto"/>
                  <w:left w:val="single" w:sz="2" w:space="0" w:color="auto"/>
                  <w:bottom w:val="single" w:sz="2" w:space="0" w:color="auto"/>
                  <w:right w:val="single" w:sz="2" w:space="0" w:color="auto"/>
                </w:tcBorders>
              </w:tcPr>
              <w:p>
                <w:pPr>
                  <w:rPr>
                    <w:szCs w:val="24"/>
                  </w:rPr>
                </w:pPr>
                <w:r>
                  <w:rPr>
                    <w:szCs w:val="24"/>
                  </w:rPr>
                  <w:t>1.3.</w:t>
                </w:r>
              </w:p>
            </w:tc>
            <w:tc>
              <w:tcPr>
                <w:tcW w:w="9109" w:type="dxa"/>
                <w:tcBorders>
                  <w:top w:val="single" w:sz="2" w:space="0" w:color="auto"/>
                  <w:left w:val="single" w:sz="2" w:space="0" w:color="auto"/>
                  <w:bottom w:val="single" w:sz="2" w:space="0" w:color="auto"/>
                  <w:right w:val="single" w:sz="2" w:space="0" w:color="auto"/>
                </w:tcBorders>
              </w:tcPr>
              <w:p>
                <w:pPr>
                  <w:rPr>
                    <w:color w:val="000000"/>
                    <w:szCs w:val="24"/>
                  </w:rPr>
                </w:pPr>
                <w:r>
                  <w:rPr>
                    <w:color w:val="000000"/>
                    <w:szCs w:val="24"/>
                  </w:rPr>
                  <w:t>Jeigu diplopija atsirado arba vienos akies regėjimas buvo prarastas neseniai, turėtų būti taikomas atitinkamas adaptacinis laikotarpis (pavyzdžiui, šešių mėnesių), per kurį vairuoti draudžiama. Pasibaigus šiam laikotarpiui, vairuoti leidžiama tik gavus gydytojo oftalmologo sutikimą.</w:t>
                </w:r>
              </w:p>
            </w:tc>
            <w:tc>
              <w:tcPr>
                <w:tcW w:w="2370" w:type="dxa"/>
                <w:tcBorders>
                  <w:top w:val="single" w:sz="2" w:space="0" w:color="auto"/>
                  <w:left w:val="single" w:sz="2" w:space="0" w:color="auto"/>
                  <w:bottom w:val="single" w:sz="2" w:space="0" w:color="auto"/>
                  <w:right w:val="single" w:sz="2" w:space="0" w:color="auto"/>
                </w:tcBorders>
                <w:vAlign w:val="center"/>
              </w:tcPr>
              <w:p>
                <w:pPr>
                  <w:jc w:val="center"/>
                  <w:rPr>
                    <w:szCs w:val="24"/>
                  </w:rPr>
                </w:pPr>
                <w:r>
                  <w:rPr>
                    <w:szCs w:val="24"/>
                  </w:rPr>
                  <w:t>Spręsti individualiai</w:t>
                </w:r>
              </w:p>
            </w:tc>
            <w:tc>
              <w:tcPr>
                <w:tcW w:w="2370" w:type="dxa"/>
                <w:tcBorders>
                  <w:top w:val="single" w:sz="2" w:space="0" w:color="auto"/>
                  <w:left w:val="single" w:sz="2" w:space="0" w:color="auto"/>
                  <w:bottom w:val="single" w:sz="2" w:space="0" w:color="auto"/>
                  <w:right w:val="single" w:sz="2" w:space="0" w:color="auto"/>
                </w:tcBorders>
                <w:vAlign w:val="center"/>
              </w:tcPr>
              <w:p>
                <w:pPr>
                  <w:jc w:val="center"/>
                  <w:rPr>
                    <w:szCs w:val="24"/>
                  </w:rPr>
                </w:pPr>
              </w:p>
            </w:tc>
          </w:tr>
          <w:tr>
            <w:trPr>
              <w:trHeight w:val="23"/>
            </w:trPr>
            <w:tc>
              <w:tcPr>
                <w:tcW w:w="891" w:type="dxa"/>
                <w:tcBorders>
                  <w:top w:val="single" w:sz="2" w:space="0" w:color="auto"/>
                  <w:left w:val="single" w:sz="2" w:space="0" w:color="auto"/>
                  <w:bottom w:val="single" w:sz="2" w:space="0" w:color="auto"/>
                  <w:right w:val="single" w:sz="2" w:space="0" w:color="auto"/>
                </w:tcBorders>
              </w:tcPr>
              <w:p>
                <w:pPr>
                  <w:rPr>
                    <w:szCs w:val="24"/>
                  </w:rPr>
                </w:pPr>
              </w:p>
            </w:tc>
            <w:tc>
              <w:tcPr>
                <w:tcW w:w="9109" w:type="dxa"/>
                <w:tcBorders>
                  <w:top w:val="single" w:sz="2" w:space="0" w:color="auto"/>
                  <w:left w:val="single" w:sz="2" w:space="0" w:color="auto"/>
                  <w:bottom w:val="single" w:sz="2" w:space="0" w:color="auto"/>
                  <w:right w:val="single" w:sz="2" w:space="0" w:color="auto"/>
                </w:tcBorders>
              </w:tcPr>
              <w:p>
                <w:pPr>
                  <w:rPr>
                    <w:color w:val="000000"/>
                    <w:szCs w:val="24"/>
                  </w:rPr>
                </w:pPr>
                <w:r>
                  <w:rPr>
                    <w:color w:val="000000"/>
                    <w:szCs w:val="24"/>
                  </w:rPr>
                  <w:t>2 grupė:</w:t>
                </w:r>
              </w:p>
            </w:tc>
            <w:tc>
              <w:tcPr>
                <w:tcW w:w="2370" w:type="dxa"/>
                <w:tcBorders>
                  <w:top w:val="single" w:sz="2" w:space="0" w:color="auto"/>
                  <w:left w:val="single" w:sz="2" w:space="0" w:color="auto"/>
                  <w:bottom w:val="single" w:sz="2" w:space="0" w:color="auto"/>
                  <w:right w:val="single" w:sz="2" w:space="0" w:color="auto"/>
                </w:tcBorders>
                <w:vAlign w:val="center"/>
              </w:tcPr>
              <w:p>
                <w:pPr>
                  <w:rPr>
                    <w:szCs w:val="24"/>
                  </w:rPr>
                </w:pPr>
              </w:p>
            </w:tc>
            <w:tc>
              <w:tcPr>
                <w:tcW w:w="2370" w:type="dxa"/>
                <w:tcBorders>
                  <w:top w:val="single" w:sz="2" w:space="0" w:color="auto"/>
                  <w:left w:val="single" w:sz="2" w:space="0" w:color="auto"/>
                  <w:bottom w:val="single" w:sz="2" w:space="0" w:color="auto"/>
                  <w:right w:val="single" w:sz="2" w:space="0" w:color="auto"/>
                </w:tcBorders>
                <w:vAlign w:val="center"/>
              </w:tcPr>
              <w:p>
                <w:pPr>
                  <w:jc w:val="center"/>
                  <w:rPr>
                    <w:szCs w:val="24"/>
                  </w:rPr>
                </w:pPr>
              </w:p>
            </w:tc>
          </w:tr>
          <w:tr>
            <w:trPr>
              <w:trHeight w:val="23"/>
            </w:trPr>
            <w:tc>
              <w:tcPr>
                <w:tcW w:w="891" w:type="dxa"/>
                <w:tcBorders>
                  <w:top w:val="single" w:sz="2" w:space="0" w:color="auto"/>
                  <w:left w:val="single" w:sz="2" w:space="0" w:color="auto"/>
                  <w:bottom w:val="single" w:sz="2" w:space="0" w:color="auto"/>
                  <w:right w:val="single" w:sz="2" w:space="0" w:color="auto"/>
                </w:tcBorders>
              </w:tcPr>
              <w:p>
                <w:pPr>
                  <w:rPr>
                    <w:szCs w:val="24"/>
                  </w:rPr>
                </w:pPr>
                <w:r>
                  <w:rPr>
                    <w:szCs w:val="24"/>
                  </w:rPr>
                  <w:t>1.4.</w:t>
                </w:r>
              </w:p>
            </w:tc>
            <w:tc>
              <w:tcPr>
                <w:tcW w:w="9109" w:type="dxa"/>
                <w:tcBorders>
                  <w:top w:val="single" w:sz="2" w:space="0" w:color="auto"/>
                  <w:left w:val="single" w:sz="2" w:space="0" w:color="auto"/>
                  <w:bottom w:val="single" w:sz="2" w:space="0" w:color="auto"/>
                  <w:right w:val="single" w:sz="2" w:space="0" w:color="auto"/>
                </w:tcBorders>
              </w:tcPr>
              <w:p>
                <w:pPr>
                  <w:rPr>
                    <w:color w:val="000000"/>
                    <w:szCs w:val="24"/>
                  </w:rPr>
                </w:pPr>
                <w:r>
                  <w:rPr>
                    <w:color w:val="000000"/>
                    <w:szCs w:val="24"/>
                  </w:rPr>
                  <w:t>Kandidato vairuotojo pažymėjimui gauti arba atnaujinti sveikesnės akies regėjimo aštrumas, jeigu reikia, su korekciniais lęšiais, turi būti ne mažesnis kaip 0,8, o silpnesnės akies – ne mažesnis kaip 0,1. Jei korekciniai lęšiai naudojami tam, kad mažiausias regėjimo aštrumas būtų 0,8 ir 0,1, toks regėjimo aštrumas privalo būti pasiektas nešiojant akinius, kurių stiprumas neturi būti didesnis kaip plius ar minus aštuonios dioptrijos, arba nešiojant kontaktinius lęšius. Korekcija turi būti gerai toleruojama.</w:t>
                </w:r>
              </w:p>
              <w:p>
                <w:pPr>
                  <w:rPr>
                    <w:color w:val="000000"/>
                    <w:szCs w:val="24"/>
                  </w:rPr>
                </w:pPr>
                <w:r>
                  <w:rPr>
                    <w:color w:val="000000"/>
                    <w:szCs w:val="24"/>
                  </w:rPr>
                  <w:t>Be to, regėjimo abiem akimis horizontalus laukas turi būti ne mažesnis kaip 160 laipsnių, regėjimo lauko plotis turi būti ne mažesnis kaip 70 laipsnių į kairę ir į dešinę ir 30 laipsnių į viršų ir žemyn. Centriniame 30 laipsnių regėjimo spindulyje neturi būti jokių regėjimo defektų.</w:t>
                </w:r>
              </w:p>
              <w:p>
                <w:pPr>
                  <w:rPr>
                    <w:color w:val="000000"/>
                    <w:szCs w:val="24"/>
                  </w:rPr>
                </w:pPr>
                <w:r>
                  <w:rPr>
                    <w:color w:val="000000"/>
                    <w:szCs w:val="24"/>
                  </w:rPr>
                  <w:t>Vairuotojo pažymėjimai neišduodami kandidatams vairuotojo pažymėjimui gauti ir neatnaujinami vairuotojams, kurių regėjimo kontrastinis jautrumas yra sumažėjęs arba nustatyta diplopija.</w:t>
                </w:r>
              </w:p>
              <w:p>
                <w:pPr>
                  <w:rPr>
                    <w:color w:val="000000"/>
                    <w:szCs w:val="24"/>
                  </w:rPr>
                </w:pPr>
                <w:r>
                  <w:rPr>
                    <w:color w:val="000000"/>
                    <w:szCs w:val="24"/>
                  </w:rPr>
                  <w:t>Smarkiai pablogėjus vienos akies regėjimui, turi būti taikomas atitinkamas adaptacinis laikotarpis (pavyzdžiui, šešių mėnesių), per kurį vairuoti draudžiama. Pasibaigus šiam laikotarpiui, vairuoti leidžiama tik gavus palankią gydytojo oftalmologo išvadą.</w:t>
                </w:r>
              </w:p>
            </w:tc>
            <w:tc>
              <w:tcPr>
                <w:tcW w:w="2370" w:type="dxa"/>
                <w:tcBorders>
                  <w:top w:val="single" w:sz="2" w:space="0" w:color="auto"/>
                  <w:left w:val="single" w:sz="2" w:space="0" w:color="auto"/>
                  <w:bottom w:val="single" w:sz="2" w:space="0" w:color="auto"/>
                  <w:right w:val="single" w:sz="2" w:space="0" w:color="auto"/>
                </w:tcBorders>
                <w:vAlign w:val="center"/>
              </w:tcPr>
              <w:p>
                <w:pPr>
                  <w:jc w:val="center"/>
                  <w:rPr>
                    <w:szCs w:val="24"/>
                  </w:rPr>
                </w:pPr>
              </w:p>
            </w:tc>
            <w:tc>
              <w:tcPr>
                <w:tcW w:w="2370" w:type="dxa"/>
                <w:tcBorders>
                  <w:top w:val="single" w:sz="2" w:space="0" w:color="auto"/>
                  <w:left w:val="single" w:sz="2" w:space="0" w:color="auto"/>
                  <w:bottom w:val="single" w:sz="2" w:space="0" w:color="auto"/>
                  <w:right w:val="single" w:sz="2" w:space="0" w:color="auto"/>
                </w:tcBorders>
                <w:vAlign w:val="center"/>
              </w:tcPr>
              <w:p>
                <w:pPr>
                  <w:jc w:val="center"/>
                  <w:rPr>
                    <w:szCs w:val="24"/>
                  </w:rPr>
                </w:pPr>
                <w:r>
                  <w:rPr>
                    <w:szCs w:val="24"/>
                  </w:rPr>
                  <w:t>Spręsti individualiai taikant reikiamą apribojimą 01.01, 01.02, 01.05, 01.06, 01.07</w:t>
                </w:r>
              </w:p>
            </w:tc>
          </w:tr>
          <w:tr>
            <w:trPr>
              <w:trHeight w:val="23"/>
            </w:trPr>
            <w:tc>
              <w:tcPr>
                <w:tcW w:w="891" w:type="dxa"/>
                <w:tcBorders>
                  <w:top w:val="single" w:sz="2" w:space="0" w:color="auto"/>
                  <w:left w:val="single" w:sz="2" w:space="0" w:color="auto"/>
                  <w:bottom w:val="single" w:sz="2" w:space="0" w:color="auto"/>
                  <w:right w:val="single" w:sz="2" w:space="0" w:color="auto"/>
                </w:tcBorders>
              </w:tcPr>
              <w:p>
                <w:pPr>
                  <w:rPr>
                    <w:szCs w:val="24"/>
                  </w:rPr>
                </w:pPr>
              </w:p>
            </w:tc>
            <w:tc>
              <w:tcPr>
                <w:tcW w:w="9109" w:type="dxa"/>
                <w:tcBorders>
                  <w:top w:val="single" w:sz="2" w:space="0" w:color="auto"/>
                  <w:left w:val="single" w:sz="2" w:space="0" w:color="auto"/>
                  <w:bottom w:val="single" w:sz="2" w:space="0" w:color="auto"/>
                  <w:right w:val="single" w:sz="2" w:space="0" w:color="auto"/>
                </w:tcBorders>
              </w:tcPr>
              <w:p>
                <w:pPr>
                  <w:rPr>
                    <w:color w:val="000000"/>
                    <w:szCs w:val="24"/>
                  </w:rPr>
                </w:pPr>
                <w:r>
                  <w:rPr>
                    <w:color w:val="000000"/>
                    <w:szCs w:val="24"/>
                  </w:rPr>
                  <w:t>1 ir 2 grupės:</w:t>
                </w:r>
              </w:p>
            </w:tc>
            <w:tc>
              <w:tcPr>
                <w:tcW w:w="2370" w:type="dxa"/>
                <w:tcBorders>
                  <w:top w:val="single" w:sz="2" w:space="0" w:color="auto"/>
                  <w:left w:val="single" w:sz="2" w:space="0" w:color="auto"/>
                  <w:bottom w:val="single" w:sz="2" w:space="0" w:color="auto"/>
                  <w:right w:val="single" w:sz="2" w:space="0" w:color="auto"/>
                </w:tcBorders>
                <w:vAlign w:val="center"/>
              </w:tcPr>
              <w:p>
                <w:pPr>
                  <w:jc w:val="center"/>
                  <w:rPr>
                    <w:szCs w:val="24"/>
                  </w:rPr>
                </w:pPr>
              </w:p>
            </w:tc>
            <w:tc>
              <w:tcPr>
                <w:tcW w:w="2370" w:type="dxa"/>
                <w:tcBorders>
                  <w:top w:val="single" w:sz="2" w:space="0" w:color="auto"/>
                  <w:left w:val="single" w:sz="2" w:space="0" w:color="auto"/>
                  <w:bottom w:val="single" w:sz="2" w:space="0" w:color="auto"/>
                  <w:right w:val="single" w:sz="2" w:space="0" w:color="auto"/>
                </w:tcBorders>
                <w:vAlign w:val="center"/>
              </w:tcPr>
              <w:p>
                <w:pPr>
                  <w:jc w:val="center"/>
                  <w:rPr>
                    <w:szCs w:val="24"/>
                  </w:rPr>
                </w:pPr>
              </w:p>
            </w:tc>
          </w:tr>
          <w:tr>
            <w:trPr>
              <w:trHeight w:val="23"/>
            </w:trPr>
            <w:tc>
              <w:tcPr>
                <w:tcW w:w="891" w:type="dxa"/>
                <w:tcBorders>
                  <w:top w:val="single" w:sz="2" w:space="0" w:color="auto"/>
                  <w:left w:val="single" w:sz="2" w:space="0" w:color="auto"/>
                  <w:bottom w:val="single" w:sz="2" w:space="0" w:color="auto"/>
                  <w:right w:val="single" w:sz="2" w:space="0" w:color="auto"/>
                </w:tcBorders>
              </w:tcPr>
              <w:p>
                <w:pPr>
                  <w:rPr>
                    <w:szCs w:val="24"/>
                  </w:rPr>
                </w:pPr>
                <w:r>
                  <w:rPr>
                    <w:szCs w:val="24"/>
                  </w:rPr>
                  <w:t>1.5.</w:t>
                </w:r>
              </w:p>
            </w:tc>
            <w:tc>
              <w:tcPr>
                <w:tcW w:w="9109" w:type="dxa"/>
                <w:tcBorders>
                  <w:top w:val="single" w:sz="2" w:space="0" w:color="auto"/>
                  <w:left w:val="single" w:sz="2" w:space="0" w:color="auto"/>
                  <w:bottom w:val="single" w:sz="2" w:space="0" w:color="auto"/>
                  <w:right w:val="single" w:sz="2" w:space="0" w:color="auto"/>
                </w:tcBorders>
              </w:tcPr>
              <w:p>
                <w:pPr>
                  <w:rPr>
                    <w:color w:val="000000"/>
                    <w:szCs w:val="24"/>
                  </w:rPr>
                </w:pPr>
                <w:r>
                  <w:rPr>
                    <w:color w:val="000000"/>
                    <w:szCs w:val="24"/>
                  </w:rPr>
                  <w:t>Diplopija ir žvairumas: H49–H50; H53.0–H53.2. Jeigu po chirurginio gydymo rezultatai geri, vairuoti leidžiama.</w:t>
                </w:r>
              </w:p>
            </w:tc>
            <w:tc>
              <w:tcPr>
                <w:tcW w:w="2370" w:type="dxa"/>
                <w:tcBorders>
                  <w:top w:val="single" w:sz="2" w:space="0" w:color="auto"/>
                  <w:left w:val="single" w:sz="2" w:space="0" w:color="auto"/>
                  <w:bottom w:val="single" w:sz="2" w:space="0" w:color="auto"/>
                  <w:right w:val="single" w:sz="2" w:space="0" w:color="auto"/>
                </w:tcBorders>
                <w:vAlign w:val="center"/>
              </w:tcPr>
              <w:p>
                <w:pPr>
                  <w:jc w:val="center"/>
                  <w:rPr>
                    <w:szCs w:val="24"/>
                  </w:rPr>
                </w:pPr>
                <w:r>
                  <w:rPr>
                    <w:szCs w:val="24"/>
                  </w:rPr>
                  <w:t>Spręsti individualiai</w:t>
                </w:r>
              </w:p>
            </w:tc>
            <w:tc>
              <w:tcPr>
                <w:tcW w:w="2370" w:type="dxa"/>
                <w:tcBorders>
                  <w:top w:val="single" w:sz="2" w:space="0" w:color="auto"/>
                  <w:left w:val="single" w:sz="2" w:space="0" w:color="auto"/>
                  <w:bottom w:val="single" w:sz="2" w:space="0" w:color="auto"/>
                  <w:right w:val="single" w:sz="2" w:space="0" w:color="auto"/>
                </w:tcBorders>
                <w:vAlign w:val="center"/>
              </w:tcPr>
              <w:p>
                <w:pPr>
                  <w:jc w:val="center"/>
                  <w:rPr>
                    <w:szCs w:val="24"/>
                  </w:rPr>
                </w:pPr>
                <w:r>
                  <w:rPr>
                    <w:szCs w:val="24"/>
                  </w:rPr>
                  <w:t>Spręsti individualiai</w:t>
                </w:r>
              </w:p>
            </w:tc>
          </w:tr>
          <w:tr>
            <w:trPr>
              <w:trHeight w:val="23"/>
            </w:trPr>
            <w:tc>
              <w:tcPr>
                <w:tcW w:w="891" w:type="dxa"/>
                <w:tcBorders>
                  <w:top w:val="single" w:sz="2" w:space="0" w:color="auto"/>
                  <w:left w:val="single" w:sz="2" w:space="0" w:color="auto"/>
                  <w:bottom w:val="single" w:sz="2" w:space="0" w:color="auto"/>
                  <w:right w:val="single" w:sz="2" w:space="0" w:color="auto"/>
                </w:tcBorders>
              </w:tcPr>
              <w:p>
                <w:pPr>
                  <w:rPr>
                    <w:szCs w:val="24"/>
                  </w:rPr>
                </w:pPr>
                <w:r>
                  <w:rPr>
                    <w:szCs w:val="24"/>
                  </w:rPr>
                  <w:t>1.6.</w:t>
                </w:r>
              </w:p>
            </w:tc>
            <w:tc>
              <w:tcPr>
                <w:tcW w:w="9109" w:type="dxa"/>
                <w:tcBorders>
                  <w:top w:val="single" w:sz="2" w:space="0" w:color="auto"/>
                  <w:left w:val="single" w:sz="2" w:space="0" w:color="auto"/>
                  <w:bottom w:val="single" w:sz="2" w:space="0" w:color="auto"/>
                  <w:right w:val="single" w:sz="2" w:space="0" w:color="auto"/>
                </w:tcBorders>
              </w:tcPr>
              <w:p>
                <w:pPr>
                  <w:rPr>
                    <w:color w:val="000000"/>
                    <w:szCs w:val="24"/>
                  </w:rPr>
                </w:pPr>
                <w:r>
                  <w:rPr>
                    <w:color w:val="000000"/>
                    <w:szCs w:val="24"/>
                  </w:rPr>
                  <w:t>Regėjimo susilpnėjimas dėl nuolatinio šviesos laužiamųjų skaidrių terpių drumstumo arba akių dugno pakitimų, refrakcijos anomalijų ir kitų organinio pobūdžio priežasčių: H 25–H 28, H30–H36. Sprendžiama individualiai, kai regėjimas (su korekcija) 1 grupės kategorijų vairuotojams atitinka 1.1 papunktyje nustatytus reikalavimus, o  2 grupės kategorijų vairuotojams – 1.4 papunktyje nustatytus reikalavimus. H25–H28, H33 atveju, jeigu po chirurginio gydymo rezultatai geri, vairuoti leidžiama.</w:t>
                </w:r>
              </w:p>
            </w:tc>
            <w:tc>
              <w:tcPr>
                <w:tcW w:w="2370" w:type="dxa"/>
                <w:tcBorders>
                  <w:top w:val="single" w:sz="2" w:space="0" w:color="auto"/>
                  <w:left w:val="single" w:sz="2" w:space="0" w:color="auto"/>
                  <w:bottom w:val="single" w:sz="2" w:space="0" w:color="auto"/>
                  <w:right w:val="single" w:sz="2" w:space="0" w:color="auto"/>
                </w:tcBorders>
                <w:vAlign w:val="center"/>
              </w:tcPr>
              <w:p>
                <w:pPr>
                  <w:jc w:val="center"/>
                  <w:rPr>
                    <w:szCs w:val="24"/>
                  </w:rPr>
                </w:pPr>
                <w:r>
                  <w:rPr>
                    <w:szCs w:val="24"/>
                  </w:rPr>
                  <w:t>Spręsti individualiai</w:t>
                </w:r>
              </w:p>
            </w:tc>
            <w:tc>
              <w:tcPr>
                <w:tcW w:w="2370" w:type="dxa"/>
                <w:tcBorders>
                  <w:top w:val="single" w:sz="2" w:space="0" w:color="auto"/>
                  <w:left w:val="single" w:sz="2" w:space="0" w:color="auto"/>
                  <w:bottom w:val="single" w:sz="2" w:space="0" w:color="auto"/>
                  <w:right w:val="single" w:sz="2" w:space="0" w:color="auto"/>
                </w:tcBorders>
                <w:vAlign w:val="center"/>
              </w:tcPr>
              <w:p>
                <w:pPr>
                  <w:jc w:val="center"/>
                  <w:rPr>
                    <w:szCs w:val="24"/>
                  </w:rPr>
                </w:pPr>
                <w:r>
                  <w:rPr>
                    <w:szCs w:val="24"/>
                  </w:rPr>
                  <w:t>Spręsti individualiai</w:t>
                </w:r>
              </w:p>
            </w:tc>
          </w:tr>
          <w:tr>
            <w:trPr>
              <w:trHeight w:val="23"/>
            </w:trPr>
            <w:tc>
              <w:tcPr>
                <w:tcW w:w="891" w:type="dxa"/>
                <w:tcBorders>
                  <w:top w:val="single" w:sz="2" w:space="0" w:color="auto"/>
                  <w:left w:val="single" w:sz="2" w:space="0" w:color="auto"/>
                  <w:bottom w:val="single" w:sz="2" w:space="0" w:color="auto"/>
                  <w:right w:val="single" w:sz="2" w:space="0" w:color="auto"/>
                </w:tcBorders>
              </w:tcPr>
              <w:p>
                <w:pPr>
                  <w:rPr>
                    <w:szCs w:val="24"/>
                  </w:rPr>
                </w:pPr>
                <w:r>
                  <w:rPr>
                    <w:szCs w:val="24"/>
                  </w:rPr>
                  <w:t>1.7.</w:t>
                </w:r>
              </w:p>
            </w:tc>
            <w:tc>
              <w:tcPr>
                <w:tcW w:w="9109" w:type="dxa"/>
                <w:tcBorders>
                  <w:top w:val="single" w:sz="2" w:space="0" w:color="auto"/>
                  <w:left w:val="single" w:sz="2" w:space="0" w:color="auto"/>
                  <w:bottom w:val="single" w:sz="2" w:space="0" w:color="auto"/>
                  <w:right w:val="single" w:sz="2" w:space="0" w:color="auto"/>
                </w:tcBorders>
              </w:tcPr>
              <w:p>
                <w:pPr>
                  <w:rPr>
                    <w:color w:val="000000"/>
                    <w:szCs w:val="24"/>
                  </w:rPr>
                </w:pPr>
                <w:r>
                  <w:rPr>
                    <w:color w:val="000000"/>
                    <w:szCs w:val="24"/>
                  </w:rPr>
                  <w:t>Būklė po ragenos refrakcinių operacijų (keratotomijos, keratomilezės, keratokoaguliacijos, refrakcinės keratoplastikos).</w:t>
                </w:r>
              </w:p>
              <w:p>
                <w:pPr>
                  <w:rPr>
                    <w:color w:val="000000"/>
                    <w:szCs w:val="24"/>
                  </w:rPr>
                </w:pPr>
                <w:r>
                  <w:rPr>
                    <w:color w:val="000000"/>
                    <w:szCs w:val="24"/>
                  </w:rPr>
                  <w:t>Leidžiama vairuoti, jeigu po chirurginio gydymo rezultatai geri, kai regėjimas (su korekcija) 1</w:t>
                </w:r>
                <w:r>
                  <w:rPr>
                    <w:b/>
                    <w:bCs/>
                    <w:color w:val="000000"/>
                    <w:szCs w:val="24"/>
                  </w:rPr>
                  <w:t xml:space="preserve"> </w:t>
                </w:r>
                <w:r>
                  <w:rPr>
                    <w:color w:val="000000"/>
                    <w:szCs w:val="24"/>
                  </w:rPr>
                  <w:t>grupės kategorijų vairuotojams atitinka 1.1 papunktyje nustatytus reikalavimus, o  2 grupės kategorijų vairuotojams – 1.4 papunktyje nustatytus reikalavimus.</w:t>
                </w:r>
              </w:p>
            </w:tc>
            <w:tc>
              <w:tcPr>
                <w:tcW w:w="2370" w:type="dxa"/>
                <w:tcBorders>
                  <w:top w:val="single" w:sz="2" w:space="0" w:color="auto"/>
                  <w:left w:val="single" w:sz="2" w:space="0" w:color="auto"/>
                  <w:bottom w:val="single" w:sz="2" w:space="0" w:color="auto"/>
                  <w:right w:val="single" w:sz="2" w:space="0" w:color="auto"/>
                </w:tcBorders>
                <w:vAlign w:val="center"/>
              </w:tcPr>
              <w:p>
                <w:pPr>
                  <w:jc w:val="center"/>
                  <w:rPr>
                    <w:szCs w:val="24"/>
                  </w:rPr>
                </w:pPr>
                <w:r>
                  <w:rPr>
                    <w:szCs w:val="24"/>
                  </w:rPr>
                  <w:t>Spręsti individualiai</w:t>
                </w:r>
              </w:p>
            </w:tc>
            <w:tc>
              <w:tcPr>
                <w:tcW w:w="2370" w:type="dxa"/>
                <w:tcBorders>
                  <w:top w:val="single" w:sz="2" w:space="0" w:color="auto"/>
                  <w:left w:val="single" w:sz="2" w:space="0" w:color="auto"/>
                  <w:bottom w:val="single" w:sz="2" w:space="0" w:color="auto"/>
                  <w:right w:val="single" w:sz="2" w:space="0" w:color="auto"/>
                </w:tcBorders>
                <w:vAlign w:val="center"/>
              </w:tcPr>
              <w:p>
                <w:pPr>
                  <w:jc w:val="center"/>
                  <w:rPr>
                    <w:szCs w:val="24"/>
                  </w:rPr>
                </w:pPr>
                <w:r>
                  <w:rPr>
                    <w:szCs w:val="24"/>
                  </w:rPr>
                  <w:t>Spręsti individualiai</w:t>
                </w:r>
              </w:p>
            </w:tc>
          </w:tr>
          <w:tr>
            <w:trPr>
              <w:trHeight w:val="23"/>
            </w:trPr>
            <w:tc>
              <w:tcPr>
                <w:tcW w:w="891" w:type="dxa"/>
                <w:tcBorders>
                  <w:top w:val="single" w:sz="2" w:space="0" w:color="auto"/>
                  <w:left w:val="single" w:sz="2" w:space="0" w:color="auto"/>
                  <w:bottom w:val="single" w:sz="2" w:space="0" w:color="auto"/>
                  <w:right w:val="single" w:sz="2" w:space="0" w:color="auto"/>
                </w:tcBorders>
              </w:tcPr>
              <w:p>
                <w:pPr>
                  <w:rPr>
                    <w:szCs w:val="24"/>
                  </w:rPr>
                </w:pPr>
                <w:r>
                  <w:rPr>
                    <w:szCs w:val="24"/>
                  </w:rPr>
                  <w:t>1.8.</w:t>
                </w:r>
              </w:p>
            </w:tc>
            <w:tc>
              <w:tcPr>
                <w:tcW w:w="9109" w:type="dxa"/>
                <w:tcBorders>
                  <w:top w:val="single" w:sz="2" w:space="0" w:color="auto"/>
                  <w:left w:val="single" w:sz="2" w:space="0" w:color="auto"/>
                  <w:bottom w:val="single" w:sz="2" w:space="0" w:color="auto"/>
                  <w:right w:val="single" w:sz="2" w:space="0" w:color="auto"/>
                </w:tcBorders>
              </w:tcPr>
              <w:p>
                <w:pPr>
                  <w:rPr>
                    <w:color w:val="000000"/>
                    <w:szCs w:val="24"/>
                  </w:rPr>
                </w:pPr>
                <w:r>
                  <w:rPr>
                    <w:color w:val="000000"/>
                    <w:szCs w:val="24"/>
                  </w:rPr>
                  <w:t>Tinklainės ir regimojo nervo ligos (pigmentinis retinitas, regimųjų nervų atrofija, kitos progresuojančios tinklainės ir gyslainės ligos ir kt.): H30–H36, H47. (H30–H36 atvejais leidžiama vairuoti 1 grupės kategorijų transporto priemones, kai regėjimas ne silpnesnis kaip 0,5 viena geriau matančia akimi).</w:t>
                </w:r>
              </w:p>
            </w:tc>
            <w:tc>
              <w:tcPr>
                <w:tcW w:w="2370" w:type="dxa"/>
                <w:tcBorders>
                  <w:top w:val="single" w:sz="2" w:space="0" w:color="auto"/>
                  <w:left w:val="single" w:sz="2" w:space="0" w:color="auto"/>
                  <w:bottom w:val="single" w:sz="2" w:space="0" w:color="auto"/>
                  <w:right w:val="single" w:sz="2" w:space="0" w:color="auto"/>
                </w:tcBorders>
                <w:vAlign w:val="center"/>
              </w:tcPr>
              <w:p>
                <w:pPr>
                  <w:jc w:val="center"/>
                  <w:rPr>
                    <w:szCs w:val="24"/>
                  </w:rPr>
                </w:pPr>
                <w:r>
                  <w:rPr>
                    <w:szCs w:val="24"/>
                  </w:rPr>
                  <w:t>Visos transporto priemonės – H30.1–H36 H47</w:t>
                </w:r>
              </w:p>
              <w:p>
                <w:pPr>
                  <w:jc w:val="center"/>
                  <w:rPr>
                    <w:szCs w:val="24"/>
                  </w:rPr>
                </w:pPr>
                <w:r>
                  <w:rPr>
                    <w:szCs w:val="24"/>
                  </w:rPr>
                  <w:t>Spręsti individualiai</w:t>
                </w:r>
              </w:p>
            </w:tc>
            <w:tc>
              <w:tcPr>
                <w:tcW w:w="2370" w:type="dxa"/>
                <w:tcBorders>
                  <w:top w:val="single" w:sz="2" w:space="0" w:color="auto"/>
                  <w:left w:val="single" w:sz="2" w:space="0" w:color="auto"/>
                  <w:bottom w:val="single" w:sz="2" w:space="0" w:color="auto"/>
                  <w:right w:val="single" w:sz="2" w:space="0" w:color="auto"/>
                </w:tcBorders>
                <w:vAlign w:val="center"/>
              </w:tcPr>
              <w:p>
                <w:pPr>
                  <w:jc w:val="center"/>
                  <w:rPr>
                    <w:szCs w:val="24"/>
                  </w:rPr>
                </w:pPr>
                <w:r>
                  <w:rPr>
                    <w:szCs w:val="24"/>
                  </w:rPr>
                  <w:t>Visos transporto priemonės</w:t>
                </w:r>
              </w:p>
            </w:tc>
          </w:tr>
          <w:tr>
            <w:trPr>
              <w:trHeight w:val="23"/>
            </w:trPr>
            <w:tc>
              <w:tcPr>
                <w:tcW w:w="891" w:type="dxa"/>
                <w:tcBorders>
                  <w:top w:val="single" w:sz="2" w:space="0" w:color="auto"/>
                  <w:left w:val="single" w:sz="2" w:space="0" w:color="auto"/>
                  <w:bottom w:val="single" w:sz="4" w:space="0" w:color="auto"/>
                  <w:right w:val="single" w:sz="2" w:space="0" w:color="auto"/>
                </w:tcBorders>
              </w:tcPr>
              <w:p>
                <w:pPr>
                  <w:rPr>
                    <w:szCs w:val="24"/>
                  </w:rPr>
                </w:pPr>
                <w:r>
                  <w:rPr>
                    <w:szCs w:val="24"/>
                  </w:rPr>
                  <w:t>1.9.</w:t>
                </w:r>
              </w:p>
            </w:tc>
            <w:tc>
              <w:tcPr>
                <w:tcW w:w="9109" w:type="dxa"/>
                <w:tcBorders>
                  <w:top w:val="single" w:sz="2" w:space="0" w:color="auto"/>
                  <w:left w:val="single" w:sz="2" w:space="0" w:color="auto"/>
                  <w:bottom w:val="single" w:sz="2" w:space="0" w:color="auto"/>
                  <w:right w:val="single" w:sz="2" w:space="0" w:color="auto"/>
                </w:tcBorders>
              </w:tcPr>
              <w:p>
                <w:pPr>
                  <w:rPr>
                    <w:color w:val="000000"/>
                    <w:szCs w:val="24"/>
                  </w:rPr>
                </w:pPr>
                <w:r>
                  <w:rPr>
                    <w:color w:val="000000"/>
                    <w:szCs w:val="24"/>
                  </w:rPr>
                  <w:t>Glaukoma: H40.1–H40.9, H42.</w:t>
                </w:r>
              </w:p>
              <w:p>
                <w:pPr>
                  <w:rPr>
                    <w:color w:val="000000"/>
                    <w:szCs w:val="24"/>
                  </w:rPr>
                </w:pPr>
                <w:r>
                  <w:rPr>
                    <w:color w:val="000000"/>
                    <w:szCs w:val="24"/>
                  </w:rPr>
                  <w:t>Esant pradinei nekomplikuotai glaukomos stadijai, kai akies dugnas normalus, regėjimas (su korekcija) 1 grupės kategorijų vairuotojams atitinka 1.1 papunktyje nustatytus reikalavimus, o  2 grupės kategorijų vairuotojams – 1.4 papunktyje nustatytus reikalavimus, gydytojas oftalmologas sprendžia individualiai dėl galimybės vairuoti bei tikrinimo periodiškumo.</w:t>
                </w:r>
              </w:p>
            </w:tc>
            <w:tc>
              <w:tcPr>
                <w:tcW w:w="2370" w:type="dxa"/>
                <w:tcBorders>
                  <w:top w:val="single" w:sz="2" w:space="0" w:color="auto"/>
                  <w:left w:val="single" w:sz="2" w:space="0" w:color="auto"/>
                  <w:bottom w:val="single" w:sz="2" w:space="0" w:color="auto"/>
                  <w:right w:val="single" w:sz="4" w:space="0" w:color="auto"/>
                </w:tcBorders>
                <w:vAlign w:val="center"/>
              </w:tcPr>
              <w:p>
                <w:pPr>
                  <w:jc w:val="center"/>
                  <w:rPr>
                    <w:szCs w:val="24"/>
                  </w:rPr>
                </w:pPr>
                <w:r>
                  <w:rPr>
                    <w:szCs w:val="24"/>
                  </w:rPr>
                  <w:t>Spręsti individualiai</w:t>
                </w:r>
              </w:p>
            </w:tc>
            <w:tc>
              <w:tcPr>
                <w:tcW w:w="2370" w:type="dxa"/>
                <w:tcBorders>
                  <w:top w:val="single" w:sz="2" w:space="0" w:color="auto"/>
                  <w:left w:val="single" w:sz="4" w:space="0" w:color="auto"/>
                  <w:bottom w:val="single" w:sz="2" w:space="0" w:color="auto"/>
                  <w:right w:val="single" w:sz="4" w:space="0" w:color="auto"/>
                </w:tcBorders>
                <w:vAlign w:val="center"/>
              </w:tcPr>
              <w:p>
                <w:pPr>
                  <w:jc w:val="center"/>
                  <w:rPr>
                    <w:szCs w:val="24"/>
                  </w:rPr>
                </w:pPr>
                <w:r>
                  <w:rPr>
                    <w:szCs w:val="24"/>
                  </w:rPr>
                  <w:t>Spręsti individualiai</w:t>
                </w:r>
              </w:p>
            </w:tc>
          </w:tr>
          <w:tr>
            <w:trPr>
              <w:trHeight w:val="1915"/>
            </w:trPr>
            <w:tc>
              <w:tcPr>
                <w:tcW w:w="891" w:type="dxa"/>
                <w:vMerge w:val="restart"/>
                <w:tcBorders>
                  <w:top w:val="single" w:sz="4" w:space="0" w:color="auto"/>
                  <w:left w:val="single" w:sz="4" w:space="0" w:color="auto"/>
                  <w:right w:val="single" w:sz="4" w:space="0" w:color="auto"/>
                </w:tcBorders>
              </w:tcPr>
              <w:p>
                <w:pPr>
                  <w:rPr>
                    <w:szCs w:val="24"/>
                  </w:rPr>
                </w:pPr>
                <w:r>
                  <w:rPr>
                    <w:szCs w:val="24"/>
                  </w:rPr>
                  <w:t>2.</w:t>
                </w:r>
              </w:p>
            </w:tc>
            <w:tc>
              <w:tcPr>
                <w:tcW w:w="9109" w:type="dxa"/>
                <w:vMerge w:val="restart"/>
                <w:tcBorders>
                  <w:left w:val="single" w:sz="4" w:space="0" w:color="auto"/>
                  <w:right w:val="single" w:sz="4" w:space="0" w:color="auto"/>
                </w:tcBorders>
              </w:tcPr>
              <w:p>
                <w:pPr>
                  <w:rPr>
                    <w:color w:val="000000"/>
                    <w:szCs w:val="24"/>
                  </w:rPr>
                </w:pPr>
                <w:r>
                  <w:rPr>
                    <w:color w:val="000000"/>
                    <w:szCs w:val="24"/>
                  </w:rPr>
                  <w:t>KLAUSA</w:t>
                </w:r>
              </w:p>
              <w:p>
                <w:pPr>
                  <w:rPr>
                    <w:color w:val="000000"/>
                    <w:szCs w:val="24"/>
                  </w:rPr>
                </w:pPr>
                <w:r>
                  <w:rPr>
                    <w:color w:val="000000"/>
                    <w:szCs w:val="24"/>
                  </w:rPr>
                  <w:t>1 grupė:</w:t>
                </w:r>
              </w:p>
              <w:p>
                <w:pPr>
                  <w:rPr>
                    <w:color w:val="000000"/>
                    <w:szCs w:val="24"/>
                  </w:rPr>
                </w:pPr>
                <w:r>
                  <w:rPr>
                    <w:color w:val="000000"/>
                    <w:szCs w:val="24"/>
                  </w:rPr>
                  <w:t>Esant klausos susilpnėjimui (vienos arba abiejų ausų), kai kalba girdima mažesniu kaip 5 m atstumu, gydytojas otorinolaringologas atlieka audiogramą. Jeigu geriau girdinčios ausies klausos sutrikimo laipsnis, esant 500 ir 1000 Hz dažniui, viršija 40 dB, būtina naudoti klausos ir susikalbėjimo pagalbinę priemonę (taikomas apribojimas 02).</w:t>
                </w:r>
              </w:p>
              <w:p>
                <w:pPr>
                  <w:rPr>
                    <w:color w:val="000000"/>
                    <w:szCs w:val="24"/>
                  </w:rPr>
                </w:pPr>
                <w:r>
                  <w:rPr>
                    <w:color w:val="000000"/>
                    <w:szCs w:val="24"/>
                  </w:rPr>
                  <w:t>2 grupė:</w:t>
                </w:r>
              </w:p>
              <w:p>
                <w:pPr>
                  <w:rPr>
                    <w:color w:val="000000"/>
                    <w:szCs w:val="24"/>
                  </w:rPr>
                </w:pPr>
                <w:r>
                  <w:rPr>
                    <w:color w:val="000000"/>
                    <w:szCs w:val="24"/>
                  </w:rPr>
                  <w:t>Vairuotojo pažymėjimai gali būti išduoti klausos sutrikimų turintiems kandidatams į vairuotojus ar atnaujinti vairuotojams, atsižvelgiant į gydytojo otorinolaringologo išvadas.</w:t>
                </w:r>
              </w:p>
              <w:p>
                <w:pPr>
                  <w:rPr>
                    <w:color w:val="000000"/>
                    <w:szCs w:val="24"/>
                  </w:rPr>
                </w:pPr>
                <w:r>
                  <w:rPr>
                    <w:color w:val="000000"/>
                    <w:szCs w:val="24"/>
                  </w:rPr>
                  <w:t>Jeigu geriau girdinčios ausies klausos sutrikimo laipsnis, esant 500 ir 1000 Hz dažniui, viršija 40 dB, būtina naudoti klausos ir susikalbėjimo pagalbinę priemonę (taikomas apribojimas 02).</w:t>
                </w:r>
              </w:p>
              <w:p>
                <w:pPr>
                  <w:rPr>
                    <w:b/>
                    <w:bCs/>
                    <w:szCs w:val="24"/>
                  </w:rPr>
                </w:pPr>
                <w:r>
                  <w:rPr>
                    <w:color w:val="000000"/>
                    <w:szCs w:val="24"/>
                  </w:rPr>
                  <w:t>Pakartotinis sveikatos tikrinimas skiriamas po 1 metų.</w:t>
                </w:r>
              </w:p>
            </w:tc>
            <w:tc>
              <w:tcPr>
                <w:tcW w:w="2370" w:type="dxa"/>
                <w:tcBorders>
                  <w:left w:val="single" w:sz="4" w:space="0" w:color="auto"/>
                  <w:bottom w:val="single" w:sz="4" w:space="0" w:color="auto"/>
                  <w:right w:val="single" w:sz="4" w:space="0" w:color="auto"/>
                </w:tcBorders>
                <w:vAlign w:val="center"/>
              </w:tcPr>
              <w:p>
                <w:pPr>
                  <w:jc w:val="center"/>
                  <w:rPr>
                    <w:szCs w:val="24"/>
                  </w:rPr>
                </w:pPr>
              </w:p>
            </w:tc>
            <w:tc>
              <w:tcPr>
                <w:tcW w:w="2370" w:type="dxa"/>
                <w:tcBorders>
                  <w:left w:val="single" w:sz="4" w:space="0" w:color="auto"/>
                  <w:bottom w:val="single" w:sz="4" w:space="0" w:color="auto"/>
                  <w:right w:val="single" w:sz="4" w:space="0" w:color="auto"/>
                </w:tcBorders>
                <w:vAlign w:val="center"/>
              </w:tcPr>
              <w:p>
                <w:pPr>
                  <w:jc w:val="center"/>
                  <w:rPr>
                    <w:szCs w:val="24"/>
                  </w:rPr>
                </w:pPr>
              </w:p>
            </w:tc>
          </w:tr>
          <w:tr>
            <w:trPr>
              <w:trHeight w:val="1659"/>
            </w:trPr>
            <w:tc>
              <w:tcPr>
                <w:tcW w:w="891" w:type="dxa"/>
                <w:vMerge/>
                <w:tcBorders>
                  <w:left w:val="single" w:sz="4" w:space="0" w:color="auto"/>
                  <w:bottom w:val="single" w:sz="4" w:space="0" w:color="auto"/>
                  <w:right w:val="single" w:sz="4" w:space="0" w:color="auto"/>
                </w:tcBorders>
              </w:tcPr>
              <w:p>
                <w:pPr>
                  <w:rPr>
                    <w:szCs w:val="24"/>
                  </w:rPr>
                </w:pPr>
              </w:p>
            </w:tc>
            <w:tc>
              <w:tcPr>
                <w:tcW w:w="9109" w:type="dxa"/>
                <w:vMerge/>
                <w:tcBorders>
                  <w:left w:val="single" w:sz="4" w:space="0" w:color="auto"/>
                  <w:bottom w:val="single" w:sz="4" w:space="0" w:color="auto"/>
                  <w:right w:val="single" w:sz="4" w:space="0" w:color="auto"/>
                </w:tcBorders>
              </w:tcPr>
              <w:p>
                <w:pPr>
                  <w:rPr>
                    <w:color w:val="000000"/>
                    <w:szCs w:val="24"/>
                  </w:rPr>
                </w:pPr>
              </w:p>
            </w:tc>
            <w:tc>
              <w:tcPr>
                <w:tcW w:w="2370" w:type="dxa"/>
                <w:tcBorders>
                  <w:top w:val="single" w:sz="4" w:space="0" w:color="auto"/>
                  <w:left w:val="single" w:sz="4" w:space="0" w:color="auto"/>
                  <w:bottom w:val="single" w:sz="4" w:space="0" w:color="auto"/>
                  <w:right w:val="single" w:sz="4" w:space="0" w:color="auto"/>
                </w:tcBorders>
                <w:vAlign w:val="center"/>
              </w:tcPr>
              <w:p>
                <w:pPr>
                  <w:jc w:val="center"/>
                  <w:rPr>
                    <w:szCs w:val="24"/>
                  </w:rPr>
                </w:pPr>
              </w:p>
            </w:tc>
            <w:tc>
              <w:tcPr>
                <w:tcW w:w="2370" w:type="dxa"/>
                <w:tcBorders>
                  <w:top w:val="single" w:sz="4" w:space="0" w:color="auto"/>
                  <w:left w:val="single" w:sz="4" w:space="0" w:color="auto"/>
                  <w:bottom w:val="single" w:sz="4" w:space="0" w:color="auto"/>
                  <w:right w:val="single" w:sz="4" w:space="0" w:color="auto"/>
                </w:tcBorders>
                <w:vAlign w:val="center"/>
              </w:tcPr>
              <w:p>
                <w:pPr>
                  <w:jc w:val="center"/>
                  <w:rPr>
                    <w:szCs w:val="24"/>
                  </w:rPr>
                </w:pPr>
              </w:p>
            </w:tc>
          </w:tr>
          <w:tr>
            <w:trPr>
              <w:trHeight w:val="23"/>
            </w:trPr>
            <w:tc>
              <w:tcPr>
                <w:tcW w:w="891" w:type="dxa"/>
                <w:tcBorders>
                  <w:top w:val="single" w:sz="4" w:space="0" w:color="auto"/>
                  <w:left w:val="single" w:sz="4" w:space="0" w:color="auto"/>
                  <w:bottom w:val="single" w:sz="4" w:space="0" w:color="auto"/>
                  <w:right w:val="single" w:sz="4" w:space="0" w:color="auto"/>
                </w:tcBorders>
              </w:tcPr>
              <w:p>
                <w:pPr>
                  <w:rPr>
                    <w:szCs w:val="24"/>
                  </w:rPr>
                </w:pPr>
                <w:r>
                  <w:rPr>
                    <w:szCs w:val="24"/>
                  </w:rPr>
                  <w:t>2.1.</w:t>
                </w:r>
              </w:p>
            </w:tc>
            <w:tc>
              <w:tcPr>
                <w:tcW w:w="9109" w:type="dxa"/>
                <w:tcBorders>
                  <w:top w:val="single" w:sz="4" w:space="0" w:color="auto"/>
                  <w:left w:val="single" w:sz="4" w:space="0" w:color="auto"/>
                  <w:bottom w:val="single" w:sz="4" w:space="0" w:color="auto"/>
                  <w:right w:val="single" w:sz="4" w:space="0" w:color="auto"/>
                </w:tcBorders>
              </w:tcPr>
              <w:p>
                <w:pPr>
                  <w:rPr>
                    <w:szCs w:val="24"/>
                  </w:rPr>
                </w:pPr>
                <w:r>
                  <w:rPr>
                    <w:color w:val="000000"/>
                    <w:szCs w:val="24"/>
                  </w:rPr>
                  <w:t>Visiškas kurtumas, kurčnebylumas: H91.3, H91.9</w:t>
                </w:r>
              </w:p>
            </w:tc>
            <w:tc>
              <w:tcPr>
                <w:tcW w:w="2370" w:type="dxa"/>
                <w:tcBorders>
                  <w:top w:val="single" w:sz="4" w:space="0" w:color="auto"/>
                  <w:left w:val="single" w:sz="4" w:space="0" w:color="auto"/>
                  <w:bottom w:val="single" w:sz="4" w:space="0" w:color="auto"/>
                  <w:right w:val="single" w:sz="4" w:space="0" w:color="auto"/>
                </w:tcBorders>
                <w:vAlign w:val="center"/>
              </w:tcPr>
              <w:p>
                <w:pPr>
                  <w:jc w:val="center"/>
                  <w:rPr>
                    <w:strike/>
                    <w:szCs w:val="24"/>
                  </w:rPr>
                </w:pPr>
                <w:r>
                  <w:rPr>
                    <w:szCs w:val="24"/>
                    <w:lang w:eastAsia="lt-LT"/>
                  </w:rPr>
                  <w:t xml:space="preserve">Spręsti individualiai </w:t>
                </w:r>
              </w:p>
            </w:tc>
            <w:tc>
              <w:tcPr>
                <w:tcW w:w="2370" w:type="dxa"/>
                <w:tcBorders>
                  <w:top w:val="single" w:sz="4" w:space="0" w:color="auto"/>
                  <w:left w:val="single" w:sz="4" w:space="0" w:color="auto"/>
                  <w:bottom w:val="single" w:sz="4" w:space="0" w:color="auto"/>
                  <w:right w:val="single" w:sz="4" w:space="0" w:color="auto"/>
                </w:tcBorders>
                <w:vAlign w:val="center"/>
              </w:tcPr>
              <w:p>
                <w:pPr>
                  <w:jc w:val="center"/>
                  <w:rPr>
                    <w:strike/>
                    <w:szCs w:val="24"/>
                  </w:rPr>
                </w:pPr>
                <w:r>
                  <w:rPr>
                    <w:szCs w:val="24"/>
                    <w:lang w:eastAsia="lt-LT"/>
                  </w:rPr>
                  <w:t xml:space="preserve">Spręsti individualiai </w:t>
                </w:r>
              </w:p>
            </w:tc>
          </w:tr>
          <w:tr>
            <w:trPr>
              <w:trHeight w:val="285"/>
            </w:trPr>
            <w:tc>
              <w:tcPr>
                <w:tcW w:w="891" w:type="dxa"/>
                <w:tcBorders>
                  <w:top w:val="single" w:sz="4" w:space="0" w:color="auto"/>
                  <w:left w:val="single" w:sz="4" w:space="0" w:color="auto"/>
                  <w:bottom w:val="single" w:sz="4" w:space="0" w:color="auto"/>
                  <w:right w:val="single" w:sz="4" w:space="0" w:color="auto"/>
                </w:tcBorders>
              </w:tcPr>
              <w:p>
                <w:pPr>
                  <w:rPr>
                    <w:szCs w:val="24"/>
                  </w:rPr>
                </w:pPr>
                <w:r>
                  <w:rPr>
                    <w:szCs w:val="24"/>
                  </w:rPr>
                  <w:t>2.2.</w:t>
                </w:r>
              </w:p>
            </w:tc>
            <w:tc>
              <w:tcPr>
                <w:tcW w:w="9109" w:type="dxa"/>
                <w:tcBorders>
                  <w:top w:val="single" w:sz="4" w:space="0" w:color="auto"/>
                  <w:left w:val="single" w:sz="4" w:space="0" w:color="auto"/>
                  <w:bottom w:val="single" w:sz="4" w:space="0" w:color="auto"/>
                  <w:right w:val="single" w:sz="4" w:space="0" w:color="auto"/>
                </w:tcBorders>
              </w:tcPr>
              <w:p>
                <w:pPr>
                  <w:rPr>
                    <w:szCs w:val="24"/>
                  </w:rPr>
                </w:pPr>
                <w:r>
                  <w:rPr>
                    <w:color w:val="000000"/>
                    <w:szCs w:val="24"/>
                  </w:rPr>
                  <w:t xml:space="preserve">Lėtinis vienos arba abiejų ausų uždegimas, komplikuotas cholestestomos, granuliacijų, </w:t>
                </w:r>
              </w:p>
            </w:tc>
            <w:tc>
              <w:tcPr>
                <w:tcW w:w="2370" w:type="dxa"/>
                <w:tcBorders>
                  <w:top w:val="single" w:sz="4" w:space="0" w:color="auto"/>
                  <w:left w:val="single" w:sz="4" w:space="0" w:color="auto"/>
                  <w:bottom w:val="single" w:sz="4" w:space="0" w:color="auto"/>
                  <w:right w:val="single" w:sz="4" w:space="0" w:color="auto"/>
                </w:tcBorders>
                <w:vAlign w:val="center"/>
              </w:tcPr>
              <w:p>
                <w:pPr>
                  <w:jc w:val="center"/>
                  <w:rPr>
                    <w:szCs w:val="24"/>
                  </w:rPr>
                </w:pPr>
                <w:r>
                  <w:rPr>
                    <w:szCs w:val="24"/>
                    <w:lang w:eastAsia="lt-LT"/>
                  </w:rPr>
                  <w:t xml:space="preserve">Visos transporto </w:t>
                </w:r>
              </w:p>
            </w:tc>
            <w:tc>
              <w:tcPr>
                <w:tcW w:w="2370" w:type="dxa"/>
                <w:tcBorders>
                  <w:top w:val="single" w:sz="4" w:space="0" w:color="auto"/>
                  <w:left w:val="single" w:sz="4" w:space="0" w:color="auto"/>
                  <w:bottom w:val="single" w:sz="4" w:space="0" w:color="auto"/>
                  <w:right w:val="single" w:sz="4" w:space="0" w:color="auto"/>
                </w:tcBorders>
                <w:vAlign w:val="center"/>
              </w:tcPr>
              <w:p>
                <w:pPr>
                  <w:jc w:val="center"/>
                  <w:rPr>
                    <w:szCs w:val="24"/>
                  </w:rPr>
                </w:pPr>
                <w:r>
                  <w:rPr>
                    <w:szCs w:val="24"/>
                    <w:lang w:eastAsia="lt-LT"/>
                  </w:rPr>
                  <w:t xml:space="preserve">Visos transporto </w:t>
                </w:r>
              </w:p>
            </w:tc>
          </w:tr>
          <w:tr>
            <w:trPr>
              <w:trHeight w:val="1108"/>
            </w:trPr>
            <w:tc>
              <w:tcPr>
                <w:tcW w:w="891" w:type="dxa"/>
                <w:tcBorders>
                  <w:top w:val="single" w:sz="4" w:space="0" w:color="auto"/>
                  <w:left w:val="single" w:sz="4" w:space="0" w:color="auto"/>
                  <w:bottom w:val="single" w:sz="4" w:space="0" w:color="auto"/>
                  <w:right w:val="single" w:sz="4" w:space="0" w:color="auto"/>
                </w:tcBorders>
              </w:tcPr>
              <w:p>
                <w:pPr>
                  <w:rPr>
                    <w:szCs w:val="24"/>
                  </w:rPr>
                </w:pPr>
              </w:p>
            </w:tc>
            <w:tc>
              <w:tcPr>
                <w:tcW w:w="9109" w:type="dxa"/>
                <w:tcBorders>
                  <w:top w:val="single" w:sz="4" w:space="0" w:color="auto"/>
                  <w:left w:val="single" w:sz="4" w:space="0" w:color="auto"/>
                  <w:right w:val="single" w:sz="4" w:space="0" w:color="auto"/>
                </w:tcBorders>
              </w:tcPr>
              <w:p>
                <w:pPr>
                  <w:rPr>
                    <w:color w:val="000000"/>
                    <w:szCs w:val="24"/>
                  </w:rPr>
                </w:pPr>
                <w:r>
                  <w:rPr>
                    <w:color w:val="000000"/>
                    <w:szCs w:val="24"/>
                  </w:rPr>
                  <w:t>polipų, labirinto fistulės, taip pat nesant efekto po operacijos: H66.1, H66.2, H66.3, H66.4</w:t>
                </w:r>
              </w:p>
              <w:p>
                <w:pPr>
                  <w:rPr>
                    <w:color w:val="000000"/>
                    <w:szCs w:val="24"/>
                  </w:rPr>
                </w:pPr>
                <w:r>
                  <w:rPr>
                    <w:color w:val="000000"/>
                    <w:szCs w:val="24"/>
                  </w:rPr>
                  <w:t>PASTABA.</w:t>
                </w:r>
              </w:p>
              <w:p>
                <w:pPr>
                  <w:rPr>
                    <w:color w:val="000000"/>
                    <w:szCs w:val="24"/>
                  </w:rPr>
                </w:pPr>
                <w:r>
                  <w:rPr>
                    <w:color w:val="000000"/>
                    <w:szCs w:val="24"/>
                  </w:rPr>
                  <w:t>Po chirurginio gydymo, kai rezultatai geri, nėra svaigimo ir kontraindikacijų, sprendžiama individualiai.</w:t>
                </w:r>
              </w:p>
            </w:tc>
            <w:tc>
              <w:tcPr>
                <w:tcW w:w="2370" w:type="dxa"/>
                <w:tcBorders>
                  <w:top w:val="single" w:sz="4" w:space="0" w:color="auto"/>
                  <w:left w:val="single" w:sz="4" w:space="0" w:color="auto"/>
                  <w:right w:val="single" w:sz="4" w:space="0" w:color="auto"/>
                </w:tcBorders>
                <w:vAlign w:val="center"/>
              </w:tcPr>
              <w:p>
                <w:pPr>
                  <w:jc w:val="center"/>
                  <w:rPr>
                    <w:szCs w:val="24"/>
                    <w:lang w:eastAsia="lt-LT"/>
                  </w:rPr>
                </w:pPr>
                <w:r>
                  <w:rPr>
                    <w:szCs w:val="24"/>
                    <w:lang w:eastAsia="lt-LT"/>
                  </w:rPr>
                  <w:t>priemonės</w:t>
                </w:r>
              </w:p>
            </w:tc>
            <w:tc>
              <w:tcPr>
                <w:tcW w:w="2370" w:type="dxa"/>
                <w:tcBorders>
                  <w:top w:val="single" w:sz="4" w:space="0" w:color="auto"/>
                  <w:left w:val="single" w:sz="4" w:space="0" w:color="auto"/>
                  <w:right w:val="single" w:sz="4" w:space="0" w:color="auto"/>
                </w:tcBorders>
                <w:vAlign w:val="center"/>
              </w:tcPr>
              <w:p>
                <w:pPr>
                  <w:jc w:val="center"/>
                  <w:rPr>
                    <w:szCs w:val="24"/>
                    <w:lang w:eastAsia="lt-LT"/>
                  </w:rPr>
                </w:pPr>
                <w:r>
                  <w:rPr>
                    <w:szCs w:val="24"/>
                    <w:lang w:eastAsia="lt-LT"/>
                  </w:rPr>
                  <w:t>priemonės</w:t>
                </w:r>
              </w:p>
            </w:tc>
          </w:tr>
          <w:tr>
            <w:trPr>
              <w:trHeight w:val="23"/>
            </w:trPr>
            <w:tc>
              <w:tcPr>
                <w:tcW w:w="891" w:type="dxa"/>
                <w:tcBorders>
                  <w:top w:val="single" w:sz="4" w:space="0" w:color="auto"/>
                  <w:left w:val="single" w:sz="4" w:space="0" w:color="auto"/>
                  <w:bottom w:val="single" w:sz="4" w:space="0" w:color="auto"/>
                  <w:right w:val="single" w:sz="4" w:space="0" w:color="auto"/>
                </w:tcBorders>
              </w:tcPr>
              <w:p>
                <w:pPr>
                  <w:rPr>
                    <w:szCs w:val="24"/>
                  </w:rPr>
                </w:pPr>
                <w:r>
                  <w:rPr>
                    <w:szCs w:val="24"/>
                  </w:rPr>
                  <w:t>3.</w:t>
                </w:r>
              </w:p>
            </w:tc>
            <w:tc>
              <w:tcPr>
                <w:tcW w:w="9109" w:type="dxa"/>
                <w:tcBorders>
                  <w:top w:val="single" w:sz="4" w:space="0" w:color="auto"/>
                  <w:left w:val="single" w:sz="4" w:space="0" w:color="auto"/>
                  <w:bottom w:val="single" w:sz="4" w:space="0" w:color="auto"/>
                  <w:right w:val="single" w:sz="4" w:space="0" w:color="auto"/>
                </w:tcBorders>
              </w:tcPr>
              <w:p>
                <w:pPr>
                  <w:jc w:val="both"/>
                  <w:rPr>
                    <w:color w:val="000000"/>
                    <w:szCs w:val="24"/>
                    <w:lang w:eastAsia="lt-LT"/>
                  </w:rPr>
                </w:pPr>
                <w:r>
                  <w:rPr>
                    <w:color w:val="000000"/>
                    <w:szCs w:val="24"/>
                    <w:lang w:eastAsia="lt-LT"/>
                  </w:rPr>
                  <w:t>ASMENYS, TURINTYS JUDĖJIMO SUTRIKIMŲ</w:t>
                </w:r>
              </w:p>
              <w:p>
                <w:pPr>
                  <w:jc w:val="both"/>
                  <w:rPr>
                    <w:color w:val="000000"/>
                    <w:szCs w:val="24"/>
                    <w:lang w:eastAsia="lt-LT"/>
                  </w:rPr>
                </w:pPr>
                <w:r>
                  <w:rPr>
                    <w:color w:val="000000"/>
                    <w:szCs w:val="24"/>
                    <w:lang w:eastAsia="lt-LT"/>
                  </w:rPr>
                  <w:t>Vairuotojo pažymėjimai neišduodami kandidatams į vairuotojus ir neatnaujinami vairuotojams, kuriems nustatyti judėjimo sistemos sutrikimai, keliantys pavojų saugiam variklio varomos priemonės vairavimui.</w:t>
                </w:r>
              </w:p>
              <w:p>
                <w:pPr>
                  <w:jc w:val="both"/>
                  <w:rPr>
                    <w:color w:val="000000"/>
                    <w:szCs w:val="24"/>
                    <w:lang w:eastAsia="lt-LT"/>
                  </w:rPr>
                </w:pPr>
                <w:r>
                  <w:rPr>
                    <w:color w:val="000000"/>
                    <w:szCs w:val="24"/>
                    <w:lang w:eastAsia="lt-LT"/>
                  </w:rPr>
                  <w:t>1 grupė:</w:t>
                </w:r>
              </w:p>
              <w:p>
                <w:pPr>
                  <w:jc w:val="both"/>
                  <w:rPr>
                    <w:color w:val="000000"/>
                    <w:szCs w:val="24"/>
                    <w:lang w:eastAsia="lt-LT"/>
                  </w:rPr>
                </w:pPr>
                <w:r>
                  <w:rPr>
                    <w:color w:val="000000"/>
                    <w:szCs w:val="24"/>
                    <w:lang w:eastAsia="lt-LT"/>
                  </w:rPr>
                  <w:t>1. Vairuotojo pažymėjimai, kuriems taikomi tam tikri apribojimai, fiziškai neįgaliems kandidatams į vairuotojus ir vairuotojams išduodami atsižvelgiant į vairuotojų sveikatos tikrinimo arba asmens sveikatos priežiūros įstaigos gydytojų konsultacinės komisijos (toliau kartu – gydytojų komisija) išvadą.</w:t>
                </w:r>
              </w:p>
              <w:p>
                <w:pPr>
                  <w:jc w:val="both"/>
                  <w:rPr>
                    <w:color w:val="000000"/>
                    <w:szCs w:val="24"/>
                    <w:lang w:eastAsia="lt-LT"/>
                  </w:rPr>
                </w:pPr>
                <w:r>
                  <w:rPr>
                    <w:color w:val="000000"/>
                    <w:szCs w:val="24"/>
                    <w:lang w:eastAsia="lt-LT"/>
                  </w:rPr>
                  <w:t>Ši išvada turi būti pagrįsta atitinkamo sutrikimo medicininiu įvertinimu ir, jei būtina, vairavimo gebėjimų ir elgsenos praktiniu patikrinimu. Išvadoje turi būti nurodyta, koks transporto priemonės pritaikymas reikalingas ir ar vairuotojui reikalinga ortopedijos techninė priemonė, kuria naudojantis, atsižvelgiant į vairavimo gebėjimų ir elgsenos patikrinimo rezultatus, vairavimas nekeltų pavojaus.</w:t>
                </w:r>
              </w:p>
              <w:p>
                <w:pPr>
                  <w:jc w:val="both"/>
                  <w:rPr>
                    <w:color w:val="000000"/>
                    <w:szCs w:val="24"/>
                    <w:lang w:eastAsia="lt-LT"/>
                  </w:rPr>
                </w:pPr>
                <w:r>
                  <w:rPr>
                    <w:color w:val="000000"/>
                    <w:szCs w:val="24"/>
                    <w:lang w:eastAsia="lt-LT"/>
                  </w:rPr>
                  <w:t>Gydytojų komisija gali iš karto priimti individualų sprendimą dėl asmenų, turinčių judėjimo sutrikimų, galimybės vairuoti, kai asmeniui saugiai vairuoti pakanka tik transporto priemonės su automatine pavarų dėže arba transporto priemonės su rankinio valdymo sistema.</w:t>
                </w:r>
              </w:p>
              <w:p>
                <w:pPr>
                  <w:jc w:val="both"/>
                  <w:rPr>
                    <w:color w:val="000000"/>
                    <w:szCs w:val="24"/>
                    <w:lang w:eastAsia="lt-LT"/>
                  </w:rPr>
                </w:pPr>
                <w:r>
                  <w:rPr>
                    <w:color w:val="000000"/>
                    <w:szCs w:val="24"/>
                    <w:lang w:eastAsia="lt-LT"/>
                  </w:rPr>
                  <w:t>Jeigu asmuo, turintis judėjimo sutrikimų, gali vairuoti tik transporto priemonę su automatine pavarų dėže, išvadoje įrašomas transporto priemonės pritaikymo kodas 10.02 (automatinis pavaros perdavimo skaičiaus parinkimas).</w:t>
                </w:r>
              </w:p>
              <w:p>
                <w:pPr>
                  <w:jc w:val="both"/>
                  <w:rPr>
                    <w:color w:val="000000"/>
                    <w:szCs w:val="24"/>
                    <w:lang w:eastAsia="lt-LT"/>
                  </w:rPr>
                </w:pPr>
                <w:r>
                  <w:rPr>
                    <w:color w:val="000000"/>
                    <w:szCs w:val="24"/>
                    <w:lang w:eastAsia="lt-LT"/>
                  </w:rPr>
                  <w:t>Jeigu asmuo, turintis judėjimo sutrikimų, gali vairuoti tik transporto priemonę su rankinio valdymo sistema, priklausomai nuo to, ar asmuo planuoja vairuoti automobilį su automatine ar mechanine pavarų dėže, išvadoje įrašomi 3 transporto priemonės pritaikymo kodai:</w:t>
                </w:r>
              </w:p>
              <w:p>
                <w:pPr>
                  <w:jc w:val="both"/>
                  <w:rPr>
                    <w:color w:val="000000"/>
                    <w:szCs w:val="24"/>
                    <w:lang w:eastAsia="lt-LT"/>
                  </w:rPr>
                </w:pPr>
                <w:r>
                  <w:rPr>
                    <w:color w:val="000000"/>
                    <w:szCs w:val="24"/>
                    <w:lang w:eastAsia="lt-LT"/>
                  </w:rPr>
                  <w:t>a) 20.06 (ranka valdomas stabdys), 25.04 (ranka valdomas akseleratorius) ir 10.02 (automatinis pavaros perdavimo skaičiaus parinkimas) – transporto priemonei su automatine pavarų dėže;</w:t>
                </w:r>
              </w:p>
              <w:p>
                <w:pPr>
                  <w:jc w:val="both"/>
                  <w:rPr>
                    <w:color w:val="000000"/>
                    <w:szCs w:val="24"/>
                    <w:lang w:eastAsia="lt-LT"/>
                  </w:rPr>
                </w:pPr>
                <w:r>
                  <w:rPr>
                    <w:color w:val="000000"/>
                    <w:szCs w:val="24"/>
                    <w:lang w:eastAsia="lt-LT"/>
                  </w:rPr>
                  <w:t>b) 20.06 (ranka valdomas stabdys), 25.04 (ranka valdomas akseleratorius) ir 15.02 (ranka valdoma sankaba) – transporto priemonei su mechanine pavarų dėže (šią kodų kombinaciją rekomenduojama naudoti, kai asmens sveikata tikrinama ne pirmą kartą ir jis jau vairuoja automobilį su mechanine pavarų dėže).</w:t>
                </w:r>
              </w:p>
              <w:p>
                <w:pPr>
                  <w:jc w:val="both"/>
                  <w:rPr>
                    <w:color w:val="000000"/>
                    <w:szCs w:val="24"/>
                    <w:lang w:eastAsia="lt-LT"/>
                  </w:rPr>
                </w:pPr>
                <w:r>
                  <w:rPr>
                    <w:color w:val="000000"/>
                    <w:szCs w:val="24"/>
                    <w:lang w:eastAsia="lt-LT"/>
                  </w:rPr>
                  <w:t>2 grupė:</w:t>
                </w:r>
              </w:p>
              <w:p>
                <w:pPr>
                  <w:jc w:val="both"/>
                  <w:rPr>
                    <w:color w:val="000000"/>
                    <w:szCs w:val="24"/>
                    <w:lang w:eastAsia="lt-LT"/>
                  </w:rPr>
                </w:pPr>
                <w:r>
                  <w:rPr>
                    <w:color w:val="000000"/>
                    <w:szCs w:val="24"/>
                    <w:lang w:eastAsia="lt-LT"/>
                  </w:rPr>
                  <w:t>2. Gydytojų komisija įvertina papildomą riziką ir pavojus, kurie kyla vairuojant prie šios grupės priskiriamas transporto priemones.</w:t>
                </w:r>
              </w:p>
              <w:p>
                <w:pPr>
                  <w:jc w:val="both"/>
                  <w:rPr>
                    <w:szCs w:val="24"/>
                  </w:rPr>
                </w:pPr>
                <w:r>
                  <w:rPr>
                    <w:color w:val="000000"/>
                    <w:szCs w:val="24"/>
                    <w:lang w:eastAsia="lt-LT"/>
                  </w:rPr>
                  <w:t>Jeigu gydytojų komisija nusprendžia, kad išvadai dėl tikrinamo asmens sveikatos būklės tinkamumo vairuoti 1 ar 2 grupės transporto priemones priimti nepakanka turimos informacijos, tikrinamas asmuo siunčiamas praktiškai patikrinti vairavimo gebėjimų į įstaigą, turinčią įrangą, leidžiančią įvertinti specifinius vairavimo gebėjimus (vairo pasukimo jėgą, ištvermę, rankinio akseleratoriaus stūmimo, traukimo jėgą, reakcijos greitį, pedalo paspaudimo jėgą ir kt.) ir galinčią pateikti rekomendacijas dėl asmens gebėjimo saugiai vairuoti ir tam būtino transporto priemonės pritaikymo (nurodant transporto priemonės pritaikymo kodus) ir (ar) ortopedijos techninės priemonės reikalingumo.</w:t>
                </w:r>
              </w:p>
            </w:tc>
            <w:tc>
              <w:tcPr>
                <w:tcW w:w="2370" w:type="dxa"/>
                <w:tcBorders>
                  <w:top w:val="single" w:sz="4" w:space="0" w:color="auto"/>
                  <w:left w:val="single" w:sz="4" w:space="0" w:color="auto"/>
                  <w:bottom w:val="single" w:sz="4" w:space="0" w:color="auto"/>
                  <w:right w:val="single" w:sz="4" w:space="0" w:color="auto"/>
                </w:tcBorders>
                <w:vAlign w:val="center"/>
              </w:tcPr>
              <w:p>
                <w:pPr>
                  <w:jc w:val="center"/>
                  <w:rPr>
                    <w:szCs w:val="24"/>
                  </w:rPr>
                </w:pPr>
              </w:p>
            </w:tc>
            <w:tc>
              <w:tcPr>
                <w:tcW w:w="2370" w:type="dxa"/>
                <w:tcBorders>
                  <w:top w:val="single" w:sz="4" w:space="0" w:color="auto"/>
                  <w:left w:val="single" w:sz="4" w:space="0" w:color="auto"/>
                  <w:bottom w:val="single" w:sz="4" w:space="0" w:color="auto"/>
                  <w:right w:val="single" w:sz="4" w:space="0" w:color="auto"/>
                </w:tcBorders>
                <w:vAlign w:val="center"/>
              </w:tcPr>
              <w:p>
                <w:pPr>
                  <w:jc w:val="center"/>
                  <w:rPr>
                    <w:szCs w:val="24"/>
                  </w:rPr>
                </w:pPr>
              </w:p>
            </w:tc>
          </w:tr>
          <w:tr>
            <w:trPr>
              <w:trHeight w:val="23"/>
            </w:trPr>
            <w:tc>
              <w:tcPr>
                <w:tcW w:w="891" w:type="dxa"/>
                <w:tcBorders>
                  <w:top w:val="single" w:sz="4" w:space="0" w:color="auto"/>
                  <w:left w:val="single" w:sz="6" w:space="0" w:color="auto"/>
                  <w:bottom w:val="single" w:sz="4" w:space="0" w:color="auto"/>
                  <w:right w:val="single" w:sz="6" w:space="0" w:color="auto"/>
                </w:tcBorders>
              </w:tcPr>
              <w:p>
                <w:pPr>
                  <w:rPr>
                    <w:szCs w:val="24"/>
                  </w:rPr>
                </w:pPr>
                <w:r>
                  <w:rPr>
                    <w:szCs w:val="24"/>
                  </w:rPr>
                  <w:t>3.1.</w:t>
                </w:r>
              </w:p>
            </w:tc>
            <w:tc>
              <w:tcPr>
                <w:tcW w:w="9109" w:type="dxa"/>
                <w:tcBorders>
                  <w:top w:val="single" w:sz="4" w:space="0" w:color="auto"/>
                  <w:left w:val="single" w:sz="6" w:space="0" w:color="auto"/>
                  <w:bottom w:val="single" w:sz="4" w:space="0" w:color="auto"/>
                  <w:right w:val="single" w:sz="6" w:space="0" w:color="auto"/>
                </w:tcBorders>
              </w:tcPr>
              <w:p>
                <w:pPr>
                  <w:jc w:val="both"/>
                  <w:rPr>
                    <w:b/>
                    <w:bCs/>
                    <w:szCs w:val="24"/>
                    <w:lang w:eastAsia="lt-LT"/>
                  </w:rPr>
                </w:pPr>
                <w:r>
                  <w:rPr>
                    <w:szCs w:val="24"/>
                    <w:lang w:eastAsia="lt-LT"/>
                  </w:rPr>
                  <w:t>Rankos, kojos, plaštakos, pėdos ar abiejų plaštakų, pėdų trūkumas, žymios deformacijos, dėl kurių yra sutrikusi lokomotorinė funkcija: Z89.1, Z 89.2, Z 89.3, Z 89.4, Z 89.5, Z 89.6, Z 89.7, Z 89.8, Z 89.9</w:t>
                </w:r>
                <w:r>
                  <w:rPr>
                    <w:b/>
                    <w:bCs/>
                    <w:szCs w:val="24"/>
                    <w:lang w:eastAsia="lt-LT"/>
                  </w:rPr>
                  <w:t>.</w:t>
                </w:r>
              </w:p>
              <w:p>
                <w:pPr>
                  <w:jc w:val="both"/>
                  <w:rPr>
                    <w:szCs w:val="24"/>
                    <w:lang w:eastAsia="lt-LT"/>
                  </w:rPr>
                </w:pPr>
                <w:r>
                  <w:rPr>
                    <w:szCs w:val="24"/>
                    <w:lang w:eastAsia="lt-LT"/>
                  </w:rPr>
                  <w:t>PASTABA.</w:t>
                </w:r>
              </w:p>
              <w:p>
                <w:pPr>
                  <w:jc w:val="both"/>
                  <w:rPr>
                    <w:szCs w:val="24"/>
                    <w:lang w:eastAsia="lt-LT"/>
                  </w:rPr>
                </w:pPr>
                <w:r>
                  <w:rPr>
                    <w:szCs w:val="24"/>
                    <w:lang w:eastAsia="lt-LT"/>
                  </w:rPr>
                  <w:t>Visų transporto priemonių kategorijų vairuotojams turi būti nurodyta, koks transporto priemonės pritaikymas reikalingas ir ar vairuotojui reikalinga ortopedijos techninė priemonė, kuria naudojantis vairavimas nekeltų pavojaus.</w:t>
                </w:r>
              </w:p>
              <w:p>
                <w:pPr>
                  <w:rPr>
                    <w:szCs w:val="24"/>
                  </w:rPr>
                </w:pPr>
              </w:p>
            </w:tc>
            <w:tc>
              <w:tcPr>
                <w:tcW w:w="2370" w:type="dxa"/>
                <w:tcBorders>
                  <w:top w:val="single" w:sz="4" w:space="0" w:color="auto"/>
                  <w:left w:val="single" w:sz="6" w:space="0" w:color="auto"/>
                  <w:bottom w:val="single" w:sz="4" w:space="0" w:color="auto"/>
                  <w:right w:val="single" w:sz="6" w:space="0" w:color="auto"/>
                </w:tcBorders>
                <w:vAlign w:val="center"/>
              </w:tcPr>
              <w:p>
                <w:pPr>
                  <w:jc w:val="center"/>
                  <w:rPr>
                    <w:color w:val="000000"/>
                    <w:szCs w:val="24"/>
                    <w:lang w:eastAsia="lt-LT"/>
                  </w:rPr>
                </w:pPr>
                <w:r>
                  <w:rPr>
                    <w:color w:val="000000"/>
                    <w:szCs w:val="24"/>
                    <w:lang w:eastAsia="lt-LT"/>
                  </w:rPr>
                  <w:t>Spręsti individualiai, prireikus taikant reikiamą apribojimą</w:t>
                </w:r>
              </w:p>
              <w:p>
                <w:pPr>
                  <w:jc w:val="center"/>
                  <w:rPr>
                    <w:color w:val="000000"/>
                    <w:szCs w:val="24"/>
                    <w:lang w:eastAsia="lt-LT"/>
                  </w:rPr>
                </w:pPr>
                <w:r>
                  <w:rPr>
                    <w:color w:val="000000"/>
                    <w:szCs w:val="24"/>
                    <w:lang w:eastAsia="lt-LT"/>
                  </w:rPr>
                  <w:t>03.01, 03.02</w:t>
                </w:r>
              </w:p>
              <w:p>
                <w:pPr>
                  <w:jc w:val="center"/>
                  <w:rPr>
                    <w:szCs w:val="24"/>
                  </w:rPr>
                </w:pPr>
                <w:r>
                  <w:rPr>
                    <w:color w:val="000000"/>
                    <w:szCs w:val="24"/>
                    <w:lang w:eastAsia="lt-LT"/>
                  </w:rPr>
                  <w:t>bei nurodant reikalingą transporto priemonės pritaikymo kodą (nuo 10 iki 50), nurodytą 5 lentelėje</w:t>
                </w:r>
              </w:p>
            </w:tc>
            <w:tc>
              <w:tcPr>
                <w:tcW w:w="2370" w:type="dxa"/>
                <w:tcBorders>
                  <w:top w:val="single" w:sz="4" w:space="0" w:color="auto"/>
                  <w:bottom w:val="single" w:sz="4" w:space="0" w:color="auto"/>
                  <w:right w:val="single" w:sz="6" w:space="0" w:color="auto"/>
                </w:tcBorders>
                <w:vAlign w:val="center"/>
              </w:tcPr>
              <w:p>
                <w:pPr>
                  <w:jc w:val="center"/>
                  <w:rPr>
                    <w:color w:val="000000"/>
                    <w:szCs w:val="24"/>
                    <w:lang w:eastAsia="lt-LT"/>
                  </w:rPr>
                </w:pPr>
                <w:r>
                  <w:rPr>
                    <w:color w:val="000000"/>
                    <w:szCs w:val="24"/>
                    <w:lang w:eastAsia="lt-LT"/>
                  </w:rPr>
                  <w:t>Spręsti individualiai, prireikus taikant reikiamą apribojimą</w:t>
                </w:r>
              </w:p>
              <w:p>
                <w:pPr>
                  <w:jc w:val="center"/>
                  <w:rPr>
                    <w:color w:val="000000"/>
                    <w:szCs w:val="24"/>
                    <w:lang w:eastAsia="lt-LT"/>
                  </w:rPr>
                </w:pPr>
                <w:r>
                  <w:rPr>
                    <w:color w:val="000000"/>
                    <w:szCs w:val="24"/>
                    <w:lang w:eastAsia="lt-LT"/>
                  </w:rPr>
                  <w:t>03.01, 03.02</w:t>
                </w:r>
              </w:p>
              <w:p>
                <w:pPr>
                  <w:jc w:val="center"/>
                  <w:rPr>
                    <w:strike/>
                    <w:szCs w:val="24"/>
                  </w:rPr>
                </w:pPr>
                <w:r>
                  <w:rPr>
                    <w:color w:val="000000"/>
                    <w:szCs w:val="24"/>
                    <w:lang w:eastAsia="lt-LT"/>
                  </w:rPr>
                  <w:t>bei nurodant reikalingą transporto priemonės pritaikymo kodą (nuo 10 iki 50), nurodytą 5 lentelėje</w:t>
                </w:r>
              </w:p>
            </w:tc>
          </w:tr>
          <w:tr>
            <w:trPr>
              <w:trHeight w:val="23"/>
            </w:trPr>
            <w:tc>
              <w:tcPr>
                <w:tcW w:w="891" w:type="dxa"/>
                <w:tcBorders>
                  <w:top w:val="single" w:sz="4" w:space="0" w:color="auto"/>
                  <w:left w:val="single" w:sz="4" w:space="0" w:color="auto"/>
                  <w:bottom w:val="single" w:sz="4" w:space="0" w:color="auto"/>
                  <w:right w:val="single" w:sz="4" w:space="0" w:color="auto"/>
                </w:tcBorders>
              </w:tcPr>
              <w:p>
                <w:pPr>
                  <w:rPr>
                    <w:szCs w:val="24"/>
                  </w:rPr>
                </w:pPr>
                <w:r>
                  <w:rPr>
                    <w:color w:val="000000"/>
                    <w:szCs w:val="24"/>
                  </w:rPr>
                  <w:t>3.2.</w:t>
                </w:r>
              </w:p>
            </w:tc>
            <w:tc>
              <w:tcPr>
                <w:tcW w:w="9109" w:type="dxa"/>
                <w:tcBorders>
                  <w:top w:val="single" w:sz="4" w:space="0" w:color="auto"/>
                  <w:left w:val="single" w:sz="4" w:space="0" w:color="auto"/>
                  <w:bottom w:val="single" w:sz="4" w:space="0" w:color="auto"/>
                  <w:right w:val="single" w:sz="4" w:space="0" w:color="auto"/>
                </w:tcBorders>
              </w:tcPr>
              <w:p>
                <w:pPr>
                  <w:jc w:val="both"/>
                  <w:rPr>
                    <w:color w:val="000000"/>
                    <w:szCs w:val="24"/>
                    <w:lang w:eastAsia="lt-LT"/>
                  </w:rPr>
                </w:pPr>
                <w:r>
                  <w:rPr>
                    <w:color w:val="000000"/>
                    <w:szCs w:val="24"/>
                    <w:lang w:eastAsia="lt-LT"/>
                  </w:rPr>
                  <w:t>Abiejų rankų trūkumas arba abiejų rankų plaštakų, pirštų kontraktūros, ankilozės, nejudrumas, trukdantys sugriebti ir išlaikyti daiktą, abiejų pečių, alkūnių, riešų sąnarių ankilozės, kontraktūros (net ir fiziologiškai patogios padėties): Z89.3, M24.5, M24.6</w:t>
                </w:r>
                <w:r>
                  <w:rPr>
                    <w:b/>
                    <w:bCs/>
                    <w:color w:val="000000"/>
                    <w:szCs w:val="24"/>
                    <w:lang w:eastAsia="lt-LT"/>
                  </w:rPr>
                  <w:t>.</w:t>
                </w:r>
              </w:p>
              <w:p>
                <w:pPr>
                  <w:jc w:val="both"/>
                  <w:rPr>
                    <w:szCs w:val="24"/>
                    <w:lang w:eastAsia="lt-LT"/>
                  </w:rPr>
                </w:pPr>
                <w:r>
                  <w:rPr>
                    <w:szCs w:val="24"/>
                    <w:lang w:eastAsia="lt-LT"/>
                  </w:rPr>
                  <w:t>PASTABA.</w:t>
                </w:r>
              </w:p>
              <w:p>
                <w:pPr>
                  <w:jc w:val="both"/>
                  <w:rPr>
                    <w:color w:val="000000"/>
                    <w:szCs w:val="24"/>
                    <w:lang w:eastAsia="lt-LT"/>
                  </w:rPr>
                </w:pPr>
                <w:r>
                  <w:rPr>
                    <w:color w:val="000000"/>
                    <w:szCs w:val="24"/>
                    <w:lang w:eastAsia="lt-LT"/>
                  </w:rPr>
                  <w:t>Visų transporto priemonių kategorijų vairuotojams turi būti nurodyta, koks transporto priemonės pritaikymas reikalingas ir ar vairuotojui reikalinga ortopedijos techninė priemonė, kuria naudojantis vairavimas nekeltų pavojaus. Apie galimybę vairuoti rankinio valdymo ar su automatine pavarų dėže automobilį sprendžiama individualiai.</w:t>
                </w:r>
              </w:p>
              <w:p>
                <w:pPr>
                  <w:rPr>
                    <w:color w:val="000000"/>
                    <w:szCs w:val="24"/>
                  </w:rPr>
                </w:pPr>
              </w:p>
            </w:tc>
            <w:tc>
              <w:tcPr>
                <w:tcW w:w="2370" w:type="dxa"/>
                <w:tcBorders>
                  <w:top w:val="single" w:sz="4" w:space="0" w:color="auto"/>
                  <w:left w:val="single" w:sz="4" w:space="0" w:color="auto"/>
                  <w:bottom w:val="single" w:sz="4" w:space="0" w:color="auto"/>
                  <w:right w:val="single" w:sz="4" w:space="0" w:color="auto"/>
                </w:tcBorders>
                <w:vAlign w:val="center"/>
              </w:tcPr>
              <w:p>
                <w:pPr>
                  <w:jc w:val="center"/>
                  <w:rPr>
                    <w:color w:val="000000"/>
                    <w:szCs w:val="24"/>
                    <w:lang w:eastAsia="lt-LT"/>
                  </w:rPr>
                </w:pPr>
                <w:r>
                  <w:rPr>
                    <w:color w:val="000000"/>
                    <w:szCs w:val="24"/>
                    <w:lang w:eastAsia="lt-LT"/>
                  </w:rPr>
                  <w:t>Spręsti individualiai, prireikus taikant apribojimą 03.01</w:t>
                </w:r>
              </w:p>
              <w:p>
                <w:pPr>
                  <w:jc w:val="center"/>
                  <w:rPr>
                    <w:szCs w:val="24"/>
                  </w:rPr>
                </w:pPr>
                <w:r>
                  <w:rPr>
                    <w:color w:val="000000"/>
                    <w:szCs w:val="24"/>
                    <w:lang w:eastAsia="lt-LT"/>
                  </w:rPr>
                  <w:t>bei nurodant reikalingą transporto priemonės pritaikymo kodą (nuo 10 iki 50), nurodytą 5 lentelėje</w:t>
                </w:r>
              </w:p>
            </w:tc>
            <w:tc>
              <w:tcPr>
                <w:tcW w:w="2370" w:type="dxa"/>
                <w:tcBorders>
                  <w:top w:val="single" w:sz="4" w:space="0" w:color="auto"/>
                  <w:left w:val="single" w:sz="4" w:space="0" w:color="auto"/>
                  <w:bottom w:val="single" w:sz="4" w:space="0" w:color="auto"/>
                  <w:right w:val="single" w:sz="4" w:space="0" w:color="auto"/>
                </w:tcBorders>
                <w:vAlign w:val="center"/>
              </w:tcPr>
              <w:p>
                <w:pPr>
                  <w:jc w:val="center"/>
                  <w:rPr>
                    <w:color w:val="000000"/>
                    <w:szCs w:val="24"/>
                    <w:lang w:eastAsia="lt-LT"/>
                  </w:rPr>
                </w:pPr>
                <w:r>
                  <w:rPr>
                    <w:color w:val="000000"/>
                    <w:szCs w:val="24"/>
                    <w:lang w:eastAsia="lt-LT"/>
                  </w:rPr>
                  <w:t>Spręsti individualiai, prireikus taikant apribojimą 03.01</w:t>
                </w:r>
              </w:p>
              <w:p>
                <w:pPr>
                  <w:jc w:val="center"/>
                  <w:rPr>
                    <w:szCs w:val="24"/>
                  </w:rPr>
                </w:pPr>
                <w:r>
                  <w:rPr>
                    <w:color w:val="000000"/>
                    <w:szCs w:val="24"/>
                    <w:lang w:eastAsia="lt-LT"/>
                  </w:rPr>
                  <w:t>bei nurodant reikalingą transporto priemonės pritaikymo kodą (nuo 10 iki 50), nurodytą 5 lentelėje</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w:t>
                </w:r>
              </w:p>
            </w:tc>
            <w:tc>
              <w:tcPr>
                <w:tcW w:w="9109" w:type="dxa"/>
                <w:tcBorders>
                  <w:top w:val="single" w:sz="6" w:space="0" w:color="auto"/>
                  <w:left w:val="single" w:sz="6" w:space="0" w:color="auto"/>
                  <w:bottom w:val="single" w:sz="6" w:space="0" w:color="auto"/>
                  <w:right w:val="single" w:sz="6" w:space="0" w:color="auto"/>
                </w:tcBorders>
              </w:tcPr>
              <w:p>
                <w:pPr>
                  <w:rPr>
                    <w:b/>
                    <w:bCs/>
                    <w:sz w:val="22"/>
                    <w:szCs w:val="22"/>
                  </w:rPr>
                </w:pPr>
                <w:r>
                  <w:rPr>
                    <w:b/>
                    <w:bCs/>
                    <w:sz w:val="22"/>
                    <w:szCs w:val="22"/>
                  </w:rPr>
                  <w:t>ŠIRDIES IR KRAUJAGYSLIŲ LIGOS</w:t>
                </w:r>
              </w:p>
              <w:p>
                <w:pPr>
                  <w:rPr>
                    <w:b/>
                    <w:bCs/>
                    <w:sz w:val="22"/>
                    <w:szCs w:val="22"/>
                  </w:rPr>
                </w:pPr>
                <w:r>
                  <w:rPr>
                    <w:sz w:val="22"/>
                    <w:szCs w:val="22"/>
                    <w:lang w:eastAsia="lt-LT"/>
                  </w:rPr>
                  <w:t>Dėl širdies ir kraujagyslių sistemos sutrikimų ar ligų gali staiga sutrikti cerebrinės funkcijos, o tai kelia pavojų kelių eismo saugumui. Atsižvelgiant į šiuos sutrikimus nustatomi šie laikini ar nuolatiniai vairavimo apribojimai</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4.1.</w:t>
                </w:r>
              </w:p>
            </w:tc>
            <w:tc>
              <w:tcPr>
                <w:tcW w:w="9109"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lang w:eastAsia="lt-LT"/>
                  </w:rPr>
                  <w:t>Vairuotojo pažymėjimai gali būti išduodami prie nurodytų grupių priskiriamiems kandidatams į vairuotojus arba atnaujinami vairuotojams, patyrusiems toliau išvardytus širdies ir kraujagyslių sistemų sutrikimus, tik po veiksmingo šių sutrikimų gydymo, jei tie asmenys turi atitinkamo gydytojo išvadą, kad gali vairuoti, ir jei atitinkamais atvejais reguliariai atliekamas tų asmenų sveikatos būklės vertinimas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p>
            </w:tc>
            <w:tc>
              <w:tcPr>
                <w:tcW w:w="9109"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lang w:eastAsia="lt-LT"/>
                  </w:rPr>
                  <w:t>1 ir 2 grupės: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4.1.1.</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bradiaritmiją (sinusinio mazgo disfunkciją ir laidumo sutrikimus) bei tachiaritmiją (prieširdžių ir skilvelinę aritmiją), kai dėl šių aritmijų patiriama sinkopė ar jos epizodai: I45.9, I45.3, I45.6, I49.0, I49.5, I47.0, I47.1, I47.2, I47.9</w:t>
                </w:r>
              </w:p>
              <w:p>
                <w:pPr>
                  <w:rPr>
                    <w:b/>
                    <w:sz w:val="22"/>
                    <w:szCs w:val="22"/>
                    <w:lang w:eastAsia="lt-LT"/>
                  </w:rPr>
                </w:pPr>
                <w:r>
                  <w:rPr>
                    <w:sz w:val="22"/>
                    <w:szCs w:val="22"/>
                    <w:lang w:eastAsia="lt-LT"/>
                  </w:rPr>
                  <w:t>(1 grupės vairuotojams reikalingas šeimos gydytojo, 2 grupės vairuotojams –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4.1.2.</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tachiaritmiją (prieširdžių ir skilvelinę aritmiją), sergantiems struktūrine širdies liga ir pasireiškiančią ilgalaike skilveline tachikardija arba skilvelių tachisistolija: I47.0, I47.1, I47.2, I47.9, I48.2</w:t>
                </w:r>
              </w:p>
              <w:p>
                <w:pPr>
                  <w:rPr>
                    <w:sz w:val="22"/>
                    <w:szCs w:val="22"/>
                  </w:rPr>
                </w:pPr>
                <w:r>
                  <w:rPr>
                    <w:sz w:val="22"/>
                    <w:szCs w:val="22"/>
                    <w:lang w:eastAsia="lt-LT"/>
                  </w:rPr>
                  <w:t>(1 ir 2 grupės vairuotojams reikalingas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4.1.3.</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simptominę anginą:</w:t>
                </w:r>
                <w:r>
                  <w:rPr>
                    <w:sz w:val="22"/>
                    <w:szCs w:val="22"/>
                  </w:rPr>
                  <w:t xml:space="preserve"> I20</w:t>
                </w:r>
              </w:p>
              <w:p>
                <w:pPr>
                  <w:rPr>
                    <w:sz w:val="22"/>
                    <w:szCs w:val="22"/>
                  </w:rPr>
                </w:pPr>
                <w:r>
                  <w:rPr>
                    <w:sz w:val="22"/>
                    <w:szCs w:val="22"/>
                    <w:lang w:eastAsia="lt-LT"/>
                  </w:rPr>
                  <w:t xml:space="preserve">(I ir II funkcinės klasės atvejais 1 ir 2 grupės vairuotojams reikalingas šeimos gydytojo leidimas, o </w:t>
                </w:r>
                <w:r>
                  <w:rPr>
                    <w:sz w:val="22"/>
                    <w:szCs w:val="22"/>
                  </w:rPr>
                  <w:t xml:space="preserve">III ir IV funkcinės klasės atvejais </w:t>
                </w:r>
                <w:r>
                  <w:rPr>
                    <w:sz w:val="22"/>
                    <w:szCs w:val="22"/>
                    <w:lang w:eastAsia="lt-LT"/>
                  </w:rPr>
                  <w:t>1 ir 2 grupės vairuotojams reikalingas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4.1.4</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rPr>
                  <w:t xml:space="preserve">sinkopę </w:t>
                </w:r>
                <w:r>
                  <w:rPr>
                    <w:sz w:val="22"/>
                    <w:szCs w:val="22"/>
                    <w:lang w:eastAsia="lt-LT"/>
                  </w:rPr>
                  <w:t>–</w:t>
                </w:r>
                <w:r>
                  <w:rPr>
                    <w:sz w:val="22"/>
                    <w:szCs w:val="22"/>
                  </w:rPr>
                  <w:t xml:space="preserve"> trumpalaikį, greitai prasidedantį ir savaime praeinantį refleksinį sąmonės netekimą, kūno suglebimą, atsirandantį dėl nežinomų priežasčių, pablogėjus bendrajai smegenų kraujotakai, kai nėra duomenų, kad tokį sutrikimą lemtų širdies liga: </w:t>
                </w:r>
                <w:r>
                  <w:rPr>
                    <w:sz w:val="22"/>
                    <w:szCs w:val="22"/>
                    <w:lang w:eastAsia="lt-LT"/>
                  </w:rPr>
                  <w:t>R55</w:t>
                </w:r>
              </w:p>
              <w:p>
                <w:pPr>
                  <w:rPr>
                    <w:sz w:val="22"/>
                    <w:szCs w:val="22"/>
                  </w:rPr>
                </w:pPr>
                <w:r>
                  <w:rPr>
                    <w:sz w:val="22"/>
                    <w:szCs w:val="22"/>
                    <w:lang w:eastAsia="lt-LT"/>
                  </w:rPr>
                  <w:t>(1 ir 2 grupės vairuotojams reikalingas gydytojo kardiologo arba neurologo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4.1.5.</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ūmų koronarinį sindromą: I21, I22, I25.2</w:t>
                </w:r>
              </w:p>
              <w:p>
                <w:pPr>
                  <w:rPr>
                    <w:sz w:val="22"/>
                    <w:szCs w:val="22"/>
                    <w:lang w:eastAsia="lt-LT"/>
                  </w:rPr>
                </w:pPr>
                <w:r>
                  <w:rPr>
                    <w:sz w:val="22"/>
                    <w:szCs w:val="22"/>
                    <w:lang w:eastAsia="lt-LT"/>
                  </w:rPr>
                  <w:t>(I25.2 atveju – per vienų metų laikotarpį patirtas miokardo infarktas)</w:t>
                </w:r>
              </w:p>
              <w:p>
                <w:pPr>
                  <w:rPr>
                    <w:sz w:val="22"/>
                    <w:szCs w:val="22"/>
                  </w:rPr>
                </w:pPr>
                <w:r>
                  <w:rPr>
                    <w:sz w:val="22"/>
                    <w:szCs w:val="22"/>
                    <w:lang w:eastAsia="lt-LT"/>
                  </w:rPr>
                  <w:t>(1 ir 2 grupės vairuotojams reikalingas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Cs w:val="24"/>
                  </w:rPr>
                </w:pPr>
                <w:r>
                  <w:rPr>
                    <w:szCs w:val="24"/>
                  </w:rPr>
                  <w:t>4.1.6.</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stabiliąją krūtinės anginą, jei simptomai nepasireiškia atliekant lengvus pratimus (I ir II funkcinės klasės atvejais): I20</w:t>
                </w:r>
              </w:p>
              <w:p>
                <w:pPr>
                  <w:rPr>
                    <w:sz w:val="22"/>
                    <w:szCs w:val="22"/>
                  </w:rPr>
                </w:pPr>
                <w:r>
                  <w:rPr>
                    <w:sz w:val="22"/>
                    <w:szCs w:val="22"/>
                    <w:lang w:eastAsia="lt-LT"/>
                  </w:rPr>
                  <w:t>(1 ir 2 grupės vairuotojams reikalingas šeimos gydytojo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Cs w:val="24"/>
                  </w:rPr>
                </w:pPr>
                <w:r>
                  <w:rPr>
                    <w:szCs w:val="24"/>
                  </w:rPr>
                  <w:t>4.1.7.</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kuriems atlikta perkutaninė koronarinė intervencija: Z95.5</w:t>
                </w:r>
              </w:p>
              <w:p>
                <w:pPr>
                  <w:rPr>
                    <w:sz w:val="22"/>
                    <w:szCs w:val="22"/>
                  </w:rPr>
                </w:pPr>
                <w:r>
                  <w:rPr>
                    <w:sz w:val="22"/>
                    <w:szCs w:val="22"/>
                    <w:lang w:eastAsia="lt-LT"/>
                  </w:rPr>
                  <w:t>(1 grupės vairuotojams reikalingas šeimos gydytojo, 2 grupės vairuotojams –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Cs w:val="24"/>
                  </w:rPr>
                </w:pPr>
                <w:r>
                  <w:rPr>
                    <w:szCs w:val="24"/>
                  </w:rPr>
                  <w:t>4.1.8</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kuriems atliktas koronarinių arterijų šuntavimas: Z95.1</w:t>
                </w:r>
              </w:p>
              <w:p>
                <w:pPr>
                  <w:rPr>
                    <w:sz w:val="22"/>
                    <w:szCs w:val="22"/>
                  </w:rPr>
                </w:pPr>
                <w:r>
                  <w:rPr>
                    <w:sz w:val="22"/>
                    <w:szCs w:val="22"/>
                    <w:lang w:eastAsia="lt-LT"/>
                  </w:rPr>
                  <w:t>(1 grupės vairuotojams reikalingas šeimos gydytojo, 2 grupės vairuotojams –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Cs w:val="24"/>
                  </w:rPr>
                </w:pPr>
                <w:r>
                  <w:rPr>
                    <w:szCs w:val="24"/>
                  </w:rPr>
                  <w:t>4.1.9.</w:t>
                </w:r>
              </w:p>
            </w:tc>
            <w:tc>
              <w:tcPr>
                <w:tcW w:w="9109"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ūminį/praeinantį (tranzitinį) smegenų išemijos priepuolį</w:t>
                </w:r>
                <w:r>
                  <w:rPr>
                    <w:sz w:val="22"/>
                    <w:szCs w:val="22"/>
                    <w:lang w:eastAsia="lt-LT"/>
                  </w:rPr>
                  <w:t>:</w:t>
                </w:r>
                <w:r>
                  <w:rPr>
                    <w:sz w:val="22"/>
                    <w:szCs w:val="22"/>
                  </w:rPr>
                  <w:t xml:space="preserve"> G45, I63</w:t>
                </w:r>
              </w:p>
              <w:p>
                <w:pPr>
                  <w:rPr>
                    <w:sz w:val="22"/>
                    <w:szCs w:val="22"/>
                  </w:rPr>
                </w:pPr>
                <w:r>
                  <w:rPr>
                    <w:sz w:val="22"/>
                    <w:szCs w:val="22"/>
                    <w:lang w:eastAsia="lt-LT"/>
                  </w:rPr>
                  <w:t>(1 ir 2 grupės vairuotojams reikalingas gydytojo neurologo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Cs w:val="24"/>
                  </w:rPr>
                </w:pPr>
                <w:r>
                  <w:rPr>
                    <w:szCs w:val="24"/>
                  </w:rPr>
                  <w:t>4.1.10.</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kuriems atlikta širdies transplantacija: Z94.1</w:t>
                </w:r>
              </w:p>
              <w:p>
                <w:pPr>
                  <w:rPr>
                    <w:sz w:val="22"/>
                    <w:szCs w:val="22"/>
                  </w:rPr>
                </w:pPr>
                <w:r>
                  <w:rPr>
                    <w:sz w:val="22"/>
                    <w:szCs w:val="22"/>
                    <w:lang w:eastAsia="lt-LT"/>
                  </w:rPr>
                  <w:t xml:space="preserve">(1 ir 2 grupės vairuotojams reikalingas gydytojo kardiologo leidimas) </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Cs w:val="24"/>
                  </w:rPr>
                </w:pPr>
                <w:r>
                  <w:rPr>
                    <w:szCs w:val="24"/>
                  </w:rPr>
                  <w:t>4.1.11.</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kuriems atlikta širdies vožtuvo operacija: Z95.2, Z95.4</w:t>
                </w:r>
              </w:p>
              <w:p>
                <w:pPr>
                  <w:rPr>
                    <w:sz w:val="22"/>
                    <w:szCs w:val="22"/>
                  </w:rPr>
                </w:pPr>
                <w:r>
                  <w:rPr>
                    <w:sz w:val="22"/>
                    <w:szCs w:val="22"/>
                    <w:lang w:eastAsia="lt-LT"/>
                  </w:rPr>
                  <w:t xml:space="preserve">(1 ir 2 grupės vairuotojams pirmus metus po operacijos reikalingas gydytojo kardiologo leidimas, vėliau – šeimos gydytojo leidimas) </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Cs w:val="24"/>
                  </w:rPr>
                </w:pPr>
                <w:r>
                  <w:rPr>
                    <w:szCs w:val="24"/>
                  </w:rPr>
                  <w:t>4.1.12.</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piktybinę hipertenziją, pasireiškiančią pakilusiu sistoliniu kraujospūdžiu (≥ 180 mmHg) arba diastoliniu kraujospūdžiu (≥ 110 mmHg) ir gręsiančiu ar laipsnišku organų pažeidimu: I10, I15</w:t>
                </w:r>
              </w:p>
              <w:p>
                <w:pPr>
                  <w:rPr>
                    <w:sz w:val="22"/>
                    <w:szCs w:val="22"/>
                  </w:rPr>
                </w:pPr>
                <w:r>
                  <w:rPr>
                    <w:sz w:val="22"/>
                    <w:szCs w:val="22"/>
                    <w:lang w:eastAsia="lt-LT"/>
                  </w:rPr>
                  <w:t>(1 ir 2 grupės vairuotojams reikalingas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Cs w:val="24"/>
                  </w:rPr>
                </w:pPr>
                <w:r>
                  <w:rPr>
                    <w:szCs w:val="24"/>
                  </w:rPr>
                  <w:t>4.1.13.</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kurie turi įgimtą širdies ydą: Q20, Q21, Q24</w:t>
                </w:r>
              </w:p>
              <w:p>
                <w:pPr>
                  <w:rPr>
                    <w:sz w:val="22"/>
                    <w:szCs w:val="22"/>
                  </w:rPr>
                </w:pPr>
                <w:r>
                  <w:rPr>
                    <w:sz w:val="22"/>
                    <w:szCs w:val="22"/>
                    <w:lang w:eastAsia="lt-LT"/>
                  </w:rPr>
                  <w:t>(jeigu įgimta širdies yda yra hemodinamiškai reikšminga, 1 ir 2 grupės vairuotojams reikalingas gydytojo kardiologo leidimas, kitais atvejais – šeimos gydytojo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Cs w:val="24"/>
                  </w:rPr>
                </w:pP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1 grupė:</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4.1.14.</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kuriems implantuotas ar pakeistas defibriliatorius arba kurie patyrė tinkamą ar netinkamą defibriliatoriaus iškrovą: Z95.0</w:t>
                </w:r>
              </w:p>
              <w:p>
                <w:pPr>
                  <w:rPr>
                    <w:sz w:val="22"/>
                    <w:szCs w:val="22"/>
                    <w:lang w:eastAsia="lt-LT"/>
                  </w:rPr>
                </w:pPr>
                <w:r>
                  <w:rPr>
                    <w:sz w:val="22"/>
                    <w:szCs w:val="22"/>
                    <w:lang w:eastAsia="lt-LT"/>
                  </w:rPr>
                  <w:t>(jeigu defibriliatorius implantuotas pirminei prevencijai, draudžiama vairuoti 4 sav. po implantacijos, o jeigu antrinei prevencijai – 3 mėn. po implantacijos. Po tikslingos</w:t>
                </w:r>
                <w:r>
                  <w:rPr>
                    <w:sz w:val="22"/>
                    <w:szCs w:val="22"/>
                  </w:rPr>
                  <w:t xml:space="preserve"> </w:t>
                </w:r>
                <w:r>
                  <w:rPr>
                    <w:sz w:val="22"/>
                    <w:szCs w:val="22"/>
                    <w:lang w:eastAsia="lt-LT"/>
                  </w:rPr>
                  <w:t>defibriliatoriaus iškrovos draudžiama vairuoti 3 mėn., po netikslingos iškrovos draudžiama vairuoti, kol nebus pašalinta ją sukėlusi priežastis. Po defibriliatoriaus pakeitimo draudžiama vairuoti 1 sav., po laidų pakeitimo draudžiama vairuoti 4 sav.)</w:t>
                </w:r>
              </w:p>
              <w:p>
                <w:pPr>
                  <w:rPr>
                    <w:sz w:val="22"/>
                    <w:szCs w:val="22"/>
                  </w:rPr>
                </w:pPr>
                <w:r>
                  <w:rPr>
                    <w:sz w:val="22"/>
                    <w:szCs w:val="22"/>
                    <w:lang w:eastAsia="lt-LT"/>
                  </w:rPr>
                  <w:t>(reikalingas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4.1.15.</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širdies nepakankamumą I, II, III klasių pagal Niujorko širdies asociacijos (toliau – NYHA) klasifikaciją: I50</w:t>
                </w:r>
              </w:p>
              <w:p>
                <w:pPr>
                  <w:rPr>
                    <w:sz w:val="22"/>
                    <w:szCs w:val="22"/>
                  </w:rPr>
                </w:pPr>
                <w:r>
                  <w:rPr>
                    <w:sz w:val="22"/>
                    <w:szCs w:val="22"/>
                    <w:lang w:eastAsia="lt-LT"/>
                  </w:rPr>
                  <w:t xml:space="preserve">(I ir II funkcinės klasės atvejais reikalingas šeimos gydytojo leidimas, o </w:t>
                </w:r>
                <w:r>
                  <w:rPr>
                    <w:sz w:val="22"/>
                    <w:szCs w:val="22"/>
                  </w:rPr>
                  <w:t xml:space="preserve">III funkcinės klasės atveju </w:t>
                </w:r>
                <w:r>
                  <w:rPr>
                    <w:sz w:val="22"/>
                    <w:szCs w:val="22"/>
                    <w:lang w:eastAsia="lt-LT"/>
                  </w:rPr>
                  <w:t>–</w:t>
                </w:r>
                <w:r>
                  <w:rPr>
                    <w:sz w:val="22"/>
                    <w:szCs w:val="22"/>
                  </w:rPr>
                  <w:t xml:space="preserve"> </w:t>
                </w:r>
                <w:r>
                  <w:rPr>
                    <w:sz w:val="22"/>
                    <w:szCs w:val="22"/>
                    <w:lang w:eastAsia="lt-LT"/>
                  </w:rPr>
                  <w:t>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4.1.16.</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kurie naudoja širdies veiklą palaikančią priemonę (prietaisą) (dirbtinį skilvelį ilgalaikei mechaninei asistuojančiai kraujotakai palaikyti): Z95.8</w:t>
                </w:r>
              </w:p>
              <w:p>
                <w:pPr>
                  <w:rPr>
                    <w:sz w:val="22"/>
                    <w:szCs w:val="22"/>
                  </w:rPr>
                </w:pPr>
                <w:r>
                  <w:rPr>
                    <w:sz w:val="22"/>
                    <w:szCs w:val="22"/>
                    <w:lang w:eastAsia="lt-LT"/>
                  </w:rPr>
                  <w:t>(reikalingas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4.1.17.</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hipertrofinę kardiomiopatiją, jei nepasireiškia sinkopė: I42, I42.1, I42.2</w:t>
                </w:r>
              </w:p>
              <w:p>
                <w:pPr>
                  <w:rPr>
                    <w:sz w:val="22"/>
                    <w:szCs w:val="22"/>
                  </w:rPr>
                </w:pPr>
                <w:r>
                  <w:rPr>
                    <w:sz w:val="22"/>
                    <w:szCs w:val="22"/>
                    <w:lang w:eastAsia="lt-LT"/>
                  </w:rPr>
                  <w:t>(reikalingas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4.1.18.</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ilgo QT sindromą, pasireiškiantį sinkope, polimorfine skilvelių tachikardija (</w:t>
                </w:r>
                <w:r>
                  <w:rPr>
                    <w:i/>
                    <w:sz w:val="22"/>
                    <w:szCs w:val="22"/>
                    <w:lang w:eastAsia="lt-LT"/>
                  </w:rPr>
                  <w:t>torsade des pointes</w:t>
                </w:r>
                <w:r>
                  <w:rPr>
                    <w:sz w:val="22"/>
                    <w:szCs w:val="22"/>
                    <w:lang w:eastAsia="lt-LT"/>
                  </w:rPr>
                  <w:t>) arba didesniu kaip 500 ms QTc: I49.8</w:t>
                </w:r>
              </w:p>
              <w:p>
                <w:pPr>
                  <w:rPr>
                    <w:sz w:val="22"/>
                    <w:szCs w:val="22"/>
                  </w:rPr>
                </w:pPr>
                <w:r>
                  <w:rPr>
                    <w:sz w:val="22"/>
                    <w:szCs w:val="22"/>
                    <w:lang w:eastAsia="lt-LT"/>
                  </w:rPr>
                  <w:t>(reikalingas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2 grupė:</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Cs w:val="24"/>
                  </w:rPr>
                </w:pPr>
                <w:r>
                  <w:rPr>
                    <w:szCs w:val="24"/>
                  </w:rPr>
                  <w:t>4.1.19.</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bradiaritmiją: simptominę sinusinio mazgo disfunkciją ir laidumo sutrikimus su antrojo laipsnio Mobico II tipo atrioventrikuline (AV) blokada, trečiojo laipsnio AV blokada arba intermituojančia Hiso pluošto kojyčių blokada: I44.1, I44.2, I44.7, I49.5</w:t>
                </w:r>
              </w:p>
              <w:p>
                <w:pPr>
                  <w:rPr>
                    <w:sz w:val="22"/>
                    <w:szCs w:val="22"/>
                  </w:rPr>
                </w:pPr>
                <w:r>
                  <w:rPr>
                    <w:sz w:val="22"/>
                    <w:szCs w:val="22"/>
                    <w:lang w:eastAsia="lt-LT"/>
                  </w:rPr>
                  <w:t>(reikalingas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Cs w:val="24"/>
                  </w:rPr>
                </w:pPr>
                <w:r>
                  <w:rPr>
                    <w:szCs w:val="24"/>
                  </w:rPr>
                  <w:t>4.1.20.</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pavojingą tachiaritmiją (polimorfinę trumpalaikę skilvelinę tachikardiją ar ilgalaikę skilvelinę tachikardiją) arba būklę, kai rekomenduojamas defibriliatoriaus implantavimas: I47.0, I47.2</w:t>
                </w:r>
              </w:p>
              <w:p>
                <w:pPr>
                  <w:rPr>
                    <w:sz w:val="22"/>
                    <w:szCs w:val="22"/>
                  </w:rPr>
                </w:pPr>
                <w:r>
                  <w:rPr>
                    <w:sz w:val="22"/>
                    <w:szCs w:val="22"/>
                    <w:lang w:eastAsia="lt-LT"/>
                  </w:rPr>
                  <w:t>(reikalingas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Cs w:val="24"/>
                  </w:rPr>
                </w:pPr>
                <w:r>
                  <w:rPr>
                    <w:szCs w:val="24"/>
                  </w:rPr>
                  <w:t>4.1.21.</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kuriems implantuotas arba pakeistas nuolatinis širdies stimuliatorius: Z95.0</w:t>
                </w:r>
              </w:p>
              <w:p>
                <w:pPr>
                  <w:rPr>
                    <w:sz w:val="22"/>
                    <w:szCs w:val="22"/>
                  </w:rPr>
                </w:pPr>
                <w:r>
                  <w:rPr>
                    <w:sz w:val="22"/>
                    <w:szCs w:val="22"/>
                    <w:lang w:eastAsia="lt-LT"/>
                  </w:rPr>
                  <w:t>(reikalingas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Cs w:val="24"/>
                  </w:rPr>
                </w:pPr>
                <w:r>
                  <w:rPr>
                    <w:szCs w:val="24"/>
                  </w:rPr>
                  <w:t>4.1.22.</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didelę miego arterijos stenozę: I65.2</w:t>
                </w:r>
              </w:p>
              <w:p>
                <w:pPr>
                  <w:rPr>
                    <w:sz w:val="22"/>
                    <w:szCs w:val="22"/>
                  </w:rPr>
                </w:pPr>
                <w:r>
                  <w:rPr>
                    <w:sz w:val="22"/>
                    <w:szCs w:val="22"/>
                    <w:lang w:eastAsia="lt-LT"/>
                  </w:rPr>
                  <w:t>(reikalingas gydytojo neurologo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Cs w:val="24"/>
                  </w:rPr>
                </w:pPr>
                <w:r>
                  <w:rPr>
                    <w:szCs w:val="24"/>
                  </w:rPr>
                  <w:t>4.1.23.</w:t>
                </w:r>
              </w:p>
            </w:tc>
            <w:tc>
              <w:tcPr>
                <w:tcW w:w="9109"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lang w:eastAsia="lt-LT"/>
                  </w:rPr>
                  <w:t>kurių didžiausias kylančiosios aortos skersmuo didesnis kaip 5,5 cm: I71.2</w:t>
                </w:r>
              </w:p>
              <w:tbl>
                <w:tblPr>
                  <w:tblW w:w="5000" w:type="pct"/>
                  <w:tblCellSpacing w:w="0" w:type="dxa"/>
                  <w:tblLayout w:type="fixed"/>
                  <w:tblCellMar>
                    <w:left w:w="0" w:type="dxa"/>
                    <w:right w:w="0" w:type="dxa"/>
                  </w:tblCellMar>
                  <w:tblLook w:val="04A0" w:firstRow="1" w:lastRow="0" w:firstColumn="1" w:lastColumn="0" w:noHBand="0" w:noVBand="1"/>
                </w:tblPr>
                <w:tblGrid>
                  <w:gridCol w:w="20"/>
                  <w:gridCol w:w="9009"/>
                </w:tblGrid>
                <w:tr>
                  <w:trPr>
                    <w:tblCellSpacing w:w="0" w:type="dxa"/>
                  </w:trPr>
                  <w:tc>
                    <w:tcPr>
                      <w:tcW w:w="14" w:type="dxa"/>
                      <w:hideMark/>
                    </w:tcPr>
                    <w:p>
                      <w:pPr>
                        <w:rPr>
                          <w:sz w:val="22"/>
                          <w:szCs w:val="22"/>
                          <w:lang w:eastAsia="lt-LT"/>
                        </w:rPr>
                      </w:pPr>
                    </w:p>
                  </w:tc>
                  <w:tc>
                    <w:tcPr>
                      <w:tcW w:w="9958" w:type="dxa"/>
                      <w:hideMark/>
                    </w:tcPr>
                    <w:p>
                      <w:pPr>
                        <w:rPr>
                          <w:sz w:val="22"/>
                          <w:szCs w:val="22"/>
                          <w:lang w:eastAsia="lt-LT"/>
                        </w:rPr>
                      </w:pPr>
                      <w:r>
                        <w:rPr>
                          <w:sz w:val="22"/>
                          <w:szCs w:val="22"/>
                          <w:lang w:eastAsia="lt-LT"/>
                        </w:rPr>
                        <w:t>(reikalingas gydytojo kardiologo leidimas)</w:t>
                      </w:r>
                    </w:p>
                  </w:tc>
                </w:tr>
              </w:tbl>
              <w:p>
                <w:pPr>
                  <w:rPr>
                    <w:sz w:val="22"/>
                    <w:szCs w:val="22"/>
                  </w:rPr>
                </w:pP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4.1.24.</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širdies nepakankamumą I ir II klasių pagal NYHA klasifikaciją, jei kairiojo skilvelio išstūmimo frakcija ne mažiau kaip 35 % : I50</w:t>
                </w:r>
              </w:p>
              <w:p>
                <w:pPr>
                  <w:rPr>
                    <w:sz w:val="22"/>
                    <w:szCs w:val="22"/>
                  </w:rPr>
                </w:pPr>
                <w:r>
                  <w:rPr>
                    <w:sz w:val="22"/>
                    <w:szCs w:val="22"/>
                    <w:lang w:eastAsia="lt-LT"/>
                  </w:rPr>
                  <w:t>(reikalingas šeimos gydytojo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4.1.25.</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kuriems nustatytas III laipsnio kraujospūdis: diastolinis kraujospūdis – ≥ 110 mmHg ir (arba) sistolinis kraujospūdis – ≥ 180 mmHg: I10–I15</w:t>
                </w:r>
              </w:p>
              <w:p>
                <w:pPr>
                  <w:rPr>
                    <w:sz w:val="22"/>
                    <w:szCs w:val="22"/>
                  </w:rPr>
                </w:pPr>
                <w:r>
                  <w:rPr>
                    <w:sz w:val="22"/>
                    <w:szCs w:val="22"/>
                    <w:lang w:eastAsia="lt-LT"/>
                  </w:rPr>
                  <w:t>(reikalingas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 xml:space="preserve">4.2. </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Vairuotojo pažymėjimai neišduodami prie nurodytų grupių priskiriamiems kandidatams į vairuotojus arba neatnaujinami vairuotojams, patiriantiems šiuos širdies ir kraujagyslių sistemų sutrikimus:</w:t>
                </w:r>
              </w:p>
              <w:p>
                <w:pPr>
                  <w:ind w:left="50"/>
                  <w:rPr>
                    <w:sz w:val="22"/>
                    <w:szCs w:val="22"/>
                  </w:rPr>
                </w:pPr>
                <w:r>
                  <w:rPr>
                    <w:b/>
                    <w:sz w:val="22"/>
                    <w:szCs w:val="22"/>
                    <w:lang w:eastAsia="lt-LT"/>
                  </w:rPr>
                  <w:t>PASTABA.</w:t>
                </w:r>
                <w:r>
                  <w:rPr>
                    <w:sz w:val="22"/>
                    <w:szCs w:val="22"/>
                    <w:lang w:eastAsia="lt-LT"/>
                  </w:rPr>
                  <w:t xml:space="preserve"> Vairuotojo pažymėjimai gali būti išduodami ar atnaujinami tik šiame punkte nurodytais atvejais „Spręsti individualiai“, kai gydytojas kardiologas išvadoje pagrindžia asmens gebėjimą saugiai vairuoti, ir jei reguliariai atliekamas sveikatos būklės vertinimas, kurio duomenys, atsižvelgiant į sveikatos sutrikimų poveikį, leistų užtikrinti asmens gebėjimą saugiai vairuoti transporto priemonę</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1 ir 2 grupės: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4.2.1.</w:t>
                </w:r>
              </w:p>
            </w:tc>
            <w:tc>
              <w:tcPr>
                <w:tcW w:w="9109"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lang w:eastAsia="lt-LT"/>
                  </w:rPr>
                  <w:t>sergantiems periferinių arterijų liga – krūtinės ir pilvo aortos dalies aneurizma, kuriai esant didžiausias aortos skersmuo yra toks, kad kyla didelis staigaus plyšimo, galinčio sukelti ūmią negalią, pavojus: I71.2, I71.4, I71.6</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w:t>
                </w:r>
              </w:p>
              <w:p>
                <w:pPr>
                  <w:jc w:val="center"/>
                  <w:rPr>
                    <w:sz w:val="22"/>
                    <w:szCs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 xml:space="preserve">4.2.2. </w:t>
                </w:r>
              </w:p>
            </w:tc>
            <w:tc>
              <w:tcPr>
                <w:tcW w:w="9109"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lang w:eastAsia="lt-LT"/>
                  </w:rPr>
                  <w:t>Brugados sindromą, pasireiškiantį sinkope arba asmenims, išgyvenusiems staigią kardialinę mirtį: I49.8</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Visos transporto priemonės</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4.2.3.</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širdies nepakankamumą IV klasės pagal NYHA klasifikaciją: I50</w:t>
                </w:r>
              </w:p>
              <w:p>
                <w:pPr>
                  <w:rPr>
                    <w:sz w:val="22"/>
                    <w:szCs w:val="22"/>
                  </w:rPr>
                </w:pP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Visos transporto priemonės</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rPr>
                  <w:t>1 grupė:</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4.2.4.</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val="en-US"/>
                  </w:rPr>
                </w:pPr>
                <w:r>
                  <w:rPr>
                    <w:sz w:val="22"/>
                    <w:szCs w:val="22"/>
                    <w:lang w:eastAsia="lt-LT"/>
                  </w:rPr>
                  <w:t>sergantiems širdies vožtuvų liga, jei yra regurgitacija per aortos vožtuvą, aortos stenozė, regurgitacija per mitralinį vožtuvą arba mitralinio vožtuvo stenozė, jei pagal NYHA klasifikaciją įvertinus funkcinį pajėgumą nustatytas IV klasės širdies nepakankamumas arba buvo sinkopės epizodų: I</w:t>
                </w:r>
                <w:r>
                  <w:rPr>
                    <w:sz w:val="22"/>
                    <w:szCs w:val="22"/>
                    <w:lang w:val="en-US" w:eastAsia="lt-LT"/>
                  </w:rPr>
                  <w:t>05, I06, I08, I34, I35, I39.0, I50</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rPr>
                  <w:t>2 grupė:</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4.2.5.</w:t>
                </w:r>
              </w:p>
            </w:tc>
            <w:tc>
              <w:tcPr>
                <w:tcW w:w="9109"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lang w:eastAsia="lt-LT"/>
                  </w:rPr>
                  <w:t>kuriems implantuotas defibriliatorius: Z95.0</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 xml:space="preserve">Visos transporto priemonės </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4.2.6.</w:t>
                </w:r>
              </w:p>
            </w:tc>
            <w:tc>
              <w:tcPr>
                <w:tcW w:w="9109"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lang w:eastAsia="lt-LT"/>
                  </w:rPr>
                  <w:t>širdies nepakankamumą III klasės pagal NYHA klasifikaciją: I50</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 xml:space="preserve">4.2.7. </w:t>
                </w:r>
              </w:p>
            </w:tc>
            <w:tc>
              <w:tcPr>
                <w:tcW w:w="9109"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lang w:eastAsia="lt-LT"/>
                  </w:rPr>
                  <w:t>kurie naudoja širdies veiklą palaikančias priemones (prietaisus) (dirbtinį skilvelį ilgalaikei mechaninei asistuojančiai kraujotakai palaikyti): Z95.8</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Visos transporto priemonės</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 xml:space="preserve">4.2.8. </w:t>
                </w:r>
              </w:p>
            </w:tc>
            <w:tc>
              <w:tcPr>
                <w:tcW w:w="9109"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lang w:eastAsia="lt-LT"/>
                  </w:rPr>
                  <w:t>sergantiems širdies vožtuvų liga, per kurią pasireiškė III arba IV klasės (pagal NYHA klasifikaciją) širdies nepakankamumas arba išstūmimo frakcija mažesnė kaip 35 %, mitralinio vožtuvo stenozė ir sunki plaučių hipertenzija arba sunki aortos stenozė, kuri įvertinta atliekant echokardiografinį tyrimą, arba sinkopę sukelianti aortos stenozė, išskyrus visiškai besimptomę sunkią aortos stenozę, jei įvykdomi fizinio krūvio toleravimo reikalavimai: I</w:t>
                </w:r>
                <w:r>
                  <w:rPr>
                    <w:sz w:val="22"/>
                    <w:szCs w:val="22"/>
                    <w:lang w:val="en-US" w:eastAsia="lt-LT"/>
                  </w:rPr>
                  <w:t>05.0, I05.2, I06.0, I06.2, I08, I34.2, I35.0, I35.2, I39.0, I39.1, I27.2, I50</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Visos transporto priemonės</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4.2.9.</w:t>
                </w:r>
              </w:p>
            </w:tc>
            <w:tc>
              <w:tcPr>
                <w:tcW w:w="9109" w:type="dxa"/>
                <w:tcBorders>
                  <w:top w:val="single" w:sz="6" w:space="0" w:color="auto"/>
                  <w:left w:val="single" w:sz="6" w:space="0" w:color="auto"/>
                  <w:bottom w:val="single" w:sz="6" w:space="0" w:color="auto"/>
                  <w:right w:val="single" w:sz="6" w:space="0" w:color="auto"/>
                </w:tcBorders>
              </w:tcPr>
              <w:p>
                <w:pPr>
                  <w:ind w:left="50"/>
                  <w:rPr>
                    <w:sz w:val="22"/>
                    <w:szCs w:val="22"/>
                  </w:rPr>
                </w:pPr>
                <w:r>
                  <w:rPr>
                    <w:sz w:val="22"/>
                    <w:szCs w:val="22"/>
                    <w:lang w:eastAsia="lt-LT"/>
                  </w:rPr>
                  <w:t>struktūriniais pokyčiais ar elektrine disfunkcija pasireiškiančią kardiomiopatiją – hipertrofinę kardiomiopatiją, per kurią pasireiškia sinkopė arba patiriami du ar daugiau iš šių sutrikimų: kairiojo skilvelio sienelės storis – &gt; 3 cm, trumpalaikė skilvelinė tachikardija, šeimoje (tarp pirmos eilės giminaičių) būta staigios mirties atvejų, krūvio mėginių AKS nepadidėja: I42.1, I42.2</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Visos transporto priemonės</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4.2.10.</w:t>
                </w:r>
              </w:p>
            </w:tc>
            <w:tc>
              <w:tcPr>
                <w:tcW w:w="9109"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lang w:eastAsia="lt-LT"/>
                  </w:rPr>
                  <w:t>ilgo QT sindromą, pasireiškiantį sinkope, polimorfine skilvelių tachikardija (</w:t>
                </w:r>
                <w:r>
                  <w:rPr>
                    <w:i/>
                    <w:sz w:val="22"/>
                    <w:szCs w:val="22"/>
                    <w:lang w:eastAsia="lt-LT"/>
                  </w:rPr>
                  <w:t>torsade des pointes</w:t>
                </w:r>
                <w:r>
                  <w:rPr>
                    <w:sz w:val="22"/>
                    <w:szCs w:val="22"/>
                    <w:lang w:eastAsia="lt-LT"/>
                  </w:rPr>
                  <w:t>) ir didesniu kaip 500 ms QTc: I49.8</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Visos transporto priemonės</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4.3.</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Kitos kardiomiopatijos: I42</w:t>
                </w:r>
              </w:p>
              <w:p>
                <w:pPr>
                  <w:rPr>
                    <w:sz w:val="22"/>
                    <w:szCs w:val="22"/>
                  </w:rPr>
                </w:pPr>
                <w:r>
                  <w:rPr>
                    <w:sz w:val="22"/>
                    <w:szCs w:val="22"/>
                    <w:lang w:eastAsia="lt-LT"/>
                  </w:rPr>
                  <w:t>Turi būti įvertinamas staigių kardiovaskulinių įvykių, sukeliančių gebėjimo vairuoti praradimą, poveikis kandidatams į vairuotojus arba vairuotojams, sergantiems kardiomiopatijomis (pvz., aritmogenine dešiniojo skilvelio kardiomiopatija, nekompaktinio kairiojo skilvelio miokardo sukeliama kardiomiopatija, katecholaminergine polimorfine skilveline tachikardija ir turintiems trumpo QT sindromą). Reikalingas išsamus gydytojo kardiologo vertinimas. Turi būti atsižvelgiama į konkrečią kardiomiopatiją pranašaujančius požymius.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r>
                  <w:rPr>
                    <w:sz w:val="22"/>
                    <w:szCs w:val="22"/>
                  </w:rPr>
                  <w:t>Spręsti individuliai</w:t>
                </w: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b/>
                    <w:bCs/>
                    <w:color w:val="000000"/>
                    <w:sz w:val="22"/>
                  </w:rPr>
                  <w:t>CUKRINIS DIABETAS: E10, E11, E12, E13, E14</w:t>
                </w:r>
              </w:p>
              <w:p>
                <w:pPr>
                  <w:widowControl w:val="0"/>
                  <w:suppressAutoHyphens/>
                  <w:rPr>
                    <w:color w:val="000000"/>
                    <w:sz w:val="22"/>
                  </w:rPr>
                </w:pPr>
                <w:r>
                  <w:rPr>
                    <w:color w:val="000000"/>
                    <w:sz w:val="22"/>
                  </w:rPr>
                  <w:t>Tolesniuose punktuose sunki hipoglikemija reiškia, kad ją patiriančiam asmeniui reikalinga kito asmens pagalba, o pasikartojanti hipoglikemija apibūdinama kaip antrą kartą per dvylika mėnesių pasireiškusi sunki hipoglikemija..</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b/>
                    <w:bCs/>
                    <w:color w:val="000000"/>
                    <w:sz w:val="22"/>
                  </w:rPr>
                </w:pPr>
                <w:r>
                  <w:rPr>
                    <w:color w:val="000000"/>
                    <w:sz w:val="22"/>
                  </w:rPr>
                  <w:t>1</w:t>
                </w:r>
                <w:r>
                  <w:rPr>
                    <w:i/>
                    <w:color w:val="000000"/>
                    <w:sz w:val="22"/>
                  </w:rPr>
                  <w:t xml:space="preserve"> </w:t>
                </w:r>
                <w:r>
                  <w:rPr>
                    <w:color w:val="000000"/>
                    <w:sz w:val="22"/>
                  </w:rPr>
                  <w:t>grupė:</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5.1.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Vairuotojo pažymėjimai gali būti išduodami cukriniu diabetu sergantiems kandidatams vairuotojo pažymėjimui gauti arba atnaujinami ja sergantiems vairuotojams. Jei tokie asmenys gydomi hipoglikemizuojančiais vaistais, apie jų būklę turėtų būti pateikiama gydytojo endokrinologo išvada, o jų sveikata turėtų būti periodiškai, tačiau ne rečiau kaip kartą kas penkerius metus, tikrinama. </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5.2.</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Cukriniu diabetu sergantis kandidatas į vairuotojus arba vairuotojas, gydomas vaistais, sukeliančiais hipoglikemijos riziką, turi įrodyti, kad jis suvokia hipoglikemijos keliamus pavojus ir geba tinkamai kontroliuoti savo sveikatos būklę, kad jam nepasireikštų hipoglikemija.</w:t>
                </w:r>
              </w:p>
              <w:p>
                <w:pPr>
                  <w:rPr>
                    <w:sz w:val="22"/>
                    <w:szCs w:val="22"/>
                    <w:lang w:eastAsia="lt-LT"/>
                  </w:rPr>
                </w:pPr>
                <w:r>
                  <w:rPr>
                    <w:sz w:val="22"/>
                    <w:szCs w:val="22"/>
                    <w:lang w:eastAsia="lt-LT"/>
                  </w:rPr>
                  <w:t>Vairuotojo pažymėjimai neišduodami kandidatams į vairuotojus arba neatnaujinami vairuotojams, kurie nepakankamai aiškiai suvokia hipoglikemijos keliamus pavojus.</w:t>
                </w:r>
              </w:p>
              <w:p>
                <w:pPr>
                  <w:rPr>
                    <w:sz w:val="22"/>
                    <w:szCs w:val="22"/>
                    <w:lang w:eastAsia="lt-LT"/>
                  </w:rPr>
                </w:pPr>
                <w:r>
                  <w:rPr>
                    <w:sz w:val="22"/>
                    <w:szCs w:val="22"/>
                    <w:lang w:eastAsia="lt-LT"/>
                  </w:rPr>
                  <w:t xml:space="preserve">Vairuotojo pažymėjimai neišduodami kandidatams į vairuotojus arba neatnaujinami vairuotojams, kuriems pasireiškia pasikartojanti sunki hipoglikemija, išskyrus atvejus, kai pateikiama gydytojo endokrinologo išvada ir atliekamas sveikatos būklės vertinimas vadovaujantis Lietuvos Respublikos sveikatos apsaugos ministro 2012 m. vasario 28 d. įsakymo Nr. V-159 „Dėl Cukrinio </w:t>
                </w:r>
                <w:r>
                  <w:rPr>
                    <w:color w:val="000000"/>
                    <w:sz w:val="22"/>
                    <w:szCs w:val="22"/>
                    <w:lang w:eastAsia="lt-LT"/>
                  </w:rPr>
                  <w:t>diabeto ambulatorinio gydymo</w:t>
                </w:r>
                <w:r>
                  <w:rPr>
                    <w:b/>
                    <w:bCs/>
                    <w:color w:val="000000"/>
                    <w:sz w:val="22"/>
                    <w:szCs w:val="22"/>
                    <w:lang w:eastAsia="lt-LT"/>
                  </w:rPr>
                  <w:t xml:space="preserve"> </w:t>
                </w:r>
                <w:r>
                  <w:rPr>
                    <w:color w:val="000000"/>
                    <w:sz w:val="22"/>
                    <w:szCs w:val="22"/>
                    <w:lang w:eastAsia="lt-LT"/>
                  </w:rPr>
                  <w:t xml:space="preserve">kompensuojamaisiais vaistais tvarkos aprašo patvirtinimo“ (toliau </w:t>
                </w:r>
                <w:r>
                  <w:rPr>
                    <w:sz w:val="22"/>
                    <w:szCs w:val="22"/>
                    <w:lang w:eastAsia="lt-LT"/>
                  </w:rPr>
                  <w:t>– įsakymas Nr. V-159)</w:t>
                </w:r>
                <w:r>
                  <w:rPr>
                    <w:color w:val="000000"/>
                    <w:sz w:val="22"/>
                    <w:szCs w:val="22"/>
                    <w:lang w:eastAsia="lt-LT"/>
                  </w:rPr>
                  <w:t xml:space="preserve"> nustatyta tvarka</w:t>
                </w:r>
                <w:r>
                  <w:rPr>
                    <w:sz w:val="22"/>
                    <w:szCs w:val="22"/>
                    <w:lang w:eastAsia="lt-LT"/>
                  </w:rPr>
                  <w:t>. Jei sunki hipoglikemija kartojasi ne miego metu, vairuotojo pažymėjimas neišduodamas ar neatnaujinamas tris mėnesius po paskutinio tokios hipoglikemijos atvejo.</w:t>
                </w:r>
              </w:p>
              <w:p>
                <w:pPr>
                  <w:rPr>
                    <w:sz w:val="22"/>
                    <w:szCs w:val="22"/>
                    <w:lang w:eastAsia="lt-LT"/>
                  </w:rPr>
                </w:pPr>
                <w:r>
                  <w:rPr>
                    <w:sz w:val="22"/>
                    <w:szCs w:val="22"/>
                    <w:lang w:eastAsia="lt-LT"/>
                  </w:rPr>
                  <w:t xml:space="preserve">Vairuotojo pažymėjimai gali būti išduodami ar atnaujinami išskirtiniais atvejais, kai gydytojas endokrinologas išvadoje pagrindžia asmens gebėjimą saugiai  vairuoti  ir  jei  vadovaujantis  įsakymu  Nr.     V-159, atliekamas sveikatos būklės vertinimas, kuriuo, atsižvelgiant į sveikatos sutrikimų poveikį, užtikrinamas asmens gebėjimas saugiai vairuoti transporto priemonę.</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p>
            </w:tc>
            <w:tc>
              <w:tcPr>
                <w:tcW w:w="9109" w:type="dxa"/>
                <w:tcBorders>
                  <w:top w:val="single" w:sz="6" w:space="0" w:color="auto"/>
                  <w:left w:val="single" w:sz="6" w:space="0" w:color="auto"/>
                  <w:bottom w:val="single" w:sz="6" w:space="0" w:color="auto"/>
                  <w:right w:val="single" w:sz="6" w:space="0" w:color="auto"/>
                </w:tcBorders>
              </w:tcPr>
              <w:p>
                <w:pPr>
                  <w:rPr>
                    <w:sz w:val="22"/>
                  </w:rPr>
                </w:pPr>
                <w:r>
                  <w:rPr>
                    <w:color w:val="000000"/>
                    <w:sz w:val="22"/>
                  </w:rPr>
                  <w:t>2</w:t>
                </w:r>
                <w:r>
                  <w:rPr>
                    <w:i/>
                    <w:color w:val="000000"/>
                    <w:sz w:val="22"/>
                  </w:rPr>
                  <w:t xml:space="preserve"> </w:t>
                </w:r>
                <w:r>
                  <w:rPr>
                    <w:color w:val="000000"/>
                    <w:sz w:val="22"/>
                  </w:rPr>
                  <w:t>grupė</w:t>
                </w:r>
                <w:r>
                  <w:rPr>
                    <w:i/>
                    <w:iCs/>
                    <w:color w:val="000000"/>
                    <w:sz w:val="22"/>
                  </w:rPr>
                  <w:t>:</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5.3.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Gali būti svarstoma galimybė išduoti ir (arba) atnaujinti 2</w:t>
                </w:r>
                <w:r>
                  <w:rPr>
                    <w:i/>
                    <w:color w:val="000000"/>
                    <w:sz w:val="22"/>
                  </w:rPr>
                  <w:t xml:space="preserve"> </w:t>
                </w:r>
                <w:r>
                  <w:rPr>
                    <w:color w:val="000000"/>
                    <w:sz w:val="22"/>
                  </w:rPr>
                  <w:t>grupės vairuotojų pažymėjimus cukriniu diabetu sergantiems vairuotojams. Jei asmuo gydomas vaistais, sukeliančiais hipoglikemijos padidėjimo riziką, t. y. insulinu ir kai kuriomis tabletėmis (sulfanilkarbamidais ar glinidais arba insulino ir sulfanilkarbamidų ar glinidų deriniais), jam turėtų būti taikomi šie reikalavimai:</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5.3.1.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per praėjusius dvylika mėnesių neturėti sunkios hipoglikemijos pasireiškimo atvejų;</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5.3.2.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visapusiškai suvokti hipoglikemijos keliamus pavojus;</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5.3.3.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tinkamai kontroliuoti savo būklę nuolat (mažiausiai du kartus per dieną ir prieš vairavimą) tikrinant gliukozės kiekį kraujyje; </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5.3.4.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įrodyti, kad suvokia hipoglikemijos sukeliamą riziką;</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5.3.5.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aps/>
                    <w:color w:val="000000"/>
                    <w:sz w:val="22"/>
                  </w:rPr>
                </w:pPr>
                <w:r>
                  <w:rPr>
                    <w:color w:val="000000"/>
                    <w:sz w:val="22"/>
                  </w:rPr>
                  <w:t>neturėti jokių kitų vairuoti trukdančių cukrinio diabeto komplikacijų.</w:t>
                </w:r>
              </w:p>
              <w:p>
                <w:pPr>
                  <w:widowControl w:val="0"/>
                  <w:suppressAutoHyphens/>
                  <w:rPr>
                    <w:color w:val="000000"/>
                    <w:sz w:val="22"/>
                  </w:rPr>
                </w:pPr>
                <w:r>
                  <w:rPr>
                    <w:color w:val="000000"/>
                    <w:sz w:val="22"/>
                  </w:rPr>
                  <w:t>Be to, šiais atvejais atitinkami vairuotojo pažymėjimai turėtų būti išduodami atsižvelgiant į gydytojo endokrinologo išvadą ir reguliariai atliekamo medicininio patikrinimo, atliekamo ne rečiau kaip kas treji metai, rezultatus.</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5.4.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Jei asmeniui ne miego metu, net jei jis nevairavo, pasireiškia sunki hipoglikemija, apie tai turėtų būti pranešama ir tokiu atveju turėtų būti naujai vertinama tokio asmens teisė gauti arba turėti vairuotojo pažymėjimą.</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r>
                  <w:rPr>
                    <w:sz w:val="22"/>
                  </w:rPr>
                  <w:t>6.</w:t>
                </w:r>
              </w:p>
            </w:tc>
            <w:tc>
              <w:tcPr>
                <w:tcW w:w="9109" w:type="dxa"/>
                <w:tcBorders>
                  <w:top w:val="single" w:sz="6" w:space="0" w:color="auto"/>
                  <w:left w:val="single" w:sz="6" w:space="0" w:color="auto"/>
                  <w:bottom w:val="single" w:sz="6" w:space="0" w:color="auto"/>
                  <w:right w:val="single" w:sz="6" w:space="0" w:color="auto"/>
                </w:tcBorders>
              </w:tcPr>
              <w:p>
                <w:pPr>
                  <w:rPr>
                    <w:b/>
                    <w:bCs/>
                    <w:sz w:val="22"/>
                  </w:rPr>
                </w:pPr>
                <w:r>
                  <w:rPr>
                    <w:b/>
                    <w:bCs/>
                    <w:sz w:val="22"/>
                  </w:rPr>
                  <w:t>NEUROLOGINĖS LIGOS IR OBSTRUKCINĖS MIEGO APNĖJOS SINDROMAS</w:t>
                </w:r>
              </w:p>
              <w:p>
                <w:pPr>
                  <w:rPr>
                    <w:sz w:val="22"/>
                  </w:rPr>
                </w:pPr>
                <w:r>
                  <w:rPr>
                    <w:sz w:val="22"/>
                  </w:rPr>
                  <w:t>Vairuotojo pažymėjimai neišduodami kandidatams į vairuotojus ar neatnaujinami vairuotojams, sergantiems sunkiomis nervų ligomis, išskyrus atvejus, kai prie prašymo pridedama gydytojo neurologo išvada.</w:t>
                </w:r>
              </w:p>
              <w:p>
                <w:pPr>
                  <w:rPr>
                    <w:sz w:val="22"/>
                  </w:rPr>
                </w:pPr>
                <w:r>
                  <w:rPr>
                    <w:sz w:val="22"/>
                  </w:rPr>
                  <w:t>Neurologiniai sutrikimai, susiję su turinčiomis įtakos centrinei ar periferinei nervų sistemai ligomis ar chirurgine intervencija, dėl kurių atsiranda sensoriniai ar motoriniai sutrikimai, darantys poveikį pusiausvyrai bei koordinacijai, privalo būti tinkamai įvertinti atsižvelgiant į jų funkcinius padarinius ir progresavimo riziką. Jei yra ligos progresavimo rizika, vairuotojo pažymėjimai gali būti išduodami ar atnaujinami tik periodiškai įvertinant sveikatos būklę. Epilepsijos priepuoliai ar kiti staigūs sąmonės sutrikimai kelia rimtą pavojų kelių eismo saugumui, jei jie ištinka asmenį vairuojant variklio varomą transporto priemonę.</w:t>
                </w:r>
              </w:p>
              <w:p>
                <w:pPr>
                  <w:rPr>
                    <w:sz w:val="22"/>
                  </w:rPr>
                </w:pPr>
                <w:r>
                  <w:rPr>
                    <w:sz w:val="22"/>
                  </w:rPr>
                  <w:t>1 grupė:</w:t>
                </w:r>
              </w:p>
              <w:p>
                <w:pPr>
                  <w:rPr>
                    <w:sz w:val="22"/>
                  </w:rPr>
                </w:pPr>
                <w:r>
                  <w:rPr>
                    <w:sz w:val="22"/>
                  </w:rPr>
                  <w:t>Vairuotojo pažymėjimai gali būti išduodami ar atnaujinami gydytojui neurologui atlikus patikrinimą ir reguliariai atliekant medicinines apžiūras. Gydytojas neurologas įvertina epilepsijos ar kitų sąmonės sutrikimų būklę, klinikinę formą ir progresavimą pavyzdžiui, jei pastaruosius dvejus metus nebuvo priepuolių, atliktą gydymą ir jo rezultatus.</w:t>
                </w:r>
              </w:p>
              <w:p>
                <w:pPr>
                  <w:rPr>
                    <w:sz w:val="22"/>
                  </w:rPr>
                </w:pPr>
                <w:r>
                  <w:rPr>
                    <w:sz w:val="22"/>
                  </w:rPr>
                  <w:t>2 grupė:</w:t>
                </w:r>
              </w:p>
              <w:p>
                <w:pPr>
                  <w:rPr>
                    <w:sz w:val="22"/>
                  </w:rPr>
                </w:pPr>
                <w:r>
                  <w:rPr>
                    <w:sz w:val="22"/>
                  </w:rPr>
                  <w:t>Vairuotojo pažymėjimai neišduodami kandidatams į vairuotojus ar neatnaujinami vairuotojams, kuriuos ištinka ar gali ištikti epilepsijos priepuoliai ar kiti staigūs sąmonės sutrikimai.</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aps/>
                    <w:color w:val="000000"/>
                    <w:sz w:val="22"/>
                  </w:rPr>
                </w:pPr>
                <w:r>
                  <w:rPr>
                    <w:color w:val="000000"/>
                    <w:sz w:val="22"/>
                  </w:rPr>
                  <w:t>Epilepsijos priepuoliai ar kiti staigūs sąmonės būsenos pakitimai kelia rimtą pavojų kelių eismo saugumui, jei jie ištinka asmenį, vairuojantį varikliu varomą transporto priemonę.</w:t>
                </w:r>
              </w:p>
              <w:p>
                <w:pPr>
                  <w:widowControl w:val="0"/>
                  <w:suppressAutoHyphens/>
                  <w:rPr>
                    <w:color w:val="000000"/>
                    <w:sz w:val="22"/>
                  </w:rPr>
                </w:pPr>
                <w:r>
                  <w:rPr>
                    <w:color w:val="000000"/>
                    <w:sz w:val="22"/>
                  </w:rPr>
                  <w:t>Epilepsija sergantis asmuo</w:t>
                </w:r>
                <w:r>
                  <w:rPr>
                    <w:i/>
                    <w:color w:val="000000"/>
                    <w:sz w:val="22"/>
                  </w:rPr>
                  <w:t xml:space="preserve"> </w:t>
                </w:r>
                <w:r>
                  <w:rPr>
                    <w:color w:val="000000"/>
                    <w:sz w:val="22"/>
                  </w:rPr>
                  <w:t>– asmuo, kuris per mažiau nei penkerius metus patyrė du ar daugiau epilepsijos priepuolių. Sukeltas epilepsijos priepuolis</w:t>
                </w:r>
                <w:r>
                  <w:rPr>
                    <w:i/>
                    <w:color w:val="000000"/>
                    <w:sz w:val="22"/>
                  </w:rPr>
                  <w:t xml:space="preserve"> </w:t>
                </w:r>
                <w:r>
                  <w:rPr>
                    <w:color w:val="000000"/>
                    <w:sz w:val="22"/>
                  </w:rPr>
                  <w:t>– atpažįstamo veiksnio, kurio galima išvengti, sukeltas priepuolis.</w:t>
                </w:r>
              </w:p>
              <w:p>
                <w:pPr>
                  <w:widowControl w:val="0"/>
                  <w:suppressAutoHyphens/>
                  <w:rPr>
                    <w:color w:val="000000"/>
                    <w:sz w:val="22"/>
                  </w:rPr>
                </w:pPr>
                <w:r>
                  <w:rPr>
                    <w:color w:val="000000"/>
                    <w:sz w:val="22"/>
                  </w:rPr>
                  <w:t>Asmeniui, kuris patyrė priepuolį pirmą kartą arba kurio patirtas priepuolis yra pavienis, arba kuris buvo praradęs sąmonę, rekomenduojama nevairuoti. Gydytojo neurologo pranešime (žr. Aprašo 26</w:t>
                </w:r>
                <w:r>
                  <w:rPr>
                    <w:i/>
                    <w:color w:val="000000"/>
                    <w:sz w:val="22"/>
                  </w:rPr>
                  <w:t xml:space="preserve"> </w:t>
                </w:r>
                <w:r>
                  <w:rPr>
                    <w:color w:val="000000"/>
                    <w:sz w:val="22"/>
                  </w:rPr>
                  <w:t>punktą) turėtų būti nurodytas draudimo vairuoti laikotarpis ir reikalaujamos paskesnės priemonės.</w:t>
                </w:r>
              </w:p>
              <w:p>
                <w:pPr>
                  <w:widowControl w:val="0"/>
                  <w:suppressAutoHyphens/>
                  <w:rPr>
                    <w:color w:val="000000"/>
                    <w:sz w:val="22"/>
                  </w:rPr>
                </w:pPr>
                <w:r>
                  <w:rPr>
                    <w:color w:val="000000"/>
                    <w:sz w:val="22"/>
                  </w:rPr>
                  <w:t>Labai svarbu, kad būtų nustatytas konkretus asmens epilepsijos sindromas ir priepuolio tipas, kad būtų tinkamai įvertintas jo vairavimo saugumas (įskaitant tolesnių priepuolių riziką) ir paskirtas reikiamas gydymas. Tai turėtų padaryti gydytojas neurologas.</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rPr>
                    <w:sz w:val="22"/>
                  </w:rPr>
                </w:pPr>
              </w:p>
            </w:tc>
            <w:tc>
              <w:tcPr>
                <w:tcW w:w="9109" w:type="dxa"/>
                <w:tcBorders>
                  <w:top w:val="single" w:sz="6" w:space="0" w:color="auto"/>
                  <w:left w:val="single" w:sz="6" w:space="0" w:color="auto"/>
                  <w:bottom w:val="single" w:sz="6" w:space="0" w:color="auto"/>
                  <w:right w:val="single" w:sz="6" w:space="0" w:color="auto"/>
                </w:tcBorders>
              </w:tcPr>
              <w:p>
                <w:pPr>
                  <w:rPr>
                    <w:sz w:val="22"/>
                  </w:rPr>
                </w:pPr>
                <w:r>
                  <w:rPr>
                    <w:color w:val="000000"/>
                    <w:sz w:val="22"/>
                  </w:rPr>
                  <w:t>1</w:t>
                </w:r>
                <w:r>
                  <w:rPr>
                    <w:i/>
                    <w:color w:val="000000"/>
                    <w:sz w:val="22"/>
                  </w:rPr>
                  <w:t xml:space="preserve"> </w:t>
                </w:r>
                <w:r>
                  <w:rPr>
                    <w:color w:val="000000"/>
                    <w:sz w:val="22"/>
                  </w:rPr>
                  <w:t>grupė:</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6.1.1.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aps/>
                    <w:color w:val="000000"/>
                    <w:sz w:val="22"/>
                  </w:rPr>
                </w:pPr>
                <w:r>
                  <w:rPr>
                    <w:color w:val="000000"/>
                    <w:sz w:val="22"/>
                  </w:rPr>
                  <w:t>1</w:t>
                </w:r>
                <w:r>
                  <w:rPr>
                    <w:i/>
                    <w:color w:val="000000"/>
                    <w:sz w:val="22"/>
                  </w:rPr>
                  <w:t xml:space="preserve"> </w:t>
                </w:r>
                <w:r>
                  <w:rPr>
                    <w:color w:val="000000"/>
                    <w:sz w:val="22"/>
                  </w:rPr>
                  <w:t>grupės kategorijoms priskirtų epilepsija sergančių vairuotojų teisė turėti vairuotojo pažymėjimą nuolat (ne rečiau kaip kartą per metus) persvarstoma tol, kol jie nebūna išbuvę be priepuolių bent jau penkerius metus.</w:t>
                </w:r>
              </w:p>
              <w:p>
                <w:pPr>
                  <w:widowControl w:val="0"/>
                  <w:suppressAutoHyphens/>
                  <w:rPr>
                    <w:color w:val="000000"/>
                    <w:sz w:val="22"/>
                  </w:rPr>
                </w:pPr>
                <w:r>
                  <w:rPr>
                    <w:color w:val="000000"/>
                    <w:sz w:val="22"/>
                  </w:rPr>
                  <w:t>Jei asmuo serga epilepsija, jis neatitinka kriterijų vairuotojo pažymėjimui, kuriam netaikomos jokios sąlygos, gauti ir apie tai turi būti pateiktas pranešimas Aprašo 26</w:t>
                </w:r>
                <w:r>
                  <w:rPr>
                    <w:i/>
                    <w:color w:val="000000"/>
                    <w:sz w:val="22"/>
                  </w:rPr>
                  <w:t xml:space="preserve"> </w:t>
                </w:r>
                <w:r>
                  <w:rPr>
                    <w:color w:val="000000"/>
                    <w:sz w:val="22"/>
                  </w:rPr>
                  <w:t>punkte nustatyta tvarka.</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6.1.2.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Sukeltas epilepsijos priepuolis. Jei kandidatas vairuotojo pažymėjimui gauti yra patyręs žinomo provokuojamo veiksnio sukeltą epilepsijos priepuolį ir panašu, kad tas veiksnys nepasireikš vairuojant, atskirais atvejais toks asmuo gali būti pripažįstamas tinkamu vairuoti, atsižvelgiant į gydytojo neurologo išvadą (vertinimas, jei jo reikėtų, turėtų būti atliktas atsižvelgiant į kitas 3</w:t>
                </w:r>
                <w:r>
                  <w:rPr>
                    <w:i/>
                    <w:color w:val="000000"/>
                    <w:sz w:val="22"/>
                  </w:rPr>
                  <w:t xml:space="preserve"> </w:t>
                </w:r>
                <w:r>
                  <w:rPr>
                    <w:color w:val="000000"/>
                    <w:sz w:val="22"/>
                  </w:rPr>
                  <w:t>lentelės dalis (pavyzdžiui, poveikį išgėrus alkoholio arba sergant kitomis ligomis).</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 alkoholio sukeltų priepuolių atveju taikant apribojimą 68</w:t>
                </w:r>
              </w:p>
            </w:tc>
            <w:tc>
              <w:tcPr>
                <w:tcW w:w="2370" w:type="dxa"/>
                <w:tcBorders>
                  <w:top w:val="single" w:sz="6" w:space="0" w:color="auto"/>
                  <w:bottom w:val="single" w:sz="6" w:space="0" w:color="auto"/>
                  <w:right w:val="single" w:sz="6" w:space="0" w:color="auto"/>
                </w:tcBorders>
              </w:tcPr>
              <w:p>
                <w:pPr>
                  <w:widowControl w:val="0"/>
                  <w:rPr>
                    <w:sz w:val="22"/>
                  </w:rPr>
                </w:pP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6.1.3.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Pirmas arba vienintelis neišprovokuotas priepuolis. Kandidatas vairuotojo pažymėjimui gauti, turėjęs pirmą arba vienintelį neišprovokuotą epilepsijos priepuolį, gali būti laikomas tinkamu vairuoti, jei per šešių mėnesių laikotarpį daugiau priepuolių neturėjo ir jei atliktas atitinkamas medicininis įvertinimas. Vairuotojams, kurių ligos prognozė gera, nacionalinės valdžios institucijos gali leisti vairuoti po trumpesnio laikotarpio.</w:t>
                </w:r>
              </w:p>
              <w:p>
                <w:pPr>
                  <w:widowControl w:val="0"/>
                  <w:suppressAutoHyphens/>
                  <w:rPr>
                    <w:caps/>
                    <w:color w:val="000000"/>
                    <w:sz w:val="22"/>
                  </w:rPr>
                </w:pPr>
                <w:r>
                  <w:rPr>
                    <w:color w:val="000000"/>
                    <w:sz w:val="22"/>
                  </w:rPr>
                  <w:t>Didieji priepuoliai, nepatikslinti (su ar be mažųjų priepuolių) G</w:t>
                </w:r>
                <w:r>
                  <w:rPr>
                    <w:caps/>
                    <w:color w:val="000000"/>
                    <w:sz w:val="22"/>
                  </w:rPr>
                  <w:t xml:space="preserve">40.6; </w:t>
                </w:r>
                <w:r>
                  <w:rPr>
                    <w:color w:val="000000"/>
                    <w:sz w:val="22"/>
                  </w:rPr>
                  <w:t xml:space="preserve">Epilepsija, nepatikslinta </w:t>
                </w:r>
                <w:r>
                  <w:rPr>
                    <w:caps/>
                    <w:color w:val="000000"/>
                    <w:sz w:val="22"/>
                  </w:rPr>
                  <w:t>g40.9.</w:t>
                </w:r>
              </w:p>
              <w:p>
                <w:pPr>
                  <w:widowControl w:val="0"/>
                  <w:suppressAutoHyphens/>
                  <w:rPr>
                    <w:color w:val="000000"/>
                    <w:sz w:val="22"/>
                  </w:rPr>
                </w:pPr>
                <w:r>
                  <w:rPr>
                    <w:color w:val="000000"/>
                    <w:sz w:val="22"/>
                  </w:rPr>
                  <w:t xml:space="preserve">Išsamus neurologinis patikrinimas turi patvirtinti, kad nėra jokios susijusios smegenų patologijos, o elektroencefalogramoje neužfiksuota jokia epileptiforminė veikla. </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c>
              <w:tcPr>
                <w:tcW w:w="2370" w:type="dxa"/>
                <w:tcBorders>
                  <w:top w:val="single" w:sz="6" w:space="0" w:color="auto"/>
                  <w:bottom w:val="single" w:sz="6" w:space="0" w:color="auto"/>
                  <w:right w:val="single" w:sz="6" w:space="0" w:color="auto"/>
                </w:tcBorders>
              </w:tcPr>
              <w:p>
                <w:pPr>
                  <w:widowControl w:val="0"/>
                  <w:rPr>
                    <w:sz w:val="22"/>
                  </w:rPr>
                </w:pP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6.1.4.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Kitas sąmonės netekimas. Asmens sąmonės netekimas vertinamas atsižvelgiant į tai, ar yra rizika jam prarasti sąmonę vairuojant.</w:t>
                </w:r>
              </w:p>
              <w:p>
                <w:pPr>
                  <w:widowControl w:val="0"/>
                  <w:suppressAutoHyphens/>
                  <w:rPr>
                    <w:color w:val="000000"/>
                    <w:sz w:val="22"/>
                  </w:rPr>
                </w:pPr>
                <w:r>
                  <w:rPr>
                    <w:color w:val="000000"/>
                    <w:sz w:val="22"/>
                  </w:rPr>
                  <w:t>Kiti ir nepatikslinti priepuoliai R56.8, jei lydimi sąmonės sutrikimo; Dažni alpimai ir kolapsai R55; Idiopatinė periferinė autonominė (vegetacinė) neuropatija G90.0</w:t>
                </w:r>
                <w:r>
                  <w:rPr>
                    <w:i/>
                    <w:color w:val="000000"/>
                    <w:sz w:val="22"/>
                  </w:rPr>
                  <w:t xml:space="preserve"> </w:t>
                </w:r>
                <w:r>
                  <w:rPr>
                    <w:color w:val="000000"/>
                    <w:sz w:val="22"/>
                  </w:rPr>
                  <w:t>– būtina neurologo išvada.</w:t>
                </w:r>
              </w:p>
              <w:p>
                <w:pPr>
                  <w:widowControl w:val="0"/>
                  <w:suppressAutoHyphens/>
                  <w:rPr>
                    <w:color w:val="000000"/>
                    <w:sz w:val="22"/>
                  </w:rPr>
                </w:pPr>
                <w:r>
                  <w:rPr>
                    <w:color w:val="000000"/>
                    <w:sz w:val="22"/>
                  </w:rPr>
                  <w:t>Išsamus neurologinis patikrinimas turi patvirtinti, kad nėra jokios susijusios smegenų patologijos, o elektroencefalogramoje neužfiksuota jokia epileptiforminė veikla.</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c>
              <w:tcPr>
                <w:tcW w:w="2370" w:type="dxa"/>
                <w:tcBorders>
                  <w:top w:val="single" w:sz="6" w:space="0" w:color="auto"/>
                  <w:bottom w:val="single" w:sz="6" w:space="0" w:color="auto"/>
                  <w:right w:val="single" w:sz="6" w:space="0" w:color="auto"/>
                </w:tcBorders>
              </w:tcPr>
              <w:p>
                <w:pPr>
                  <w:widowControl w:val="0"/>
                  <w:rPr>
                    <w:sz w:val="22"/>
                  </w:rPr>
                </w:pP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6.1.5.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Epilepsija G40. Vairuotojai arba kandidatai vairuotojo pažymėjimui gauti gali būti laikomi tinkamais vairuoti, jei jie vienų metų laikotarpiu daugiau priepuolių neturėjo.</w:t>
                </w:r>
              </w:p>
              <w:p>
                <w:pPr>
                  <w:widowControl w:val="0"/>
                  <w:suppressAutoHyphens/>
                  <w:rPr>
                    <w:color w:val="000000"/>
                    <w:sz w:val="22"/>
                  </w:rPr>
                </w:pPr>
                <w:r>
                  <w:rPr>
                    <w:color w:val="000000"/>
                    <w:sz w:val="22"/>
                  </w:rPr>
                  <w:t xml:space="preserve">Nuo smegenų pažeidimo lokalizacijos priklausanti (židininė, dalinė) idiopatinė epilepsija ir epilepsiniai sindromai, kai priepuolių pradžia lokalizuota, G40.0; Nuo smegenų pažeidimo lokalizacijos priklausanti (židininė, dalinė) simptominė epilepsija ir epilepsiniai sindromai su paprastais daliniais priepuoliais G40.1; Nuo smegenų pažeidimo lokalizacijos priklausanti (židininė, dalinė) simptominė epilepsija ir epilepsiniai sindromai su sudėtiniais (kompleksiniais) daliniais priepuoliais G40.2; Išplitusi (generalizuota) idiopatinė epilepsija ir epilepsiniai sindromai G40.3; Kitokia išplitusi (generalizuota) epilepsija ir epilepsiniai sindromai G40.4; Didieji priepuoliai, nepatikslinti (su ar be mažųjų priepuolių) G40.6; Mažieji priepuoliai, nepatikslinti, be didžiųjų priepuolių G40.7; Kitokia epilepsija G40.8; Epilepsinė būklė G41. </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c>
              <w:tcPr>
                <w:tcW w:w="2370" w:type="dxa"/>
                <w:tcBorders>
                  <w:top w:val="single" w:sz="6" w:space="0" w:color="auto"/>
                  <w:bottom w:val="single" w:sz="6" w:space="0" w:color="auto"/>
                  <w:right w:val="single" w:sz="6" w:space="0" w:color="auto"/>
                </w:tcBorders>
              </w:tcPr>
              <w:p>
                <w:pPr>
                  <w:widowControl w:val="0"/>
                  <w:rPr>
                    <w:sz w:val="22"/>
                  </w:rPr>
                </w:pP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6.1.6.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Tik miegant ištinkantys priepuoliai. Kandidatas vairuotojo pažymėjimui gauti arba vairuotojas, kurį priepuoliai ištinka tik miegant, gali būti laikomas tinkamu vairuoti, jei nustatyta, kad toks jį ištinkančių priepuolių pobūdis trunka ne trumpiau, nei nustatytas laikotarpis, per kurį neturi būti jokių epilepsijos priepuolių. Jei epilepsijos priepuolių būna ne miego metu, vairuotojo pažymėjimas gali būti išduodamas tik tada, jei nuo paskutinio priepuolio yra praėję vieni metai (žr. „6.1.5</w:t>
                </w:r>
                <w:r>
                  <w:rPr>
                    <w:i/>
                    <w:color w:val="000000"/>
                    <w:sz w:val="22"/>
                  </w:rPr>
                  <w:t xml:space="preserve"> </w:t>
                </w:r>
                <w:r>
                  <w:rPr>
                    <w:color w:val="000000"/>
                    <w:sz w:val="22"/>
                  </w:rPr>
                  <w:t>Epilepsija“).</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6.1.7.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Sąmonei arba gebėjimui veikti poveikio neturintys priepuoliai. Kandidatas vairuotojo pažymėjimui gauti arba vairuotojas, kuris niekada neturėjo priepuolių, išskyrus priepuolius, kurie neturi poveikio sąmonei ir nesukelia funkcinių sutrikimų, gali būti laikomas tinkamu vairuoti, jei nustatyta, kad toks jį ištinkančių priepuolių pobūdis trunka ne trumpiau nei laikotarpį, per kurį neturi būti jokių epilepsijos priepuolių. Jei jį ištinka kitokie priepuoliai, vairuotojo pažymėjimas gali būti išduodamas tik tada, jei nuo paskutinio priepuolio yra praėję vieni metai (žr. „6.1.5</w:t>
                </w:r>
                <w:r>
                  <w:rPr>
                    <w:i/>
                    <w:color w:val="000000"/>
                    <w:sz w:val="22"/>
                  </w:rPr>
                  <w:t xml:space="preserve"> </w:t>
                </w:r>
                <w:r>
                  <w:rPr>
                    <w:color w:val="000000"/>
                    <w:sz w:val="22"/>
                  </w:rPr>
                  <w:t>Epilepsija“).</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6.1.8.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Priepuoliai, atsiradę dėl gydytojo nurodymo pakeisti epilepsijos gydymą. Pacientui gali būti patariama nevairuoti nuo gydymo nutraukimo pradžios ir vėliau, šešis mėnesius po gydymo nutraukimo. Jei priepuoliai atsirado gydytojo nurodymu pakeitus vaistus arba nutraukus jų vartojimą ir jei vėl pradėtas taikyti ankstesnis veiksmingas gydymas, tris mėnesius negalima vairuoti.</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c>
              <w:tcPr>
                <w:tcW w:w="2370" w:type="dxa"/>
                <w:tcBorders>
                  <w:top w:val="single" w:sz="6" w:space="0" w:color="auto"/>
                  <w:bottom w:val="single" w:sz="6" w:space="0" w:color="auto"/>
                  <w:right w:val="single" w:sz="6" w:space="0" w:color="auto"/>
                </w:tcBorders>
              </w:tcPr>
              <w:p>
                <w:pPr>
                  <w:widowControl w:val="0"/>
                  <w:rPr>
                    <w:sz w:val="22"/>
                  </w:rPr>
                </w:pP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6.1.9.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Po epilepsijos gydymo tikslais atliktos operacijos (žr. „6.1.5. Epilepsija“).</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2</w:t>
                </w:r>
                <w:r>
                  <w:rPr>
                    <w:i/>
                    <w:color w:val="000000"/>
                    <w:sz w:val="22"/>
                  </w:rPr>
                  <w:t xml:space="preserve"> </w:t>
                </w:r>
                <w:r>
                  <w:rPr>
                    <w:color w:val="000000"/>
                    <w:sz w:val="22"/>
                  </w:rPr>
                  <w:t>grupė:</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6.1.10.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Kandidatas vairuotojo pažymėjimui gauti per reikalaujamą epilepsijos priepuolių nebuvimo laikotarpį turėtų nevartoti vaistų nuo epilepsijos. Turi būti atliktas atitinkamas medicininis patikrinimas. Išsamus neurologinis patikrinimas turi patvirtinti, kad nėra jokios susijusios smegenų patologijos, o elektroencefalogramoje neužfiksuota jokia epileptiforminė veikla. Po smarkaus epilepsijos požymių pasireiškimo turi būti atlikta elektroencefalograma ir atitinkamas neurologinis įvertinimas.</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6.1.11.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Sukeltas epilepsijos priepuolis. Jei kandidatas vairuotojo pažymėjimui gauti yra turėjęs žinomo provokuojamo veiksnio sukeltą epilepsijos priepuolį ir panašu, kad tas veiksnys nepasireikš vairuojant, toks asmuo atskirais atvejais, atsižvelgiant į gydytojo neurologo išvadą, gali būti pripažįstamas tinkamu vairuoti. Po smarkaus epilepsijos požymių pasireiškimo turi būti atliekama elektroencefalograma ir atitinkamas neurologinis įvertinimas.</w:t>
                </w:r>
              </w:p>
              <w:p>
                <w:pPr>
                  <w:widowControl w:val="0"/>
                  <w:suppressAutoHyphens/>
                  <w:rPr>
                    <w:color w:val="000000"/>
                    <w:sz w:val="22"/>
                  </w:rPr>
                </w:pPr>
                <w:r>
                  <w:rPr>
                    <w:color w:val="000000"/>
                    <w:sz w:val="22"/>
                  </w:rPr>
                  <w:t>Struktūrinį intracerebrinį sužeidimą turinčiam asmeniui su didele priepuolių rizika neturėtų būti leidžiama vairuoti 2</w:t>
                </w:r>
                <w:r>
                  <w:rPr>
                    <w:i/>
                    <w:color w:val="000000"/>
                    <w:sz w:val="22"/>
                  </w:rPr>
                  <w:t xml:space="preserve"> </w:t>
                </w:r>
                <w:r>
                  <w:rPr>
                    <w:color w:val="000000"/>
                    <w:sz w:val="22"/>
                  </w:rPr>
                  <w:t>grupės transporto priemonių tol, kol epilepsijos rizika sumažės bent iki 2</w:t>
                </w:r>
                <w:r>
                  <w:rPr>
                    <w:i/>
                    <w:color w:val="000000"/>
                    <w:sz w:val="22"/>
                  </w:rPr>
                  <w:t xml:space="preserve"> </w:t>
                </w:r>
                <w:r>
                  <w:rPr>
                    <w:color w:val="000000"/>
                    <w:sz w:val="22"/>
                  </w:rPr>
                  <w:t>proc. per metus. Prireikus vertinimas turėtų būti atliekamas atsižvelgiant į kitas susijusias 3</w:t>
                </w:r>
                <w:r>
                  <w:rPr>
                    <w:i/>
                    <w:color w:val="000000"/>
                    <w:sz w:val="22"/>
                  </w:rPr>
                  <w:t xml:space="preserve"> </w:t>
                </w:r>
                <w:r>
                  <w:rPr>
                    <w:color w:val="000000"/>
                    <w:sz w:val="22"/>
                  </w:rPr>
                  <w:t>lentelės dalis (pavyzdžiui, alkoholio vartojimo atveju).</w:t>
                </w:r>
              </w:p>
              <w:p>
                <w:pPr>
                  <w:widowControl w:val="0"/>
                  <w:suppressAutoHyphens/>
                  <w:rPr>
                    <w:color w:val="000000"/>
                    <w:sz w:val="22"/>
                  </w:rPr>
                </w:pPr>
                <w:r>
                  <w:rPr>
                    <w:color w:val="000000"/>
                    <w:sz w:val="22"/>
                  </w:rPr>
                  <w:t>Specialieji epilepsijos sindromai G40.5. Kandidatas vairuotojo pažymėjimui gauti arba atnaujinti, turėjęs pirmą sukeltą epilepsijos priepuolį, gali būti laikomas tinkamu vairuoti, jei jam atliktas atitinkamas medicininis įvertinimas ir pripažinta, kad jo ligos prognozė yra gera. Išsamus neurologinis patikrinimas turi patvirtinti, kad nėra jokios susijusios smegenų patologijos, o elektroencefalogramoje neužfiksuota jokia epileptiforminė veikla.</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 alkoholio sukeltų priepuolių atveju taikant apribojimą 68</w:t>
                </w: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6.1.12.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Pirmas arba vienintelis neišprovokuotas priepuolis. Po atitinkamo gydytojo neurologo įvertinimo pirmą neišprovokuotą epilepsijos priepuolį patyręs kandidatas vairuotojo pažymėjimui gauti gali būti laikomas tinkamu vairuoti, jei per penkerius metus neturėjo daugiau priepuolių ir to pasiekė nevartodamas vaistų nuo epilepsijos. Vairuotojams, kurių ligos prognozė yra gera, nacionalinės valdžios institucijos gali leisti vairuoti po trumpesnio laikotarpio.</w:t>
                </w:r>
              </w:p>
              <w:p>
                <w:pPr>
                  <w:widowControl w:val="0"/>
                  <w:suppressAutoHyphens/>
                  <w:rPr>
                    <w:color w:val="000000"/>
                    <w:sz w:val="22"/>
                  </w:rPr>
                </w:pPr>
                <w:r>
                  <w:rPr>
                    <w:color w:val="000000"/>
                    <w:sz w:val="22"/>
                  </w:rPr>
                  <w:t xml:space="preserve">Didieji priepuoliai, nepatikslinti (su ar be mažųjų priepuolių) G40.6; Epilepsija, nepatikslinta, </w:t>
                </w:r>
                <w:r>
                  <w:rPr>
                    <w:caps/>
                    <w:color w:val="000000"/>
                    <w:sz w:val="22"/>
                  </w:rPr>
                  <w:t xml:space="preserve">g40.9. </w:t>
                </w:r>
                <w:r>
                  <w:rPr>
                    <w:color w:val="000000"/>
                    <w:sz w:val="22"/>
                  </w:rPr>
                  <w:t>Išsamus neurologinis patikrinimas turi patvirtinti, kad nėra jokios susijusios smegenų patologijos, o elektroencefalogramoje, registruotoje būdravimo ir miego metu, neužfiksuota jokia epileptiforminė veikla.</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6.1.13.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Kitas sąmonės netekimas. Asmens sąmonės netekimas vertinamas atsižvelgiant į tai, ar yra rizika jam prarasti sąmonę vairuojant. Sąmonės netekimo rizika turėtų būti 2</w:t>
                </w:r>
                <w:r>
                  <w:rPr>
                    <w:i/>
                    <w:color w:val="000000"/>
                    <w:sz w:val="22"/>
                  </w:rPr>
                  <w:t xml:space="preserve"> </w:t>
                </w:r>
                <w:r>
                  <w:rPr>
                    <w:color w:val="000000"/>
                    <w:sz w:val="22"/>
                  </w:rPr>
                  <w:t>proc. per metus arba mažesnė.</w:t>
                </w:r>
              </w:p>
              <w:p>
                <w:pPr>
                  <w:widowControl w:val="0"/>
                  <w:suppressAutoHyphens/>
                  <w:rPr>
                    <w:color w:val="000000"/>
                    <w:sz w:val="22"/>
                  </w:rPr>
                </w:pPr>
                <w:r>
                  <w:rPr>
                    <w:color w:val="000000"/>
                    <w:sz w:val="22"/>
                  </w:rPr>
                  <w:t>Koma, nepatikslinta R40.2; Kiti ir nepatikslinti priepuoliai R56.8, jei lydimi sąmonės sutrikimo; Alpimas ir kolapsas R55; Idiopatinė periferinė autonominė (vegetacinė) neuropatija G90.0.</w:t>
                </w:r>
              </w:p>
              <w:p>
                <w:pPr>
                  <w:widowControl w:val="0"/>
                  <w:suppressAutoHyphens/>
                  <w:rPr>
                    <w:color w:val="000000"/>
                    <w:sz w:val="22"/>
                  </w:rPr>
                </w:pPr>
                <w:r>
                  <w:rPr>
                    <w:color w:val="000000"/>
                    <w:sz w:val="22"/>
                  </w:rPr>
                  <w:t>Išsamus neurologinis patikrinimas turi patvirtinti, kad nėra jokios susijusios smegenų patologijos, o elektroencefalogramoje, registruotoje būdravimo ir miego metu, neužfiksuota jokia epileptiforminė veikla.</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Spręsti individualiai </w:t>
                </w: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6.1.14.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Epilepsija G40. Reikia per 10</w:t>
                </w:r>
                <w:r>
                  <w:rPr>
                    <w:i/>
                    <w:color w:val="000000"/>
                    <w:sz w:val="22"/>
                  </w:rPr>
                  <w:t xml:space="preserve"> </w:t>
                </w:r>
                <w:r>
                  <w:rPr>
                    <w:color w:val="000000"/>
                    <w:sz w:val="22"/>
                  </w:rPr>
                  <w:t>metų neturėti daugiau priepuolių ir tokia būklė turi būti pasiekta nevartojant vaistų nuo epilepsijos. Nacionalinės valdžios institucijos vairuotojams, kurių ligos prognozė gera, gali leisti vairuoti po trumpesnio laikotarpio. Tai taikoma ir jaunuolių epilepsijos atveju.</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6.1.15.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Tam tikri sutrikimai (pavyzdžiui, arterijų ir venų ydingas susiformavimas arba intracerebrinė hemoragija I67.1) padidina priepuolių riziką, net jei jie dar nebuvo ištikę. Tokiu atveju būklę turėtų vertinti gydytojas neurologas, vairuotojo pažymėjimas gali būti išduodamas tik tada, jei priepuolio rizika yra 2</w:t>
                </w:r>
                <w:r>
                  <w:rPr>
                    <w:i/>
                    <w:color w:val="000000"/>
                    <w:sz w:val="22"/>
                  </w:rPr>
                  <w:t xml:space="preserve"> </w:t>
                </w:r>
                <w:r>
                  <w:rPr>
                    <w:color w:val="000000"/>
                    <w:sz w:val="22"/>
                  </w:rPr>
                  <w:t>proc. per metus arba mažesnė.</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6.4.</w:t>
                </w:r>
              </w:p>
            </w:tc>
            <w:tc>
              <w:tcPr>
                <w:tcW w:w="9109" w:type="dxa"/>
                <w:tcBorders>
                  <w:top w:val="single" w:sz="6" w:space="0" w:color="auto"/>
                  <w:left w:val="single" w:sz="6" w:space="0" w:color="auto"/>
                  <w:bottom w:val="single" w:sz="6" w:space="0" w:color="auto"/>
                  <w:right w:val="single" w:sz="6" w:space="0" w:color="auto"/>
                </w:tcBorders>
              </w:tcPr>
              <w:p>
                <w:pPr>
                  <w:outlineLvl w:val="3"/>
                  <w:rPr>
                    <w:b/>
                    <w:bCs/>
                    <w:szCs w:val="24"/>
                    <w:lang w:eastAsia="lt-LT"/>
                  </w:rPr>
                </w:pPr>
                <w:r>
                  <w:rPr>
                    <w:b/>
                    <w:bCs/>
                    <w:szCs w:val="24"/>
                    <w:lang w:eastAsia="lt-LT"/>
                  </w:rPr>
                  <w:t>OBSTRUKCINĖS MIEGO APNĖJOS SINDROMAS G47.32</w:t>
                </w:r>
              </w:p>
              <w:p>
                <w:pPr>
                  <w:rPr>
                    <w:sz w:val="2"/>
                    <w:szCs w:val="2"/>
                  </w:rPr>
                </w:pPr>
              </w:p>
              <w:p>
                <w:pPr>
                  <w:suppressAutoHyphens/>
                  <w:ind w:left="24"/>
                  <w:jc w:val="both"/>
                  <w:rPr>
                    <w:szCs w:val="24"/>
                  </w:rPr>
                </w:pPr>
                <w:r>
                  <w:rPr>
                    <w:szCs w:val="24"/>
                  </w:rPr>
                  <w:t>Gydytojas neurologas arba gydytojas pulmonologas turi nustatyti OMA sunkumo laipsnį, kad tinkamai įvertintų paciento gebėjimą saugiai vairuoti ir paskirtų reikiamą gydymą bei nurodytų galimas pagalbos priemones ar taikomų apribojimų dėl medicininių priežasčių kodus. Tai turėtų padaryti gydytojas pulmonologas ar gydytojas neurologas asmens sveikatos priežiūros įstaigoje, kuri turi galimybę ir licenciją atlikti reikiamus tyrimus OMA diagnozei patvirtinti arba paneigti ir geba įvertinti gydymo efektyvumą.</w:t>
                </w:r>
              </w:p>
              <w:p>
                <w:pPr>
                  <w:suppressAutoHyphens/>
                  <w:ind w:left="24"/>
                  <w:jc w:val="both"/>
                  <w:rPr>
                    <w:szCs w:val="24"/>
                  </w:rPr>
                </w:pPr>
                <w:r>
                  <w:rPr>
                    <w:szCs w:val="24"/>
                  </w:rPr>
                  <w:t>Kandidatus į vairuotojus arba atnaujinančius vairuotojo pažymėjimą asmenis, kuriems įtariama vidutinio sunkumo ir sunki OMA, reikia informuoti, kad iki patikslintos diagnozės nustatymo jie turi nevairuoti.</w:t>
                </w:r>
              </w:p>
              <w:p>
                <w:pPr>
                  <w:suppressAutoHyphens/>
                  <w:ind w:left="24" w:firstLine="142"/>
                  <w:jc w:val="both"/>
                  <w:rPr>
                    <w:szCs w:val="24"/>
                  </w:rPr>
                </w:pPr>
                <w:r>
                  <w:rPr>
                    <w:szCs w:val="24"/>
                  </w:rPr>
                  <w:t>Asmeniui, kuriam nustatoma vidutinio sunkumo OMA, kai apnėjos ir hipopnėjos indeksas 15–29 / val., sunki OMA, kai apnėjos ir hipopnėjos indeksas daugiau kaip 30/val., draudžiama vairuoti. Gydytojo pulmonologo ar gydytojo neurologo pranešime (žr. Aprašo 26</w:t>
                </w:r>
                <w:r>
                  <w:rPr>
                    <w:i/>
                    <w:szCs w:val="24"/>
                  </w:rPr>
                  <w:t xml:space="preserve"> </w:t>
                </w:r>
                <w:r>
                  <w:rPr>
                    <w:szCs w:val="24"/>
                  </w:rPr>
                  <w:t xml:space="preserve">punktą) turi būti nurodytas draudimas vairuoti, iki bus pateikta išvada, </w:t>
                </w:r>
                <w:r>
                  <w:rPr>
                    <w:bCs/>
                    <w:szCs w:val="24"/>
                  </w:rPr>
                  <w:t>kad pacientas vairuoti gali (kai bus pritaikytas gydymas ir įvertintas gydymo efektyvumas)</w:t>
                </w:r>
              </w:p>
              <w:p>
                <w:pPr>
                  <w:suppressAutoHyphens/>
                  <w:ind w:left="24"/>
                  <w:jc w:val="both"/>
                  <w:rPr>
                    <w:szCs w:val="24"/>
                  </w:rPr>
                </w:pPr>
                <w:r>
                  <w:rPr>
                    <w:szCs w:val="24"/>
                  </w:rPr>
                  <w:t>nevairuoti.</w:t>
                </w:r>
              </w:p>
              <w:p>
                <w:pPr>
                  <w:widowControl w:val="0"/>
                  <w:suppressAutoHyphens/>
                  <w:rPr>
                    <w:color w:val="000000"/>
                    <w:sz w:val="22"/>
                  </w:rPr>
                </w:pPr>
                <w:r>
                  <w:rPr>
                    <w:szCs w:val="24"/>
                  </w:rPr>
                  <w:t>Asmeniui, kuriam nustatoma vidutinio sunkumo OMA, kai apnėjos ir hipopnėjos indeksas 15–29 / val., sunki OMA, kai apnėjos ir hipopnėjos indeksas daugiau kaip 30/val., draudžiama vairuoti. Gydytojo pulmonologo ar gydytojo neurologo pranešime (žr. Aprašo 26</w:t>
                </w:r>
                <w:r>
                  <w:rPr>
                    <w:i/>
                    <w:szCs w:val="24"/>
                  </w:rPr>
                  <w:t xml:space="preserve"> </w:t>
                </w:r>
                <w:r>
                  <w:rPr>
                    <w:szCs w:val="24"/>
                  </w:rPr>
                  <w:t xml:space="preserve">punktą) turi būti nurodytas draudimas vairuoti, iki bus pateikta išvada, </w:t>
                </w:r>
                <w:r>
                  <w:rPr>
                    <w:bCs/>
                    <w:szCs w:val="24"/>
                  </w:rPr>
                  <w:t>kad pacientas vairuoti gali (kai bus pritaikytas gydymas ir įvertintas gydymo efektyvumas).</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rPr>
                    <w:szCs w:val="24"/>
                  </w:rPr>
                </w:pPr>
                <w:r>
                  <w:rPr>
                    <w:szCs w:val="24"/>
                  </w:rPr>
                  <w:t>6.4.1.</w:t>
                </w:r>
              </w:p>
            </w:tc>
            <w:tc>
              <w:tcPr>
                <w:tcW w:w="9109" w:type="dxa"/>
                <w:tcBorders>
                  <w:top w:val="single" w:sz="6" w:space="0" w:color="auto"/>
                  <w:left w:val="single" w:sz="6" w:space="0" w:color="auto"/>
                  <w:bottom w:val="single" w:sz="6" w:space="0" w:color="auto"/>
                  <w:right w:val="single" w:sz="6" w:space="0" w:color="auto"/>
                </w:tcBorders>
              </w:tcPr>
              <w:p>
                <w:pPr>
                  <w:rPr>
                    <w:szCs w:val="24"/>
                  </w:rPr>
                </w:pPr>
                <w:r>
                  <w:rPr>
                    <w:szCs w:val="24"/>
                  </w:rPr>
                  <w:t>Vairuotojams arba kandidatams vairuotojo pažymėjimui gauti, kuriems nustatyta vidutinio sunkumo ar sunki OMA, vairuoti draudžiama.</w:t>
                </w:r>
              </w:p>
              <w:p>
                <w:pPr>
                  <w:rPr>
                    <w:i/>
                    <w:szCs w:val="24"/>
                  </w:rPr>
                </w:pPr>
                <w:r>
                  <w:rPr>
                    <w:szCs w:val="24"/>
                  </w:rPr>
                  <w:t>Vairuotojai arba kandidatai vairuotojo pažymėjimui gauti gali būti laikomi tinkamais vairuoti, jei pateikiama gydytojo pulmonologo ar gydytojo neurologo išvada įrodo, kad jie pakankamai kontroliuoja savo sutrikimą, laikosi tinkamo gydymo kurso. Sveikata turi būti reguliariai tikrinama ne rečiau kaip kas trejus metus, siekiant nustatyti, ar laikomasi nustatyto gydymo kurso, poreikį tęsti gydymą ir budrumo lygį.</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r>
                  <w:rPr>
                    <w:szCs w:val="24"/>
                  </w:rPr>
                  <w:t>Spręsti individualiai</w:t>
                </w:r>
              </w:p>
            </w:tc>
            <w:tc>
              <w:tcPr>
                <w:tcW w:w="2370" w:type="dxa"/>
                <w:tcBorders>
                  <w:top w:val="single" w:sz="6" w:space="0" w:color="auto"/>
                  <w:bottom w:val="single" w:sz="6" w:space="0" w:color="auto"/>
                  <w:right w:val="single" w:sz="6" w:space="0" w:color="auto"/>
                </w:tcBorders>
                <w:vAlign w:val="center"/>
              </w:tcPr>
              <w:p>
                <w:pPr>
                  <w:jc w:val="center"/>
                  <w:rPr>
                    <w:szCs w:val="24"/>
                  </w:rPr>
                </w:pPr>
                <w:r>
                  <w:rPr>
                    <w:szCs w:val="24"/>
                  </w:rPr>
                  <w:t>Spręsti individualiai</w:t>
                </w: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rPr>
                    <w:szCs w:val="24"/>
                  </w:rPr>
                </w:pPr>
              </w:p>
            </w:tc>
            <w:tc>
              <w:tcPr>
                <w:tcW w:w="9109" w:type="dxa"/>
                <w:tcBorders>
                  <w:top w:val="single" w:sz="6" w:space="0" w:color="auto"/>
                  <w:left w:val="single" w:sz="6" w:space="0" w:color="auto"/>
                  <w:bottom w:val="single" w:sz="6" w:space="0" w:color="auto"/>
                  <w:right w:val="single" w:sz="6" w:space="0" w:color="auto"/>
                </w:tcBorders>
              </w:tcPr>
              <w:p>
                <w:pPr>
                  <w:rPr>
                    <w:szCs w:val="24"/>
                  </w:rPr>
                </w:pPr>
                <w:r>
                  <w:rPr>
                    <w:szCs w:val="24"/>
                    <w:lang w:val="en-US"/>
                  </w:rPr>
                  <w:t xml:space="preserve">2 </w:t>
                </w:r>
                <w:r>
                  <w:rPr>
                    <w:szCs w:val="24"/>
                  </w:rPr>
                  <w:t>grupė</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Cs w:val="24"/>
                  </w:rPr>
                </w:pPr>
                <w:r>
                  <w:rPr>
                    <w:szCs w:val="24"/>
                  </w:rPr>
                  <w:t>6.4.2.</w:t>
                </w:r>
              </w:p>
            </w:tc>
            <w:tc>
              <w:tcPr>
                <w:tcW w:w="9109" w:type="dxa"/>
                <w:tcBorders>
                  <w:top w:val="single" w:sz="6" w:space="0" w:color="auto"/>
                  <w:left w:val="single" w:sz="6" w:space="0" w:color="auto"/>
                  <w:bottom w:val="single" w:sz="6" w:space="0" w:color="auto"/>
                  <w:right w:val="single" w:sz="6" w:space="0" w:color="auto"/>
                </w:tcBorders>
              </w:tcPr>
              <w:p>
                <w:pPr>
                  <w:rPr>
                    <w:szCs w:val="24"/>
                  </w:rPr>
                </w:pPr>
                <w:r>
                  <w:rPr>
                    <w:szCs w:val="24"/>
                  </w:rPr>
                  <w:t>Vairuotojams arba kandidatams vairuotojo pažymėjimui gauti, kuriems nustatyta vidutinio sunkumo ar sunki OMA, vairuoti draudžiama.</w:t>
                </w:r>
              </w:p>
              <w:p>
                <w:pPr>
                  <w:rPr>
                    <w:szCs w:val="24"/>
                  </w:rPr>
                </w:pPr>
                <w:r>
                  <w:rPr>
                    <w:szCs w:val="24"/>
                  </w:rPr>
                  <w:t>Vairuotojai arba kandidatai vairuotojo pažymėjimui gauti gali būti laikomi tinkamais vairuoti, jei pateikiama gydytojo pulmonologo ar gydytojo neurologo išvada įrodo, kad jie pakankamai kontroliuoja savo sutrikimą, laikosi tinkamo gydymo kurso. Sveikata turi būti reguliariai tikrinama ne rečiau kaip kas vienus metus, siekiant nustatyti, ar laikomasi nustatyto gydymo kurso, poreikį tęsti gydymą ir budrumo lygį.</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r>
                  <w:rPr>
                    <w:szCs w:val="24"/>
                  </w:rPr>
                  <w:t>Spręsti individualiai</w:t>
                </w:r>
              </w:p>
            </w:tc>
            <w:tc>
              <w:tcPr>
                <w:tcW w:w="2370" w:type="dxa"/>
                <w:tcBorders>
                  <w:top w:val="single" w:sz="6" w:space="0" w:color="auto"/>
                  <w:bottom w:val="single" w:sz="6" w:space="0" w:color="auto"/>
                  <w:right w:val="single" w:sz="6" w:space="0" w:color="auto"/>
                </w:tcBorders>
                <w:vAlign w:val="center"/>
              </w:tcPr>
              <w:p>
                <w:pPr>
                  <w:jc w:val="center"/>
                  <w:rPr>
                    <w:szCs w:val="24"/>
                  </w:rPr>
                </w:pPr>
                <w:r>
                  <w:rPr>
                    <w:szCs w:val="24"/>
                  </w:rPr>
                  <w:t>Spręsti individualiai</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r>
                  <w:rPr>
                    <w:sz w:val="22"/>
                  </w:rPr>
                  <w:t>7.</w:t>
                </w:r>
              </w:p>
            </w:tc>
            <w:tc>
              <w:tcPr>
                <w:tcW w:w="9109" w:type="dxa"/>
                <w:tcBorders>
                  <w:top w:val="single" w:sz="6" w:space="0" w:color="auto"/>
                  <w:left w:val="single" w:sz="6" w:space="0" w:color="auto"/>
                  <w:bottom w:val="single" w:sz="6" w:space="0" w:color="auto"/>
                  <w:right w:val="single" w:sz="6" w:space="0" w:color="auto"/>
                </w:tcBorders>
              </w:tcPr>
              <w:p>
                <w:pPr>
                  <w:rPr>
                    <w:sz w:val="22"/>
                  </w:rPr>
                </w:pPr>
                <w:r>
                  <w:rPr>
                    <w:sz w:val="22"/>
                  </w:rPr>
                  <w:t>PSICHIKOS IR ELGESIO SUTRIKIMAI </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r>
                  <w:rPr>
                    <w:sz w:val="22"/>
                  </w:rPr>
                  <w:t>7.1.</w:t>
                </w:r>
              </w:p>
            </w:tc>
            <w:tc>
              <w:tcPr>
                <w:tcW w:w="9109" w:type="dxa"/>
                <w:tcBorders>
                  <w:top w:val="single" w:sz="6" w:space="0" w:color="auto"/>
                  <w:left w:val="single" w:sz="6" w:space="0" w:color="auto"/>
                  <w:bottom w:val="single" w:sz="6" w:space="0" w:color="auto"/>
                  <w:right w:val="single" w:sz="6" w:space="0" w:color="auto"/>
                </w:tcBorders>
              </w:tcPr>
              <w:p>
                <w:pPr>
                  <w:rPr>
                    <w:sz w:val="22"/>
                  </w:rPr>
                </w:pPr>
                <w:r>
                  <w:rPr>
                    <w:sz w:val="22"/>
                  </w:rPr>
                  <w:t>Visų etiologijų demencijos F00–F03</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Visos transporto priemonės</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r>
                  <w:rPr>
                    <w:sz w:val="22"/>
                  </w:rPr>
                  <w:t>7.2.</w:t>
                </w:r>
              </w:p>
            </w:tc>
            <w:tc>
              <w:tcPr>
                <w:tcW w:w="9109"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Organiniai ir simptominiai psichikos sutrikimai F04; F05; F06. </w:t>
                </w:r>
              </w:p>
              <w:p>
                <w:pPr>
                  <w:rPr>
                    <w:sz w:val="22"/>
                  </w:rPr>
                </w:pPr>
                <w:r>
                  <w:rPr>
                    <w:sz w:val="22"/>
                  </w:rPr>
                  <w:t>Sprendžiama individualiai, įvertinus kompleksinio tyrimo duomenis, kompensacijos stabilumą, skiriamą medikamentinį gydymą ar pasveikus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Spręsti individualiai</w:t>
                </w:r>
              </w:p>
              <w:p>
                <w:pPr>
                  <w:jc w:val="center"/>
                  <w:rPr>
                    <w:sz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r>
                  <w:rPr>
                    <w:sz w:val="22"/>
                  </w:rPr>
                  <w:t>7.3.</w:t>
                </w:r>
              </w:p>
            </w:tc>
            <w:tc>
              <w:tcPr>
                <w:tcW w:w="9109" w:type="dxa"/>
                <w:tcBorders>
                  <w:top w:val="single" w:sz="6" w:space="0" w:color="auto"/>
                  <w:left w:val="single" w:sz="6" w:space="0" w:color="auto"/>
                  <w:bottom w:val="single" w:sz="6" w:space="0" w:color="auto"/>
                  <w:right w:val="single" w:sz="6" w:space="0" w:color="auto"/>
                </w:tcBorders>
              </w:tcPr>
              <w:p>
                <w:pPr>
                  <w:rPr>
                    <w:sz w:val="22"/>
                  </w:rPr>
                </w:pPr>
                <w:r>
                  <w:rPr>
                    <w:sz w:val="22"/>
                  </w:rPr>
                  <w:t>Organiniai asmenybės ir elgesio sutrikimai F07, F09.</w:t>
                </w:r>
              </w:p>
              <w:p>
                <w:pPr>
                  <w:rPr>
                    <w:sz w:val="22"/>
                  </w:rPr>
                </w:pPr>
                <w:r>
                  <w:rPr>
                    <w:sz w:val="22"/>
                  </w:rPr>
                  <w:t>Sprendžiama individualiai, įvertinus kompleksinio tyrimo duomenis, kompensacijos stabilumą, adaptacijos kokybę, skiriamą medikamentinį gydymą</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p>
                <w:pPr>
                  <w:jc w:val="center"/>
                  <w:rPr>
                    <w:sz w:val="22"/>
                  </w:rPr>
                </w:pPr>
                <w:r>
                  <w:rPr>
                    <w:sz w:val="22"/>
                  </w:rPr>
                  <w:t>Spręsti individualiai</w:t>
                </w:r>
              </w:p>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 xml:space="preserve">Spręsti individualiai </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r>
                  <w:rPr>
                    <w:sz w:val="22"/>
                  </w:rPr>
                  <w:t>7.4.</w:t>
                </w:r>
              </w:p>
            </w:tc>
            <w:tc>
              <w:tcPr>
                <w:tcW w:w="9109" w:type="dxa"/>
                <w:tcBorders>
                  <w:top w:val="single" w:sz="6" w:space="0" w:color="auto"/>
                  <w:left w:val="single" w:sz="6" w:space="0" w:color="auto"/>
                  <w:bottom w:val="single" w:sz="6" w:space="0" w:color="auto"/>
                  <w:right w:val="single" w:sz="6" w:space="0" w:color="auto"/>
                </w:tcBorders>
              </w:tcPr>
              <w:p>
                <w:pPr>
                  <w:rPr>
                    <w:sz w:val="22"/>
                  </w:rPr>
                </w:pPr>
                <w:r>
                  <w:rPr>
                    <w:sz w:val="22"/>
                  </w:rPr>
                  <w:t>Psichikos ir elgesio sutrikimai, vartojant psichotropines medžiagas</w:t>
                </w:r>
              </w:p>
              <w:p>
                <w:pPr>
                  <w:rPr>
                    <w:sz w:val="22"/>
                  </w:rPr>
                </w:pPr>
                <w:r>
                  <w:rPr>
                    <w:sz w:val="22"/>
                  </w:rPr>
                  <w:t>F1X.1–F1X.9 (remisijų metu sprendžiama individualiai, atsižvelgiant į remisijų trukmę, stabilumą, adaptaciją, skiriamą medikamentinį gydymą)</w:t>
                </w:r>
              </w:p>
              <w:p>
                <w:pPr>
                  <w:rPr>
                    <w:sz w:val="22"/>
                  </w:rPr>
                </w:pPr>
                <w:r>
                  <w:rPr>
                    <w:sz w:val="22"/>
                  </w:rPr>
                  <w:t>(X – bet kuris skaičius nuo 1 iki 9, išskyrus 7).</w:t>
                </w:r>
              </w:p>
              <w:p>
                <w:pPr>
                  <w:rPr>
                    <w:sz w:val="22"/>
                  </w:rPr>
                </w:pPr>
                <w:r>
                  <w:rPr>
                    <w:sz w:val="22"/>
                  </w:rPr>
                  <w:t xml:space="preserve">Praėjus abstinencijos laikotarpiui ir pateikus gydytojo psichiatro išvadą bei reguliariai (gydytojo nustatytu dažnumu) atliekant medicinines apžiūras, vairuotojo pažymėjimai gali būti išduodami kandidatams į vairuotojus ar atnaujinami vairuotojams, kurie praeityje buvo priklausomi nuo alkoholio. </w:t>
                </w:r>
              </w:p>
              <w:p>
                <w:pPr>
                  <w:rPr>
                    <w:sz w:val="22"/>
                  </w:rPr>
                </w:pPr>
                <w:r>
                  <w:rPr>
                    <w:sz w:val="22"/>
                  </w:rPr>
                  <w:t>Vairuotojo pažymėjimai neišduodami kandidatams į vairuotojus ar neatnaujinami vairuotojams, kurie reguliariai bet kokia forma vartoja psichotropines medžiagas, galinčias trukdyti saugiai vairuoti, kai suvartotas kiekis gali turėti neigiamą poveikį vairavimui. Tai taikoma ir visiems kitiems vaistams ar vaistų deriniams, turintiems poveikį gebėjimui vairuoti</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p>
                <w:pPr>
                  <w:jc w:val="center"/>
                  <w:rPr>
                    <w:sz w:val="22"/>
                  </w:rPr>
                </w:pPr>
              </w:p>
              <w:p>
                <w:pPr>
                  <w:jc w:val="center"/>
                  <w:rPr>
                    <w:sz w:val="22"/>
                  </w:rPr>
                </w:pPr>
                <w:r>
                  <w:rPr>
                    <w:sz w:val="22"/>
                  </w:rPr>
                  <w:t>Spręsti individualiai</w:t>
                </w:r>
              </w:p>
              <w:p>
                <w:pPr>
                  <w:jc w:val="center"/>
                  <w:rPr>
                    <w:sz w:val="22"/>
                  </w:rPr>
                </w:pPr>
                <w:r>
                  <w:rPr>
                    <w:sz w:val="22"/>
                  </w:rPr>
                  <w:t>Esant F10.1–F10.9 taikyti apribojimą 68</w:t>
                </w:r>
              </w:p>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Spręsti individualiai</w:t>
                </w:r>
              </w:p>
              <w:p>
                <w:pPr>
                  <w:jc w:val="center"/>
                  <w:rPr>
                    <w:sz w:val="22"/>
                  </w:rPr>
                </w:pPr>
                <w:r>
                  <w:rPr>
                    <w:sz w:val="22"/>
                  </w:rPr>
                  <w:t xml:space="preserve">Esant F10.1–F10.9 taikyti apribojimą 68 </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r>
                  <w:rPr>
                    <w:sz w:val="22"/>
                  </w:rPr>
                  <w:t>7.5.</w:t>
                </w:r>
              </w:p>
            </w:tc>
            <w:tc>
              <w:tcPr>
                <w:tcW w:w="9109" w:type="dxa"/>
                <w:tcBorders>
                  <w:top w:val="single" w:sz="6" w:space="0" w:color="auto"/>
                  <w:left w:val="single" w:sz="6" w:space="0" w:color="auto"/>
                  <w:bottom w:val="single" w:sz="6" w:space="0" w:color="auto"/>
                  <w:right w:val="single" w:sz="6" w:space="0" w:color="auto"/>
                </w:tcBorders>
              </w:tcPr>
              <w:p>
                <w:pPr>
                  <w:rPr>
                    <w:sz w:val="22"/>
                  </w:rPr>
                </w:pPr>
                <w:r>
                  <w:rPr>
                    <w:sz w:val="22"/>
                  </w:rPr>
                  <w:t>Šizofrenija, šizotipinis ir kliedesiniai sutrikimai F20–29</w:t>
                </w:r>
              </w:p>
              <w:p>
                <w:pPr>
                  <w:rPr>
                    <w:sz w:val="22"/>
                  </w:rPr>
                </w:pPr>
                <w:r>
                  <w:rPr>
                    <w:sz w:val="22"/>
                  </w:rPr>
                  <w:t>(esant remisijai ar ribinio lygio rezidualinei simptomatikai, galimybės vairuoti klausimas sprendžiamas individualiai, atsižvelgiant į kompleksinio tyrimo duomenis – remisijos trukmę, kokybę, rezidualinę simptomatiką, adaptacijos kokybę, skiriamą medikamentinį gydymą).</w:t>
                </w:r>
              </w:p>
              <w:p>
                <w:pPr>
                  <w:rPr>
                    <w:sz w:val="22"/>
                  </w:rPr>
                </w:pPr>
                <w:r>
                  <w:rPr>
                    <w:sz w:val="22"/>
                  </w:rPr>
                  <w:t>Psichozinio lygio sutrikimų atveju kokybiška remisija turėtų trukti ne trumpiau kaip 1 metus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 xml:space="preserve">Spręsti individualiai </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 xml:space="preserve">Visos transporto priemonės, išskyrus F21 ir F23, – spręsti individualiai </w:t>
                </w:r>
              </w:p>
              <w:p>
                <w:pPr>
                  <w:jc w:val="center"/>
                  <w:rPr>
                    <w:sz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r>
                  <w:rPr>
                    <w:sz w:val="22"/>
                  </w:rPr>
                  <w:t>7.6.</w:t>
                </w:r>
              </w:p>
            </w:tc>
            <w:tc>
              <w:tcPr>
                <w:tcW w:w="9109" w:type="dxa"/>
                <w:tcBorders>
                  <w:top w:val="single" w:sz="6" w:space="0" w:color="auto"/>
                  <w:left w:val="single" w:sz="6" w:space="0" w:color="auto"/>
                  <w:bottom w:val="single" w:sz="6" w:space="0" w:color="auto"/>
                  <w:right w:val="single" w:sz="6" w:space="0" w:color="auto"/>
                </w:tcBorders>
              </w:tcPr>
              <w:p>
                <w:pPr>
                  <w:rPr>
                    <w:sz w:val="22"/>
                  </w:rPr>
                </w:pPr>
                <w:r>
                  <w:rPr>
                    <w:sz w:val="22"/>
                  </w:rPr>
                  <w:t>Afektiniai sutrikimai esant psichozės simptomams F30.2, F31.2, F31.5, F32.3, F33.3 (remisijų metu klausimas sprendžiamas individualiai, atsižvelgiant į remisijos trukmę, stabilumą, adaptaciją, skiriamą medikamentinį gydymą)</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 xml:space="preserve">Spręsti individualiai </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r>
                  <w:rPr>
                    <w:sz w:val="22"/>
                  </w:rPr>
                  <w:t>7.7.</w:t>
                </w:r>
              </w:p>
            </w:tc>
            <w:tc>
              <w:tcPr>
                <w:tcW w:w="9109" w:type="dxa"/>
                <w:tcBorders>
                  <w:top w:val="single" w:sz="6" w:space="0" w:color="auto"/>
                  <w:left w:val="single" w:sz="6" w:space="0" w:color="auto"/>
                  <w:bottom w:val="single" w:sz="6" w:space="0" w:color="auto"/>
                  <w:right w:val="single" w:sz="6" w:space="0" w:color="auto"/>
                </w:tcBorders>
              </w:tcPr>
              <w:p>
                <w:pPr>
                  <w:rPr>
                    <w:sz w:val="22"/>
                  </w:rPr>
                </w:pPr>
                <w:r>
                  <w:rPr>
                    <w:sz w:val="22"/>
                  </w:rPr>
                  <w:t>Suaugusiųjų asmenybės ir elgesio sutrikimai F60, F61, F62 –sprendžiama individualiai, atsižvelgiant į dekompensacijų dažnumą, laipsnį, adaptacijos kokybę, ilgalaikio psichotropinių vaistų vartojimo būtinumą. Vairuotojo pažymėjimai neišduodami kandidatams į vairuotojus ar neatnaujinami vairuotojams, turintiems </w:t>
                </w:r>
              </w:p>
              <w:p>
                <w:pPr>
                  <w:rPr>
                    <w:sz w:val="22"/>
                  </w:rPr>
                </w:pPr>
                <w:r>
                  <w:rPr>
                    <w:sz w:val="22"/>
                  </w:rPr>
                  <w:t>asmenybės sutrikimų, kurie labai trikdo nuovoką, elgesį ar sugebėjimą prisitaikyti, išskyrus atvejus, kai pateikiama gydytojo psichiatro išvada ir prireikus reguliariai atliekant medicinines apžiūras</w:t>
                </w:r>
              </w:p>
              <w:p>
                <w:pPr>
                  <w:rPr>
                    <w:sz w:val="22"/>
                  </w:rPr>
                </w:pP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Spręsti individualiai</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r>
                  <w:rPr>
                    <w:sz w:val="22"/>
                  </w:rPr>
                  <w:t>7.8.</w:t>
                </w:r>
              </w:p>
            </w:tc>
            <w:tc>
              <w:tcPr>
                <w:tcW w:w="9109"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Protinis atsilikimas </w:t>
                </w:r>
              </w:p>
              <w:p>
                <w:pPr>
                  <w:rPr>
                    <w:sz w:val="22"/>
                  </w:rPr>
                </w:pPr>
                <w:r>
                  <w:rPr>
                    <w:sz w:val="22"/>
                  </w:rPr>
                  <w:t xml:space="preserve">F70.0, F70.8, F70.9 </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r>
                  <w:rPr>
                    <w:sz w:val="22"/>
                  </w:rPr>
                  <w:t>7.9.</w:t>
                </w:r>
              </w:p>
            </w:tc>
            <w:tc>
              <w:tcPr>
                <w:tcW w:w="9109" w:type="dxa"/>
                <w:tcBorders>
                  <w:top w:val="single" w:sz="6" w:space="0" w:color="auto"/>
                  <w:left w:val="single" w:sz="6" w:space="0" w:color="auto"/>
                  <w:bottom w:val="single" w:sz="6" w:space="0" w:color="auto"/>
                  <w:right w:val="single" w:sz="6" w:space="0" w:color="auto"/>
                </w:tcBorders>
              </w:tcPr>
              <w:p>
                <w:pPr>
                  <w:rPr>
                    <w:sz w:val="22"/>
                  </w:rPr>
                </w:pPr>
                <w:r>
                  <w:rPr>
                    <w:sz w:val="22"/>
                  </w:rPr>
                  <w:t>Protinis atsilikimas F 70.1, F71, F72–F79</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Visos transporto priemonės</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r>
                  <w:rPr>
                    <w:sz w:val="22"/>
                  </w:rPr>
                  <w:t>7.10.</w:t>
                </w:r>
              </w:p>
            </w:tc>
            <w:tc>
              <w:tcPr>
                <w:tcW w:w="9109" w:type="dxa"/>
                <w:tcBorders>
                  <w:top w:val="single" w:sz="6" w:space="0" w:color="auto"/>
                  <w:left w:val="single" w:sz="6" w:space="0" w:color="auto"/>
                  <w:bottom w:val="single" w:sz="6" w:space="0" w:color="auto"/>
                  <w:right w:val="single" w:sz="6" w:space="0" w:color="auto"/>
                </w:tcBorders>
              </w:tcPr>
              <w:p>
                <w:pPr>
                  <w:rPr>
                    <w:sz w:val="22"/>
                  </w:rPr>
                </w:pPr>
                <w:r>
                  <w:rPr>
                    <w:sz w:val="22"/>
                  </w:rPr>
                  <w:t>Psichologinės raidos sutrikimai F83, F84</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Spręsti individualiai</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r>
                  <w:rPr>
                    <w:sz w:val="22"/>
                  </w:rPr>
                  <w:t>7.11.</w:t>
                </w:r>
              </w:p>
            </w:tc>
            <w:tc>
              <w:tcPr>
                <w:tcW w:w="9109" w:type="dxa"/>
                <w:tcBorders>
                  <w:top w:val="single" w:sz="6" w:space="0" w:color="auto"/>
                  <w:left w:val="single" w:sz="6" w:space="0" w:color="auto"/>
                  <w:bottom w:val="single" w:sz="6" w:space="0" w:color="auto"/>
                  <w:right w:val="single" w:sz="6" w:space="0" w:color="auto"/>
                </w:tcBorders>
              </w:tcPr>
              <w:p>
                <w:pPr>
                  <w:rPr>
                    <w:sz w:val="22"/>
                  </w:rPr>
                </w:pPr>
                <w:r>
                  <w:rPr>
                    <w:sz w:val="22"/>
                  </w:rPr>
                  <w:t>Elgesio ir emocijų sutrikimai, prasidedantys vaikystėje ir paauglystėje F95.2 ir F90</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Spręsti individualiai</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8.</w:t>
                </w:r>
              </w:p>
            </w:tc>
            <w:tc>
              <w:tcPr>
                <w:tcW w:w="9109"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 xml:space="preserve">Neteko galios nuo  2020-12-30</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9.</w:t>
                </w:r>
              </w:p>
            </w:tc>
            <w:tc>
              <w:tcPr>
                <w:tcW w:w="9109"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 xml:space="preserve">Neteko galios nuo  2020-12-30</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trHeight w:val="2414"/>
            </w:trPr>
            <w:tc>
              <w:tcPr>
                <w:tcW w:w="891" w:type="dxa"/>
                <w:tcBorders>
                  <w:top w:val="single" w:sz="6" w:space="0" w:color="auto"/>
                  <w:left w:val="single" w:sz="6" w:space="0" w:color="auto"/>
                  <w:right w:val="single" w:sz="6" w:space="0" w:color="auto"/>
                </w:tcBorders>
              </w:tcPr>
              <w:p>
                <w:pPr>
                  <w:rPr>
                    <w:sz w:val="22"/>
                  </w:rPr>
                </w:pPr>
                <w:r>
                  <w:rPr>
                    <w:sz w:val="22"/>
                  </w:rPr>
                  <w:t>10.</w:t>
                </w:r>
              </w:p>
            </w:tc>
            <w:tc>
              <w:tcPr>
                <w:tcW w:w="9109" w:type="dxa"/>
                <w:tcBorders>
                  <w:top w:val="single" w:sz="6" w:space="0" w:color="auto"/>
                  <w:left w:val="single" w:sz="6" w:space="0" w:color="auto"/>
                  <w:right w:val="single" w:sz="6" w:space="0" w:color="auto"/>
                </w:tcBorders>
              </w:tcPr>
              <w:p>
                <w:pPr>
                  <w:rPr>
                    <w:b/>
                    <w:bCs/>
                    <w:sz w:val="22"/>
                  </w:rPr>
                </w:pPr>
                <w:r>
                  <w:rPr>
                    <w:b/>
                    <w:bCs/>
                    <w:sz w:val="22"/>
                  </w:rPr>
                  <w:t>INKSTŲ SUTRIKIMAI:</w:t>
                </w:r>
              </w:p>
              <w:p>
                <w:pPr>
                  <w:rPr>
                    <w:sz w:val="22"/>
                  </w:rPr>
                </w:pPr>
                <w:r>
                  <w:rPr>
                    <w:sz w:val="22"/>
                  </w:rPr>
                  <w:t>1 grupė:</w:t>
                </w:r>
              </w:p>
              <w:p>
                <w:pPr>
                  <w:rPr>
                    <w:sz w:val="22"/>
                  </w:rPr>
                </w:pPr>
                <w:r>
                  <w:rPr>
                    <w:sz w:val="22"/>
                  </w:rPr>
                  <w:t>Vairuotojo pažymėjimai gali būti išduodami kandidatams į vairuotojus ar atnaujinami vairuotojams, sergantiems sunkiu inkstų nepakankamumu, pateikus gydytojo nefrologo išvadą ir reguliariai atliekant medicinines apžiūras.</w:t>
                </w:r>
              </w:p>
              <w:p>
                <w:pPr>
                  <w:rPr>
                    <w:sz w:val="22"/>
                  </w:rPr>
                </w:pPr>
                <w:r>
                  <w:rPr>
                    <w:sz w:val="22"/>
                  </w:rPr>
                  <w:t>2 grupė:</w:t>
                </w:r>
              </w:p>
              <w:p>
                <w:pPr>
                  <w:rPr>
                    <w:sz w:val="22"/>
                  </w:rPr>
                </w:pPr>
                <w:r>
                  <w:rPr>
                    <w:sz w:val="22"/>
                  </w:rPr>
                  <w:t xml:space="preserve">Išskyrus išskirtinius atvejus, kurie tinkamai pagrindžiami gydytojo nefrologo išvada ir reguliariai atliekant medicinines apžiūras, vairuotojo pažymėjimai neišduodami kandidatams į vairuotojus ar neatnaujinami vairuotojams, sergantiems sunkiu ir nepagydomu inkstų nepakankamumu. Lėtinis inkstų nepakankamumas </w:t>
                </w:r>
                <w:r>
                  <w:rPr>
                    <w:bCs/>
                    <w:sz w:val="22"/>
                  </w:rPr>
                  <w:t xml:space="preserve">N </w:t>
                </w:r>
                <w:r>
                  <w:rPr>
                    <w:sz w:val="22"/>
                  </w:rPr>
                  <w:t>18</w:t>
                </w:r>
              </w:p>
            </w:tc>
            <w:tc>
              <w:tcPr>
                <w:tcW w:w="2370" w:type="dxa"/>
                <w:tcBorders>
                  <w:top w:val="single" w:sz="6" w:space="0" w:color="auto"/>
                  <w:left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right w:val="single" w:sz="6" w:space="0" w:color="auto"/>
                </w:tcBorders>
                <w:vAlign w:val="center"/>
              </w:tcPr>
              <w:p>
                <w:pPr>
                  <w:jc w:val="center"/>
                  <w:rPr>
                    <w:sz w:val="22"/>
                  </w:rPr>
                </w:pPr>
                <w:r>
                  <w:rPr>
                    <w:sz w:val="22"/>
                  </w:rPr>
                  <w:t>Spręsti individualiai</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r>
                  <w:rPr>
                    <w:sz w:val="22"/>
                  </w:rPr>
                  <w:t>11.</w:t>
                </w:r>
              </w:p>
            </w:tc>
            <w:tc>
              <w:tcPr>
                <w:tcW w:w="9109" w:type="dxa"/>
                <w:tcBorders>
                  <w:top w:val="single" w:sz="6" w:space="0" w:color="auto"/>
                  <w:left w:val="single" w:sz="6" w:space="0" w:color="auto"/>
                  <w:bottom w:val="single" w:sz="6" w:space="0" w:color="auto"/>
                  <w:right w:val="single" w:sz="6" w:space="0" w:color="auto"/>
                </w:tcBorders>
              </w:tcPr>
              <w:p>
                <w:pPr>
                  <w:rPr>
                    <w:b/>
                    <w:bCs/>
                    <w:sz w:val="22"/>
                  </w:rPr>
                </w:pPr>
                <w:r>
                  <w:rPr>
                    <w:b/>
                    <w:bCs/>
                    <w:sz w:val="22"/>
                  </w:rPr>
                  <w:t>KITOS NUOSTATOS</w:t>
                </w:r>
              </w:p>
              <w:p>
                <w:pPr>
                  <w:rPr>
                    <w:sz w:val="22"/>
                  </w:rPr>
                </w:pPr>
                <w:r>
                  <w:rPr>
                    <w:sz w:val="22"/>
                  </w:rPr>
                  <w:t>1 grupė:</w:t>
                </w:r>
              </w:p>
              <w:p>
                <w:pPr>
                  <w:rPr>
                    <w:sz w:val="22"/>
                  </w:rPr>
                </w:pPr>
                <w:r>
                  <w:rPr>
                    <w:sz w:val="22"/>
                  </w:rPr>
                  <w:t>Pateikus atitinkamos profesinės kvalifikacijos gydytojo išvadą ir prireikus reguliariai atliekant medicinines apžiūras, vairuotojo pažymėjimai gali būti išduodami kandidatams į vairuotojus ar atnaujinami vairuotojams, kuriems buvo persodinti organai ar įdėtas dirbtinis organas, darantys poveikį gebėjimui vairuoti.</w:t>
                </w:r>
              </w:p>
              <w:p>
                <w:pPr>
                  <w:rPr>
                    <w:sz w:val="22"/>
                  </w:rPr>
                </w:pPr>
                <w:r>
                  <w:rPr>
                    <w:sz w:val="22"/>
                  </w:rPr>
                  <w:t>2 grupė:</w:t>
                </w:r>
              </w:p>
              <w:p>
                <w:pPr>
                  <w:rPr>
                    <w:sz w:val="22"/>
                  </w:rPr>
                </w:pPr>
                <w:r>
                  <w:rPr>
                    <w:sz w:val="22"/>
                  </w:rPr>
                  <w:t>Atitinkamos profesinės kvalifikacijos gydytojas tinkamai įvertina papildomą riziką ir pavojus, kurie kylą kai vairuojamos šiai grupei priskiriamos transporto priemonės.</w:t>
                </w:r>
              </w:p>
              <w:p>
                <w:pPr>
                  <w:rPr>
                    <w:sz w:val="22"/>
                  </w:rPr>
                </w:pPr>
                <w:r>
                  <w:rPr>
                    <w:sz w:val="22"/>
                  </w:rPr>
                  <w:t>Paprastai tais atvejais, kai kandidatai į vairuotojus ar vairuotojai turi bet kokių kitų sutrikimų, neišvardytų pirmesniame punkte, bet tikėtina, kad galinčių sukelti funkcinių sutrikimų, keliančių pavojų saugiam vairavimui, vairuotojo pažymėjimai neišduodami ar neatnaujinami, išskyrus atvejus, kai kartu su prašymu pateikiama atitinkamos profesinės kvalifikacijos gydytojo išvada ir prireikus reguliariai atliekamos medicininės apžiūros.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r>
                  <w:rPr>
                    <w:sz w:val="22"/>
                  </w:rPr>
                  <w:t>12.</w:t>
                </w:r>
              </w:p>
            </w:tc>
            <w:tc>
              <w:tcPr>
                <w:tcW w:w="9109" w:type="dxa"/>
                <w:tcBorders>
                  <w:top w:val="single" w:sz="6" w:space="0" w:color="auto"/>
                  <w:left w:val="single" w:sz="6" w:space="0" w:color="auto"/>
                  <w:bottom w:val="single" w:sz="6" w:space="0" w:color="auto"/>
                  <w:right w:val="single" w:sz="6" w:space="0" w:color="auto"/>
                </w:tcBorders>
              </w:tcPr>
              <w:p>
                <w:pPr>
                  <w:rPr>
                    <w:sz w:val="22"/>
                  </w:rPr>
                </w:pPr>
                <w:r>
                  <w:rPr>
                    <w:sz w:val="22"/>
                  </w:rPr>
                  <w:t>Kitos ligos ar būklės, kurių nėra šiame sąraše, tačiau dėl kurių, gydytojų komisijos sprendimu, asmuo negali vairuoti atitinkamos transporto priemonės. Sprendimą priima įstaigos gydytojų konsultacinė komisija, jį būtina argumentuoti.</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bl>
        <w:p>
          <w:pPr>
            <w:jc w:val="both"/>
          </w:pPr>
        </w:p>
        <w:sdt>
          <w:sdtPr>
            <w:alias w:val="pastraipa"/>
            <w:tag w:val="part_88076a29a3b646228878ce38e471d811"/>
            <w:lock w:val="sdtLocked"/>
            <w:richText/>
          </w:sdtPr>
          <w:sdtContent>
            <w:p>
              <w:pPr>
                <w:jc w:val="both"/>
                <w:rPr>
                  <w:sz w:val="22"/>
                </w:rPr>
              </w:pPr>
              <w:r>
                <w:rPr>
                  <w:sz w:val="22"/>
                </w:rPr>
                <w:t>Pastabos:</w:t>
              </w:r>
            </w:p>
          </w:sdtContent>
        </w:sdt>
        <w:sdt>
          <w:sdtPr>
            <w:alias w:val="1 p."/>
            <w:tag w:val="part_d7d4134afdee4da287f40136be0b9536"/>
            <w:lock w:val="sdtLocked"/>
            <w:richText/>
          </w:sdtPr>
          <w:sdtContent>
            <w:p>
              <w:pPr>
                <w:jc w:val="both"/>
                <w:rPr>
                  <w:sz w:val="22"/>
                </w:rPr>
              </w:pPr>
              <w:sdt>
                <w:sdtPr>
                  <w:alias w:val="Numeris"/>
                  <w:tag w:val="nr_d7d4134afdee4da287f40136be0b9536"/>
                  <w:lock w:val="sdtLocked"/>
                  <w:richText/>
                </w:sdtPr>
                <w:sdtContent>
                  <w:r>
                    <w:rPr>
                      <w:sz w:val="22"/>
                    </w:rPr>
                    <w:t>1</w:t>
                  </w:r>
                </w:sdtContent>
              </w:sdt>
              <w:r>
                <w:rPr>
                  <w:sz w:val="22"/>
                </w:rPr>
                <w:t xml:space="preserve">. </w:t>
              </w:r>
              <w:r>
                <w:rPr>
                  <w:i/>
                  <w:sz w:val="22"/>
                </w:rPr>
                <w:t>Neteko galios nuo 2018-09-14</w:t>
              </w:r>
              <w:r>
                <w:rPr>
                  <w:sz w:val="22"/>
                </w:rPr>
                <w:t>.</w:t>
              </w:r>
            </w:p>
          </w:sdtContent>
        </w:sdt>
        <w:sdt>
          <w:sdtPr>
            <w:alias w:val="2 p."/>
            <w:tag w:val="part_5b417e44656245c3a5d11707b15b9e2d"/>
            <w:lock w:val="sdtLocked"/>
            <w:richText/>
          </w:sdtPr>
          <w:sdtContent>
            <w:p>
              <w:pPr>
                <w:jc w:val="both"/>
                <w:rPr>
                  <w:sz w:val="22"/>
                </w:rPr>
              </w:pPr>
              <w:sdt>
                <w:sdtPr>
                  <w:alias w:val="Numeris"/>
                  <w:tag w:val="nr_5b417e44656245c3a5d11707b15b9e2d"/>
                  <w:lock w:val="sdtLocked"/>
                  <w:richText/>
                </w:sdtPr>
                <w:sdtContent>
                  <w:r>
                    <w:rPr>
                      <w:sz w:val="22"/>
                    </w:rPr>
                    <w:t>2</w:t>
                  </w:r>
                </w:sdtContent>
              </w:sdt>
              <w:r>
                <w:rPr>
                  <w:sz w:val="22"/>
                </w:rPr>
                <w:t xml:space="preserve">. </w:t>
              </w:r>
              <w:r>
                <w:rPr>
                  <w:color w:val="000000"/>
                  <w:szCs w:val="24"/>
                </w:rPr>
                <w:t>Spręsti individualiai“, „individualiu sprendimu“ reiškia, kad asmuo, atsakingas už vairuotojų sveikatos tikrinimus, o 29 punkte nurodytais atvejais – Vairuotojų sveikatos tikrinimo komisija ar</w:t>
              </w:r>
              <w:r>
                <w:rPr>
                  <w:color w:val="000000"/>
                  <w:sz w:val="22"/>
                  <w:szCs w:val="22"/>
                </w:rPr>
                <w:t xml:space="preserve"> </w:t>
              </w:r>
              <w:r>
                <w:rPr>
                  <w:color w:val="000000"/>
                  <w:szCs w:val="24"/>
                </w:rPr>
                <w:t xml:space="preserve">gydytojų konsultacinė komisija gali priimti individualų sprendimą, leidžiantį asmeniui vairuoti atitinkamos kategorijos transporto priemonę, atsižvelgdami į ligą, kompensaciją, adaptacijos kokybę, patologinio proceso grįžtamumą, jo progresavimą, tęsiant vairuotojo, dirbančio pagal darbo sutartis (atsižvelgiant į darbo krūvį, konkrečias pareigas), darbą, tiriamojo psichikos ir charakterio ypatumus, vadovaudamiesi ir specializuotų gydymo įstaigų, specialistų išvadomis ir rekomendacijomis. Tais atvejais, kai dėl vairuotojo sveikatos būklės būtina taikyti papildomas priemones saugiam vairavimui užtikrinti, Vairuotojų sveikatos tikrinimo komisija ar gydytojų konsultacinė komisija priima motyvuotą sprendimą dėl transporto priemonės </w:t>
              </w:r>
              <w:r>
                <w:rPr>
                  <w:szCs w:val="24"/>
                  <w:lang w:eastAsia="lt-LT"/>
                </w:rPr>
                <w:t>naudojimo ribojimų taikymo</w:t>
              </w:r>
              <w:r>
                <w:rPr>
                  <w:color w:val="000000"/>
                  <w:szCs w:val="24"/>
                </w:rPr>
                <w:t xml:space="preserve"> ir įrašo reikiamą </w:t>
              </w:r>
              <w:r>
                <w:rPr>
                  <w:szCs w:val="24"/>
                  <w:lang w:eastAsia="lt-LT"/>
                </w:rPr>
                <w:t xml:space="preserve">transporto priemonės naudojimo ribojimo </w:t>
              </w:r>
              <w:r>
                <w:rPr>
                  <w:color w:val="000000"/>
                  <w:szCs w:val="24"/>
                </w:rPr>
                <w:t>kodą (-us), nurodytą (-us) Aprašo 5 lentelėje į F Nr. E083-1 (ar F Nr. 083-1/a)</w:t>
              </w:r>
              <w:r>
                <w:rPr>
                  <w:sz w:val="22"/>
                </w:rPr>
                <w:t>.</w:t>
              </w:r>
            </w:p>
          </w:sdtContent>
        </w:sdt>
        <w:sdt>
          <w:sdtPr>
            <w:alias w:val="3 p."/>
            <w:tag w:val="part_7534734ae4f34e038c59619cb79be104"/>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jc w:val="both"/>
              </w:pPr>
              <w:sdt>
                <w:sdtPr>
                  <w:alias w:val="Numeris"/>
                  <w:tag w:val="nr_7534734ae4f34e038c59619cb79be104"/>
                  <w:lock w:val="sdtLocked"/>
                  <w:richText/>
                </w:sdtPr>
                <w:sdtContent>
                  <w:r>
                    <w:rPr>
                      <w:szCs w:val="24"/>
                    </w:rPr>
                    <w:t>3</w:t>
                  </w:r>
                </w:sdtContent>
              </w:sdt>
              <w:r>
                <w:rPr>
                  <w:szCs w:val="24"/>
                </w:rPr>
                <w:t xml:space="preserve">. Apie būtinybę vairuoti su akiniais, kontaktiniais lęšiais, klausos aparatu, protezu ir apie draudimą dirbti vairuotoju (užsiimti transporto ūkine veikla) privaloma įrašyti F Nr. E083-1 (ar </w:t>
              </w:r>
              <w:r>
                <w:rPr>
                  <w:rFonts w:eastAsia="Calibri"/>
                  <w:szCs w:val="24"/>
                </w:rPr>
                <w:t xml:space="preserve">F </w:t>
              </w:r>
              <w:r>
                <w:rPr>
                  <w:szCs w:val="24"/>
                </w:rPr>
                <w:t>Nr. 083-1/a). Čia įrašomi ir vairuotojų profesinės atrankos („D“ kategorijos, troleibuso, traktorių ir savaeigių mašinų) metu vykdyto psichologinio tyrimo rezultatai (blogai ir gerai atliktų užduočių santykis).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Lentelės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64DA17088A1">
            <w:r w:rsidRPr="00532B9F">
              <w:rPr>
                <w:rFonts w:ascii="Times New Roman" w:eastAsia="MS Mincho" w:hAnsi="Times New Roman"/>
                <w:sz w:val="20"/>
                <w:i/>
                <w:iCs/>
                <w:color w:val="0000FF" w:themeColor="hyperlink"/>
                <w:u w:val="single"/>
              </w:rPr>
              <w:t>V-802</w:t>
            </w:r>
          </w:fldSimple>
          <w:r>
            <w:rPr>
              <w:rFonts w:ascii="Times New Roman" w:eastAsia="MS Mincho" w:hAnsi="Times New Roman"/>
              <w:sz w:val="20"/>
              <w:i/>
              <w:iCs/>
            </w:rPr>
            <w:t>,
2010-09-20,
Žin., 2010, Nr.
113-5802 (2010-09-25), i. k. 1102250ISAK000V-802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a3f320b48611e598c4c7724bda031b">
            <w:r w:rsidRPr="00532B9F">
              <w:rPr>
                <w:rFonts w:ascii="Times New Roman" w:eastAsia="MS Mincho" w:hAnsi="Times New Roman"/>
                <w:sz w:val="20"/>
                <w:i/>
                <w:iCs/>
                <w:color w:val="0000FF" w:themeColor="hyperlink"/>
                <w:u w:val="single"/>
              </w:rPr>
              <w:t>V-1604</w:t>
            </w:r>
          </w:fldSimple>
          <w:r>
            <w:rPr>
              <w:rFonts w:ascii="Times New Roman" w:eastAsia="MS Mincho" w:hAnsi="Times New Roman"/>
              <w:sz w:val="20"/>
              <w:i/>
              <w:iCs/>
            </w:rPr>
            <w:t>,
2015-12-31,
paskelbta TAR 2016-01-07, i. k. 2016-00381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61ee00d19011e68d79c2033f194657">
            <w:r w:rsidRPr="00532B9F">
              <w:rPr>
                <w:rFonts w:ascii="Times New Roman" w:eastAsia="MS Mincho" w:hAnsi="Times New Roman"/>
                <w:sz w:val="20"/>
                <w:i/>
                <w:iCs/>
                <w:color w:val="0000FF" w:themeColor="hyperlink"/>
                <w:u w:val="single"/>
              </w:rPr>
              <w:t>V-1</w:t>
            </w:r>
          </w:fldSimple>
          <w:r>
            <w:rPr>
              <w:rFonts w:ascii="Times New Roman" w:eastAsia="MS Mincho" w:hAnsi="Times New Roman"/>
              <w:sz w:val="20"/>
              <w:i/>
              <w:iCs/>
            </w:rPr>
            <w:t>,
2017-01-02,
paskelbta TAR 2017-01-03, i. k. 2017-00405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5be9f0398911e881f2ba995b003ed2">
            <w:r w:rsidRPr="00532B9F">
              <w:rPr>
                <w:rFonts w:ascii="Times New Roman" w:eastAsia="MS Mincho" w:hAnsi="Times New Roman"/>
                <w:sz w:val="20"/>
                <w:i/>
                <w:iCs/>
                <w:color w:val="0000FF" w:themeColor="hyperlink"/>
                <w:u w:val="single"/>
              </w:rPr>
              <w:t>V-381</w:t>
            </w:r>
          </w:fldSimple>
          <w:r>
            <w:rPr>
              <w:rFonts w:ascii="Times New Roman" w:eastAsia="MS Mincho" w:hAnsi="Times New Roman"/>
              <w:sz w:val="20"/>
              <w:i/>
              <w:iCs/>
            </w:rPr>
            <w:t>,
2018-04-06,
paskelbta TAR 2018-04-09, i. k. 2018-05598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8105e0b72011e88f64a5ecc703f89b">
            <w:r w:rsidRPr="00532B9F">
              <w:rPr>
                <w:rFonts w:ascii="Times New Roman" w:eastAsia="MS Mincho" w:hAnsi="Times New Roman"/>
                <w:sz w:val="20"/>
                <w:i/>
                <w:iCs/>
                <w:color w:val="0000FF" w:themeColor="hyperlink"/>
                <w:u w:val="single"/>
              </w:rPr>
              <w:t>V-1000</w:t>
            </w:r>
          </w:fldSimple>
          <w:r>
            <w:rPr>
              <w:rFonts w:ascii="Times New Roman" w:eastAsia="MS Mincho" w:hAnsi="Times New Roman"/>
              <w:sz w:val="20"/>
              <w:i/>
              <w:iCs/>
            </w:rPr>
            <w:t>,
2018-09-11,
paskelbta TAR 2018-09-13, i. k. 2018-14464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3cf8f0601411e98b599e654d7d03a0">
            <w:r w:rsidRPr="00532B9F">
              <w:rPr>
                <w:rFonts w:ascii="Times New Roman" w:eastAsia="MS Mincho" w:hAnsi="Times New Roman"/>
                <w:sz w:val="20"/>
                <w:i/>
                <w:iCs/>
                <w:color w:val="0000FF" w:themeColor="hyperlink"/>
                <w:u w:val="single"/>
              </w:rPr>
              <w:t>V-422</w:t>
            </w:r>
          </w:fldSimple>
          <w:r>
            <w:rPr>
              <w:rFonts w:ascii="Times New Roman" w:eastAsia="MS Mincho" w:hAnsi="Times New Roman"/>
              <w:sz w:val="20"/>
              <w:i/>
              <w:iCs/>
            </w:rPr>
            <w:t>,
2019-04-15,
paskelbta TAR 2019-04-16, i. k. 2019-06202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6786370499811eb8d9fe110e148c770">
            <w:r w:rsidRPr="00532B9F">
              <w:rPr>
                <w:rFonts w:ascii="Times New Roman" w:eastAsia="MS Mincho" w:hAnsi="Times New Roman"/>
                <w:sz w:val="20"/>
                <w:i/>
                <w:iCs/>
                <w:color w:val="0000FF" w:themeColor="hyperlink"/>
                <w:u w:val="single"/>
              </w:rPr>
              <w:t>V-3037</w:t>
            </w:r>
          </w:fldSimple>
          <w:r>
            <w:rPr>
              <w:rFonts w:ascii="Times New Roman" w:eastAsia="MS Mincho" w:hAnsi="Times New Roman"/>
              <w:sz w:val="20"/>
              <w:i/>
              <w:iCs/>
            </w:rPr>
            <w:t>,
2020-12-28,
paskelbta TAR 2020-12-29, i. k. 2020-28848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c1d914846111efabdbb4a1fc8b0b63">
            <w:r w:rsidRPr="00532B9F">
              <w:rPr>
                <w:rFonts w:ascii="Times New Roman" w:eastAsia="MS Mincho" w:hAnsi="Times New Roman"/>
                <w:sz w:val="20"/>
                <w:i/>
                <w:iCs/>
                <w:color w:val="0000FF" w:themeColor="hyperlink"/>
                <w:u w:val="single"/>
              </w:rPr>
              <w:t>V-966</w:t>
            </w:r>
          </w:fldSimple>
          <w:r>
            <w:rPr>
              <w:rFonts w:ascii="Times New Roman" w:eastAsia="MS Mincho" w:hAnsi="Times New Roman"/>
              <w:sz w:val="20"/>
              <w:i/>
              <w:iCs/>
            </w:rPr>
            <w:t>,
2024-10-07,
paskelbta TAR 2024-10-07, i. k. 2024-17546            </w:t>
          </w:r>
        </w:p>
        <w:p/>
      </w:sdtContent>
    </w:sdt>
    <w:sdt>
      <w:sdtPr>
        <w:alias w:val="lentele"/>
        <w:tag w:val="part_53a20ffc4e7c45359dbc9cc855e70581"/>
        <w:lock w:val="sdtLocked"/>
        <w:richText/>
      </w:sdtPr>
      <w:sdtContent>
        <w:p>
          <w:pPr>
            <w:jc w:val="both"/>
          </w:pPr>
        </w:p>
        <w:p>
          <w:pPr>
            <w:ind w:firstLine="567"/>
            <w:jc w:val="both"/>
            <w:sectPr>
              <w:pgSz w:w="16840" w:h="11907" w:orient="landscape" w:code="9"/>
              <w:pgMar w:top="1079" w:right="1134" w:bottom="1134" w:left="1134" w:header="567" w:footer="567" w:gutter="0"/>
              <w:pgNumType w:start="1"/>
              <w:cols w:space="1296"/>
              <w:titlePg/>
              <w:docGrid w:linePitch="360"/>
            </w:sectPr>
          </w:pPr>
        </w:p>
        <w:p>
          <w:pPr>
            <w:jc w:val="both"/>
          </w:pPr>
        </w:p>
        <w:p>
          <w:pPr>
            <w:ind w:firstLine="567"/>
            <w:jc w:val="right"/>
          </w:pPr>
          <w:r>
            <w:t>4 lentelė</w:t>
          </w:r>
        </w:p>
        <w:p>
          <w:pPr>
            <w:jc w:val="both"/>
            <w:rPr>
              <w:bCs/>
            </w:rPr>
          </w:pPr>
        </w:p>
        <w:sdt>
          <w:sdtPr>
            <w:alias w:val="Pavadinimas"/>
            <w:tag w:val="title_53a20ffc4e7c45359dbc9cc855e70581"/>
            <w:lock w:val="sdtLocked"/>
            <w:richText/>
          </w:sdtPr>
          <w:sdtContent>
            <w:p>
              <w:pPr>
                <w:jc w:val="center"/>
                <w:rPr>
                  <w:b/>
                  <w:bCs/>
                </w:rPr>
              </w:pPr>
              <w:r>
                <w:rPr>
                  <w:b/>
                  <w:bCs/>
                </w:rPr>
                <w:t>VAIRUOTOJO GARBĖS DEKLARACIJA (SVEIKATOS PATIKRINIMO KLAUSIMYNAS)</w:t>
              </w:r>
            </w:p>
          </w:sdtContent>
        </w:sdt>
        <w:p>
          <w:pPr>
            <w:rPr>
              <w:b/>
              <w:bCs/>
            </w:rPr>
          </w:pPr>
        </w:p>
        <w:sdt>
          <w:sdtPr>
            <w:alias w:val="pastraipa"/>
            <w:tag w:val="part_51369210f9af477681cc066f76328b85"/>
            <w:lock w:val="sdtLocked"/>
            <w:richText/>
          </w:sdtPr>
          <w:sdtContent>
            <w:p>
              <w:pPr>
                <w:jc w:val="center"/>
              </w:pPr>
              <w:r>
                <w:t>___________________</w:t>
              </w:r>
            </w:p>
          </w:sdtContent>
        </w:sdt>
        <w:sdt>
          <w:sdtPr>
            <w:alias w:val="pastraipa"/>
            <w:tag w:val="part_af818a00d0df4e698754cd2fe96b1764"/>
            <w:lock w:val="sdtLocked"/>
            <w:richText/>
          </w:sdtPr>
          <w:sdtContent>
            <w:p>
              <w:pPr>
                <w:jc w:val="center"/>
              </w:pPr>
              <w:r>
                <w:t>(data)</w:t>
              </w:r>
            </w:p>
          </w:sdtContent>
        </w:sdt>
        <w:sdt>
          <w:sdtPr>
            <w:alias w:val="pastraipa"/>
            <w:tag w:val="part_35488bc148c942c6a8626b0be5add652"/>
            <w:lock w:val="sdtLocked"/>
            <w:richText/>
          </w:sdtPr>
          <w:sdtContent>
            <w:p>
              <w:pPr>
                <w:jc w:val="center"/>
              </w:pPr>
              <w:r>
                <w:t>______________________________________</w:t>
              </w:r>
            </w:p>
          </w:sdtContent>
        </w:sdt>
        <w:sdt>
          <w:sdtPr>
            <w:alias w:val="pastraipa"/>
            <w:tag w:val="part_19d556ee372e4a5a89c6928b2a1364a8"/>
            <w:lock w:val="sdtLocked"/>
            <w:richText/>
          </w:sdtPr>
          <w:sdtContent>
            <w:p>
              <w:pPr>
                <w:jc w:val="center"/>
              </w:pPr>
              <w:r>
                <w:t>(sudarymo vieta)</w:t>
              </w:r>
            </w:p>
            <w:p>
              <w:pPr>
                <w:jc w:val="both"/>
              </w:pPr>
            </w:p>
          </w:sdtContent>
        </w:sdt>
        <w:sdt>
          <w:sdtPr>
            <w:alias w:val="lentele"/>
            <w:tag w:val="part_65fdfe09273c4e8b9e23097ad860a8d8"/>
            <w:lock w:val="sdtLocked"/>
            <w:richText/>
          </w:sdtPr>
          <w:sdtContent>
            <w:tbl>
              <w:tblPr>
                <w:tblW w:w="9070" w:type="dxa"/>
                <w:tblLayout w:type="fixed"/>
                <w:tblCellMar>
                  <w:left w:w="40" w:type="dxa"/>
                  <w:right w:w="40" w:type="dxa"/>
                </w:tblCellMar>
                <w:tblLook w:val="0000" w:firstRow="0" w:lastRow="0" w:firstColumn="0" w:lastColumn="0" w:noHBand="0" w:noVBand="0"/>
              </w:tblPr>
              <w:tblGrid>
                <w:gridCol w:w="650"/>
                <w:gridCol w:w="7070"/>
                <w:gridCol w:w="675"/>
                <w:gridCol w:w="675"/>
              </w:tblGrid>
              <w:tr>
                <w:trPr>
                  <w:cantSplit/>
                  <w:trHeight w:val="23"/>
                  <w:tblHeader/>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Eil. Nr. </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Klausimai, į kuriuos prašome atsakyti (tinkamą atsakymą „taip“ arba „ne“ lentelėje pažymėti </w:t>
                      <w:sym w:font="Wingdings" w:char="F0FC"/>
                    </w:r>
                    <w:r>
                      <w:rPr>
                        <w:vanish/>
                        <w:sz w:val="22"/>
                      </w:rPr>
                      <w:t>v</w:t>
                    </w:r>
                    <w:r>
                      <w:rPr>
                        <w:iCs/>
                        <w:sz w:val="22"/>
                      </w:rPr>
                      <w:t>)</w:t>
                    </w:r>
                    <w:r>
                      <w:rPr>
                        <w:i/>
                        <w:iCs/>
                        <w:sz w:val="22"/>
                      </w:rPr>
                      <w:t xml:space="preserve"> </w:t>
                    </w:r>
                    <w:r>
                      <w:rPr>
                        <w:sz w:val="22"/>
                      </w:rPr>
                      <w:t>lankantis pas gydytoją dėl vairuotojo pažymėjimo įsigijimo arba jo galiojimo pratęsimo (priežastį pabraukti)</w:t>
                    </w:r>
                  </w:p>
                </w:tc>
                <w:tc>
                  <w:tcPr>
                    <w:tcW w:w="675" w:type="dxa"/>
                    <w:tcBorders>
                      <w:top w:val="single" w:sz="6" w:space="0" w:color="auto"/>
                      <w:left w:val="single" w:sz="6" w:space="0" w:color="auto"/>
                      <w:bottom w:val="single" w:sz="6" w:space="0" w:color="auto"/>
                      <w:right w:val="single" w:sz="6" w:space="0" w:color="auto"/>
                    </w:tcBorders>
                  </w:tcPr>
                  <w:p>
                    <w:pPr>
                      <w:jc w:val="center"/>
                      <w:rPr>
                        <w:sz w:val="22"/>
                      </w:rPr>
                    </w:pPr>
                    <w:r>
                      <w:rPr>
                        <w:sz w:val="22"/>
                      </w:rPr>
                      <w:t>Taip</w:t>
                    </w:r>
                  </w:p>
                </w:tc>
                <w:tc>
                  <w:tcPr>
                    <w:tcW w:w="675" w:type="dxa"/>
                    <w:tcBorders>
                      <w:top w:val="single" w:sz="6" w:space="0" w:color="auto"/>
                      <w:left w:val="single" w:sz="6" w:space="0" w:color="auto"/>
                      <w:bottom w:val="single" w:sz="6" w:space="0" w:color="auto"/>
                      <w:right w:val="single" w:sz="6" w:space="0" w:color="auto"/>
                    </w:tcBorders>
                  </w:tcPr>
                  <w:p>
                    <w:pPr>
                      <w:jc w:val="center"/>
                      <w:rPr>
                        <w:sz w:val="22"/>
                      </w:rPr>
                    </w:pPr>
                    <w:r>
                      <w:rPr>
                        <w:sz w:val="22"/>
                      </w:rPr>
                      <w:t>Ne</w:t>
                    </w: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A.</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sergate kokia nors liga arba gal turite kokią negalią ar kitų medicininių nusiskundimų, galinčių paveikti Jūsų gebėjimą vairuoti motorinę transporto priemonę?</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val="restart"/>
                    <w:tcBorders>
                      <w:top w:val="single" w:sz="6" w:space="0" w:color="auto"/>
                      <w:left w:val="single" w:sz="6" w:space="0" w:color="auto"/>
                      <w:right w:val="single" w:sz="6" w:space="0" w:color="auto"/>
                    </w:tcBorders>
                  </w:tcPr>
                  <w:p>
                    <w:pPr>
                      <w:rPr>
                        <w:sz w:val="22"/>
                      </w:rPr>
                    </w:pPr>
                    <w:r>
                      <w:rPr>
                        <w:sz w:val="22"/>
                      </w:rPr>
                      <w:t>1.</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turite regėjimo sutrikimų, tokių kaip: </w:t>
                    </w:r>
                  </w:p>
                  <w:p>
                    <w:pPr>
                      <w:rPr>
                        <w:sz w:val="22"/>
                      </w:rPr>
                    </w:pPr>
                    <w:r>
                      <w:rPr>
                        <w:sz w:val="22"/>
                      </w:rPr>
                      <w:t>1.1. pablogėjęs matymas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1.2. nevalingi akių judesiai (nistagmas)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1.3. regėjimo lauko defektai (pvz., ribotas matymas į šonus)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1.4. dvigubinimasis (dvejinimasis)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1.5. akivaizdus matymo pablogėjimas prieblandoje ar tamsoje (vištakumas) (Jei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1.6. pablogėjęs akių judrumas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1.7. jautrumas akinimui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1.8. pablogėjęs atstumo įvertinimas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bottom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1.9. kiti sutrikimai (akių skausmai, staigus matymo sutrikimas, buvo / yra nustatytas padidėjęs akispūdis ar kt.)</w:t>
                    </w:r>
                  </w:p>
                  <w:p>
                    <w:pPr>
                      <w:rPr>
                        <w:sz w:val="22"/>
                      </w:rPr>
                    </w:pPr>
                    <w:r>
                      <w:rPr>
                        <w:sz w:val="22"/>
                      </w:rPr>
                      <w:t>(Jei „taip“, tinkamą atsakymą pabraukti arba įrašyti):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2.</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Jums svaigo / svaigsta galva?</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3.</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skundžiatės pablogėjusia klausa, ar sirgote ausų ligomis?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4.</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yra galūnių judesių funkcijos sutrikimų arba gal sergate kokia nors su tuo susijusia liga? </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val="restart"/>
                    <w:tcBorders>
                      <w:top w:val="single" w:sz="6" w:space="0" w:color="auto"/>
                      <w:left w:val="single" w:sz="6" w:space="0" w:color="auto"/>
                      <w:right w:val="single" w:sz="6" w:space="0" w:color="auto"/>
                    </w:tcBorders>
                  </w:tcPr>
                  <w:p>
                    <w:pPr>
                      <w:rPr>
                        <w:sz w:val="22"/>
                      </w:rPr>
                    </w:pPr>
                    <w:r>
                      <w:rPr>
                        <w:sz w:val="22"/>
                      </w:rPr>
                      <w:t>5.</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sirgote / sergate širdies ir / ar širdies ir kraujagyslių ligomis: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5.1. insultas (paralyžius)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5.2. širdies ritmo sutrikimai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5.3. širdies infarktas ar krūtinės angina (stenokardija)</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5.4. širdies įgimta ar įgyta liga</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bottom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5.5. kita širdies ar širdies ir kraujagyslių liga (reumatas ar kt.)</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6.</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sergate cukriniu diabetu?</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7.</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turėjote galvos smegenų traumą?</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8.</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sirgote / sergate epilepsija? (Jei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9.</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Jums būna / kada nors buvo ištikę ženklūs pusiausvyros sutrikimai? </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10.</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alpote / alpstate arba turėjote / turite kitų sąmonės sutrikimų? </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11.</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skundžiatės / skundėtės anksčiau šlapinimosi sutrikimais, inkstų veiklos pablogėjimu? </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12.</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skundžiatės dėmesio, pastabumo, mąstymo arba atminties sutrikimais? </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val="restart"/>
                    <w:tcBorders>
                      <w:top w:val="single" w:sz="6" w:space="0" w:color="auto"/>
                      <w:left w:val="single" w:sz="6" w:space="0" w:color="auto"/>
                      <w:right w:val="single" w:sz="6" w:space="0" w:color="auto"/>
                    </w:tcBorders>
                  </w:tcPr>
                  <w:p>
                    <w:pPr>
                      <w:rPr>
                        <w:sz w:val="22"/>
                      </w:rPr>
                    </w:pPr>
                    <w:r>
                      <w:rPr>
                        <w:sz w:val="22"/>
                      </w:rPr>
                      <w:t>13.</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skundžiatės miego sutrikimais:</w:t>
                    </w:r>
                  </w:p>
                  <w:p>
                    <w:pPr>
                      <w:rPr>
                        <w:sz w:val="22"/>
                      </w:rPr>
                    </w:pPr>
                    <w:r>
                      <w:rPr>
                        <w:sz w:val="22"/>
                      </w:rPr>
                      <w:t>12.1. Ar būnate pavargęs ar mieguistas dieną?</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bottom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12.2. Ar Jus ištinka nevalingi miego priepuoliai?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14.</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piktnaudžiaujate / piktnaudžiavote 5 metų laikotarpiu alkoholiu, rūkalais, narkotikais arba vaistais?</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15.</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turite / turėjote 5 metų laikotarpiu kokių nors psichikos sutrikimų arba gal sirgote kokia nors psichikos liga, ar dėl to buvote gydomas (-a) psichiatro? </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B.</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Klausimai apie gydymą, vaistų vartojimą ir kt.</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16.</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buvote gydomas (-a) ligoninėje arba kreipėtės į gydytoją dėl anksčiau minėtų priežasčių (A 1–15)?</w:t>
                    </w:r>
                  </w:p>
                  <w:p>
                    <w:pPr>
                      <w:rPr>
                        <w:sz w:val="22"/>
                      </w:rPr>
                    </w:pPr>
                    <w:r>
                      <w:rPr>
                        <w:sz w:val="22"/>
                      </w:rPr>
                      <w:t>Jei „taip“, tinkamą atsakymą pabraukti, nurodyti, kada ir įstaigos, kurioje gydėtės, pavadinimą, adresą</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17.</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šiuo metu vartojate gydytojo paskirtus vaistus (raminamuosius, migdomuosius, nuskausminamuosius ar kitus)?</w:t>
                    </w:r>
                  </w:p>
                  <w:p>
                    <w:pPr>
                      <w:rPr>
                        <w:sz w:val="22"/>
                      </w:rPr>
                    </w:pPr>
                    <w:r>
                      <w:rPr>
                        <w:sz w:val="22"/>
                      </w:rPr>
                      <w:t>Jei „taip“, tinkamą atsakymą pabraukti, nurodyti, kokius vaistus: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18.</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Gal Jums dėl kurios nors anksčiau minėtos ligos (A 1–13) paskirti kokie nors vaistai, kurie turi būti reguliariai vartojami ilgą laiką? </w:t>
                    </w:r>
                  </w:p>
                  <w:p>
                    <w:pPr>
                      <w:rPr>
                        <w:sz w:val="22"/>
                      </w:rPr>
                    </w:pPr>
                    <w:r>
                      <w:rPr>
                        <w:sz w:val="22"/>
                      </w:rPr>
                      <w:t>Jei atsakymas „taip“, nurodyti, kokie vaistai: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19.</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anksčiau buvo tikrinta Jūsų sveikata, norint gauti vairuotojo pažymėjimą? </w:t>
                    </w:r>
                  </w:p>
                  <w:p>
                    <w:pPr>
                      <w:rPr>
                        <w:sz w:val="22"/>
                      </w:rPr>
                    </w:pPr>
                    <w:r>
                      <w:rPr>
                        <w:sz w:val="22"/>
                      </w:rPr>
                      <w:t>Jei atsakymas „taip“, nurodyti kada:</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20.</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turite darbingumo apribojimų dėl ligos ar sveikatos problemos?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21.</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manote, kad dabar esate visiškai sveikas (-a)? </w:t>
                    </w:r>
                  </w:p>
                  <w:p>
                    <w:pPr>
                      <w:rPr>
                        <w:sz w:val="22"/>
                      </w:rPr>
                    </w:pPr>
                    <w:r>
                      <w:rPr>
                        <w:sz w:val="22"/>
                      </w:rPr>
                      <w:t>Jei atsakymas „ne“, įrašyti priežastis: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bl>
            <w:p>
              <w:pPr>
                <w:jc w:val="both"/>
              </w:pPr>
            </w:p>
          </w:sdtContent>
        </w:sdt>
        <w:sdt>
          <w:sdtPr>
            <w:alias w:val="pastraipa"/>
            <w:tag w:val="part_61aa1e37ce2c47429d4bf57df7472b4e"/>
            <w:lock w:val="sdtLocked"/>
            <w:richText/>
          </w:sdtPr>
          <w:sdtContent>
            <w:p>
              <w:pPr>
                <w:ind w:firstLine="567"/>
                <w:jc w:val="both"/>
              </w:pPr>
              <w:r>
                <w:t>Užtikrinu, kad visa mano pateikta informacija yra visiškai teisinga, ir suprantu, kad, pablogėjus sveikatos būklei, turiu nedelsdamas (-a) kreiptis į gydytoją.</w:t>
              </w:r>
            </w:p>
            <w:p>
              <w:pPr>
                <w:jc w:val="both"/>
              </w:pPr>
            </w:p>
          </w:sdtContent>
        </w:sdt>
        <w:sdt>
          <w:sdtPr>
            <w:alias w:val="pastraipa"/>
            <w:tag w:val="part_9776c0303d3b47179565bf5dde4bbedc"/>
            <w:lock w:val="sdtLocked"/>
            <w:richText/>
          </w:sdtPr>
          <w:sdtContent>
            <w:p>
              <w:pPr>
                <w:tabs>
                  <w:tab w:val="left" w:pos="6480"/>
                </w:tabs>
                <w:ind w:firstLine="3000"/>
                <w:jc w:val="both"/>
              </w:pPr>
              <w:r>
                <w:t>_________________</w:t>
                <w:tab/>
                <w:t>_____________________</w:t>
              </w:r>
            </w:p>
            <w:p>
              <w:pPr>
                <w:tabs>
                  <w:tab w:val="left" w:pos="7080"/>
                </w:tabs>
                <w:ind w:firstLine="3600"/>
                <w:jc w:val="both"/>
              </w:pPr>
              <w:r>
                <w:t xml:space="preserve">(parašas) </w:t>
                <w:tab/>
                <w:t>(vardas, pavardė)</w:t>
              </w:r>
            </w:p>
            <w:p>
              <w:pPr>
                <w:jc w:val="both"/>
                <w:rPr>
                  <w:bCs/>
                </w:rPr>
              </w:pPr>
            </w:p>
          </w:sdtContent>
        </w:sdt>
        <w:sdt>
          <w:sdtPr>
            <w:alias w:val="pastraipa"/>
            <w:tag w:val="part_2cf9a4c47a7b440990c24ec6951f82fd"/>
            <w:lock w:val="sdtLocked"/>
            <w:richText/>
          </w:sdtPr>
          <w:sdtContent>
            <w:p>
              <w:pPr>
                <w:jc w:val="both"/>
                <w:rPr>
                  <w:color w:val="000000"/>
                </w:rPr>
              </w:pPr>
              <w:r>
                <w:rPr>
                  <w:b/>
                  <w:bCs/>
                </w:rPr>
                <w:t xml:space="preserve">Pastaba: </w:t>
              </w:r>
              <w:r>
                <w:t>Įdedamas į Asmens sveikatos istoriją – F 025/a</w:t>
              </w:r>
            </w:p>
          </w:sdtContent>
        </w:sdt>
        <w:p>
          <w:pPr>
            <w:pStyle w:val="PlainText"/>
            <w:rPr>
              <w:rFonts w:ascii="Times New Roman" w:eastAsia="MS Mincho" w:hAnsi="Times New Roman"/>
              <w:sz w:val="20"/>
              <w:i/>
              <w:iCs/>
            </w:rPr>
          </w:pPr>
          <w:r>
            <w:rPr>
              <w:rFonts w:ascii="Times New Roman" w:eastAsia="MS Mincho" w:hAnsi="Times New Roman"/>
              <w:sz w:val="20"/>
              <w:i/>
              <w:iCs/>
            </w:rPr>
            <w:t>Papildyta lentele:</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693EEE35C8">
            <w:r w:rsidRPr="00532B9F">
              <w:rPr>
                <w:rFonts w:ascii="Times New Roman" w:eastAsia="MS Mincho" w:hAnsi="Times New Roman"/>
                <w:sz w:val="20"/>
                <w:i/>
                <w:iCs/>
                <w:color w:val="0000FF" w:themeColor="hyperlink"/>
                <w:u w:val="single"/>
              </w:rPr>
              <w:t>V-973</w:t>
            </w:r>
          </w:fldSimple>
          <w:r>
            <w:rPr>
              <w:rFonts w:ascii="Times New Roman" w:eastAsia="MS Mincho" w:hAnsi="Times New Roman"/>
              <w:sz w:val="20"/>
              <w:i/>
              <w:iCs/>
            </w:rPr>
            <w:t>,
2008-10-10,
Žin., 2008, Nr.
121-4626 (2008-10-21), i. k. 1082250ISAK000V-973        </w:t>
          </w:r>
        </w:p>
        <w:p/>
      </w:sdtContent>
    </w:sdt>
    <w:sdt>
      <w:sdtPr>
        <w:alias w:val="lentele"/>
        <w:tag w:val="part_dbbf82c90b514e19a4cb40a853b0b455"/>
        <w:lock w:val="sdtLocked"/>
        <w:richText/>
      </w:sdtPr>
      <w:sdtContent>
        <w:p>
          <w:pPr>
            <w:tabs>
              <w:tab w:val="left" w:pos="7088"/>
            </w:tabs>
            <w:spacing w:line="276" w:lineRule="auto"/>
            <w:jc w:val="both"/>
            <w:rPr>
              <w:szCs w:val="24"/>
            </w:rPr>
            <w:sectPr>
              <w:pgSz w:w="11906" w:h="16838" w:code="9"/>
              <w:pgMar w:top="992" w:right="566" w:bottom="851" w:left="1701" w:header="510" w:footer="227" w:gutter="0"/>
              <w:pgNumType w:start="1"/>
              <w:cols w:space="1296"/>
              <w:titlePg/>
              <w:docGrid w:linePitch="360"/>
            </w:sectPr>
          </w:pPr>
        </w:p>
        <w:p>
          <w:pPr>
            <w:rPr>
              <w:sz w:val="18"/>
              <w:szCs w:val="18"/>
            </w:rPr>
          </w:pPr>
        </w:p>
        <w:p>
          <w:pPr>
            <w:tabs>
              <w:tab w:val="left" w:pos="7088"/>
            </w:tabs>
            <w:ind w:left="6120" w:firstLine="1677"/>
            <w:jc w:val="both"/>
            <w:rPr>
              <w:szCs w:val="24"/>
            </w:rPr>
          </w:pPr>
          <w:r>
            <w:rPr>
              <w:szCs w:val="24"/>
            </w:rPr>
            <w:t>5 lentelė</w:t>
          </w:r>
        </w:p>
        <w:p>
          <w:pPr>
            <w:tabs>
              <w:tab w:val="left" w:pos="7088"/>
            </w:tabs>
            <w:spacing w:line="276" w:lineRule="auto"/>
            <w:jc w:val="both"/>
            <w:rPr>
              <w:szCs w:val="24"/>
            </w:rPr>
          </w:pPr>
        </w:p>
        <w:p>
          <w:pPr>
            <w:rPr>
              <w:sz w:val="18"/>
              <w:szCs w:val="18"/>
            </w:rPr>
          </w:pPr>
        </w:p>
        <w:p>
          <w:pPr>
            <w:tabs>
              <w:tab w:val="left" w:pos="7088"/>
            </w:tabs>
            <w:spacing w:line="276" w:lineRule="auto"/>
            <w:jc w:val="center"/>
            <w:rPr>
              <w:b/>
              <w:bCs/>
              <w:color w:val="000000"/>
              <w:szCs w:val="24"/>
            </w:rPr>
          </w:pPr>
          <w:r>
            <w:rPr>
              <w:b/>
              <w:bCs/>
              <w:color w:val="000000"/>
              <w:szCs w:val="24"/>
            </w:rPr>
            <w:t>VAIRUOTOJUI TAIKOMŲ APRIBOJIMŲ KODAI</w:t>
          </w:r>
        </w:p>
        <w:p>
          <w:pPr>
            <w:rPr>
              <w:sz w:val="18"/>
              <w:szCs w:val="1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47"/>
            <w:gridCol w:w="7540"/>
          </w:tblGrid>
          <w:tr>
            <w:tc>
              <w:tcPr>
                <w:tcW w:w="1795" w:type="dxa"/>
              </w:tcPr>
              <w:p>
                <w:pPr>
                  <w:tabs>
                    <w:tab w:val="left" w:pos="7088"/>
                  </w:tabs>
                  <w:ind w:firstLine="62"/>
                  <w:jc w:val="center"/>
                  <w:rPr>
                    <w:b/>
                    <w:bCs/>
                    <w:szCs w:val="24"/>
                  </w:rPr>
                </w:pPr>
                <w:r>
                  <w:rPr>
                    <w:b/>
                    <w:bCs/>
                    <w:szCs w:val="24"/>
                    <w:lang w:eastAsia="lt-LT"/>
                  </w:rPr>
                  <w:t>Kodas</w:t>
                </w:r>
              </w:p>
            </w:tc>
            <w:tc>
              <w:tcPr>
                <w:tcW w:w="7834" w:type="dxa"/>
              </w:tcPr>
              <w:p>
                <w:pPr>
                  <w:tabs>
                    <w:tab w:val="left" w:pos="7088"/>
                  </w:tabs>
                  <w:jc w:val="center"/>
                  <w:rPr>
                    <w:b/>
                    <w:bCs/>
                    <w:szCs w:val="24"/>
                  </w:rPr>
                </w:pPr>
                <w:r>
                  <w:rPr>
                    <w:b/>
                    <w:bCs/>
                    <w:szCs w:val="24"/>
                    <w:lang w:eastAsia="lt-LT"/>
                  </w:rPr>
                  <w:t>Vairuotojui taikomas apribojimas</w:t>
                </w:r>
                <w:r>
                  <w:rPr>
                    <w:b/>
                    <w:bCs/>
                    <w:szCs w:val="24"/>
                    <w:vertAlign w:val="superscript"/>
                    <w:lang w:eastAsia="lt-LT"/>
                  </w:rPr>
                  <w:t>*</w:t>
                </w:r>
              </w:p>
            </w:tc>
          </w:tr>
          <w:tr>
            <w:tc>
              <w:tcPr>
                <w:tcW w:w="9629" w:type="dxa"/>
                <w:gridSpan w:val="2"/>
              </w:tcPr>
              <w:p>
                <w:pPr>
                  <w:jc w:val="center"/>
                  <w:rPr>
                    <w:b/>
                    <w:bCs/>
                    <w:szCs w:val="24"/>
                    <w:lang w:eastAsia="lt-LT"/>
                  </w:rPr>
                </w:pPr>
                <w:r>
                  <w:rPr>
                    <w:b/>
                    <w:bCs/>
                    <w:szCs w:val="24"/>
                    <w:lang w:eastAsia="lt-LT"/>
                  </w:rPr>
                  <w:t>Dėl medicininių priežasčių</w:t>
                </w:r>
              </w:p>
              <w:p>
                <w:pPr>
                  <w:tabs>
                    <w:tab w:val="left" w:pos="7088"/>
                  </w:tabs>
                  <w:jc w:val="center"/>
                  <w:rPr>
                    <w:b/>
                    <w:bCs/>
                    <w:szCs w:val="24"/>
                  </w:rPr>
                </w:pPr>
                <w:r>
                  <w:rPr>
                    <w:b/>
                    <w:bCs/>
                    <w:szCs w:val="24"/>
                    <w:lang w:eastAsia="lt-LT"/>
                  </w:rPr>
                  <w:t>(Išvadą pateikia sveikatos priežiūros įstaiga)</w:t>
                </w:r>
              </w:p>
            </w:tc>
          </w:tr>
          <w:tr>
            <w:tc>
              <w:tcPr>
                <w:tcW w:w="1795" w:type="dxa"/>
              </w:tcPr>
              <w:p>
                <w:pPr>
                  <w:tabs>
                    <w:tab w:val="left" w:pos="7088"/>
                  </w:tabs>
                  <w:rPr>
                    <w:szCs w:val="24"/>
                  </w:rPr>
                </w:pPr>
                <w:r>
                  <w:rPr>
                    <w:szCs w:val="24"/>
                  </w:rPr>
                  <w:t>01</w:t>
                </w:r>
              </w:p>
            </w:tc>
            <w:tc>
              <w:tcPr>
                <w:tcW w:w="7834" w:type="dxa"/>
              </w:tcPr>
              <w:p>
                <w:pPr>
                  <w:tabs>
                    <w:tab w:val="left" w:pos="7088"/>
                  </w:tabs>
                  <w:rPr>
                    <w:szCs w:val="24"/>
                  </w:rPr>
                </w:pPr>
                <w:r>
                  <w:rPr>
                    <w:szCs w:val="24"/>
                    <w:lang w:eastAsia="lt-LT"/>
                  </w:rPr>
                  <w:t>Regos korekcija ir (arba) apsauga</w:t>
                </w:r>
              </w:p>
            </w:tc>
          </w:tr>
          <w:tr>
            <w:tc>
              <w:tcPr>
                <w:tcW w:w="1795" w:type="dxa"/>
              </w:tcPr>
              <w:p>
                <w:pPr>
                  <w:tabs>
                    <w:tab w:val="left" w:pos="7088"/>
                  </w:tabs>
                  <w:rPr>
                    <w:szCs w:val="24"/>
                  </w:rPr>
                </w:pPr>
                <w:r>
                  <w:rPr>
                    <w:szCs w:val="24"/>
                  </w:rPr>
                  <w:t>01.01</w:t>
                </w:r>
              </w:p>
            </w:tc>
            <w:tc>
              <w:tcPr>
                <w:tcW w:w="7834" w:type="dxa"/>
              </w:tcPr>
              <w:p>
                <w:pPr>
                  <w:tabs>
                    <w:tab w:val="left" w:pos="7088"/>
                  </w:tabs>
                  <w:rPr>
                    <w:szCs w:val="24"/>
                  </w:rPr>
                </w:pPr>
                <w:r>
                  <w:rPr>
                    <w:szCs w:val="24"/>
                    <w:lang w:eastAsia="lt-LT"/>
                  </w:rPr>
                  <w:t>Akiniai</w:t>
                </w:r>
              </w:p>
            </w:tc>
          </w:tr>
          <w:tr>
            <w:tc>
              <w:tcPr>
                <w:tcW w:w="1795" w:type="dxa"/>
              </w:tcPr>
              <w:p>
                <w:pPr>
                  <w:tabs>
                    <w:tab w:val="left" w:pos="7088"/>
                  </w:tabs>
                  <w:rPr>
                    <w:szCs w:val="24"/>
                  </w:rPr>
                </w:pPr>
                <w:r>
                  <w:rPr>
                    <w:szCs w:val="24"/>
                  </w:rPr>
                  <w:t>01.02</w:t>
                </w:r>
              </w:p>
            </w:tc>
            <w:tc>
              <w:tcPr>
                <w:tcW w:w="7834" w:type="dxa"/>
              </w:tcPr>
              <w:p>
                <w:pPr>
                  <w:tabs>
                    <w:tab w:val="left" w:pos="7088"/>
                  </w:tabs>
                  <w:rPr>
                    <w:szCs w:val="24"/>
                  </w:rPr>
                </w:pPr>
                <w:r>
                  <w:rPr>
                    <w:szCs w:val="24"/>
                    <w:lang w:eastAsia="lt-LT"/>
                  </w:rPr>
                  <w:t>Kontaktinis (-iai) lęšis (-iai)</w:t>
                </w:r>
              </w:p>
            </w:tc>
          </w:tr>
          <w:tr>
            <w:tc>
              <w:tcPr>
                <w:tcW w:w="1795" w:type="dxa"/>
              </w:tcPr>
              <w:p>
                <w:pPr>
                  <w:tabs>
                    <w:tab w:val="left" w:pos="7088"/>
                  </w:tabs>
                  <w:rPr>
                    <w:szCs w:val="24"/>
                  </w:rPr>
                </w:pPr>
                <w:r>
                  <w:rPr>
                    <w:szCs w:val="24"/>
                  </w:rPr>
                  <w:t>01.05</w:t>
                </w:r>
              </w:p>
            </w:tc>
            <w:tc>
              <w:tcPr>
                <w:tcW w:w="7834" w:type="dxa"/>
              </w:tcPr>
              <w:p>
                <w:pPr>
                  <w:tabs>
                    <w:tab w:val="left" w:pos="7088"/>
                  </w:tabs>
                  <w:rPr>
                    <w:szCs w:val="24"/>
                  </w:rPr>
                </w:pPr>
                <w:r>
                  <w:rPr>
                    <w:szCs w:val="24"/>
                    <w:lang w:eastAsia="lt-LT"/>
                  </w:rPr>
                  <w:t>Akies raištis (papildomai nurodoma reikiama raidė – a arba b)</w:t>
                </w:r>
              </w:p>
            </w:tc>
          </w:tr>
          <w:tr>
            <w:tc>
              <w:tcPr>
                <w:tcW w:w="1795" w:type="dxa"/>
              </w:tcPr>
              <w:p>
                <w:pPr>
                  <w:tabs>
                    <w:tab w:val="left" w:pos="7088"/>
                  </w:tabs>
                  <w:rPr>
                    <w:szCs w:val="24"/>
                  </w:rPr>
                </w:pPr>
                <w:r>
                  <w:rPr>
                    <w:szCs w:val="24"/>
                  </w:rPr>
                  <w:t>01.06</w:t>
                </w:r>
              </w:p>
            </w:tc>
            <w:tc>
              <w:tcPr>
                <w:tcW w:w="7834" w:type="dxa"/>
              </w:tcPr>
              <w:p>
                <w:pPr>
                  <w:tabs>
                    <w:tab w:val="left" w:pos="7088"/>
                  </w:tabs>
                  <w:rPr>
                    <w:szCs w:val="24"/>
                  </w:rPr>
                </w:pPr>
                <w:r>
                  <w:rPr>
                    <w:szCs w:val="24"/>
                    <w:lang w:eastAsia="lt-LT"/>
                  </w:rPr>
                  <w:t>Akiniai arba kontaktiniai lęšiai</w:t>
                </w:r>
              </w:p>
            </w:tc>
          </w:tr>
          <w:tr>
            <w:tc>
              <w:tcPr>
                <w:tcW w:w="1795" w:type="dxa"/>
              </w:tcPr>
              <w:p>
                <w:pPr>
                  <w:tabs>
                    <w:tab w:val="left" w:pos="7088"/>
                  </w:tabs>
                  <w:rPr>
                    <w:szCs w:val="24"/>
                  </w:rPr>
                </w:pPr>
                <w:r>
                  <w:rPr>
                    <w:szCs w:val="24"/>
                  </w:rPr>
                  <w:t>01.07</w:t>
                </w:r>
              </w:p>
            </w:tc>
            <w:tc>
              <w:tcPr>
                <w:tcW w:w="7834" w:type="dxa"/>
              </w:tcPr>
              <w:p>
                <w:pPr>
                  <w:tabs>
                    <w:tab w:val="left" w:pos="7088"/>
                  </w:tabs>
                  <w:rPr>
                    <w:szCs w:val="24"/>
                  </w:rPr>
                </w:pPr>
                <w:r>
                  <w:rPr>
                    <w:szCs w:val="24"/>
                    <w:lang w:eastAsia="lt-LT"/>
                  </w:rPr>
                  <w:t>Speciali optinė pagalbinė priemonė</w:t>
                </w:r>
              </w:p>
            </w:tc>
          </w:tr>
          <w:tr>
            <w:tc>
              <w:tcPr>
                <w:tcW w:w="1795" w:type="dxa"/>
              </w:tcPr>
              <w:p>
                <w:pPr>
                  <w:tabs>
                    <w:tab w:val="left" w:pos="7088"/>
                  </w:tabs>
                  <w:rPr>
                    <w:szCs w:val="24"/>
                  </w:rPr>
                </w:pPr>
                <w:r>
                  <w:rPr>
                    <w:szCs w:val="24"/>
                  </w:rPr>
                  <w:t>02</w:t>
                </w:r>
              </w:p>
            </w:tc>
            <w:tc>
              <w:tcPr>
                <w:tcW w:w="7834" w:type="dxa"/>
              </w:tcPr>
              <w:p>
                <w:pPr>
                  <w:tabs>
                    <w:tab w:val="left" w:pos="7088"/>
                  </w:tabs>
                  <w:rPr>
                    <w:szCs w:val="24"/>
                  </w:rPr>
                </w:pPr>
                <w:r>
                  <w:rPr>
                    <w:szCs w:val="24"/>
                    <w:lang w:eastAsia="lt-LT"/>
                  </w:rPr>
                  <w:t>Klausos ir susikalbėjimo pagalbinė priemonė (papildomai nurodoma reikiama raidė – a arba b)</w:t>
                </w:r>
              </w:p>
            </w:tc>
          </w:tr>
          <w:tr>
            <w:tc>
              <w:tcPr>
                <w:tcW w:w="1795" w:type="dxa"/>
              </w:tcPr>
              <w:p>
                <w:pPr>
                  <w:tabs>
                    <w:tab w:val="left" w:pos="7088"/>
                  </w:tabs>
                  <w:rPr>
                    <w:szCs w:val="24"/>
                  </w:rPr>
                </w:pPr>
                <w:r>
                  <w:rPr>
                    <w:szCs w:val="24"/>
                    <w:lang w:eastAsia="lt-LT"/>
                  </w:rPr>
                  <w:t>03</w:t>
                </w:r>
              </w:p>
            </w:tc>
            <w:tc>
              <w:tcPr>
                <w:tcW w:w="7834" w:type="dxa"/>
              </w:tcPr>
              <w:p>
                <w:pPr>
                  <w:tabs>
                    <w:tab w:val="left" w:pos="7088"/>
                  </w:tabs>
                  <w:rPr>
                    <w:szCs w:val="24"/>
                  </w:rPr>
                </w:pPr>
                <w:r>
                  <w:rPr>
                    <w:szCs w:val="24"/>
                    <w:lang w:eastAsia="lt-LT"/>
                  </w:rPr>
                  <w:t>Galūnių protezai arba korekcijos įtaisai</w:t>
                </w:r>
              </w:p>
            </w:tc>
          </w:tr>
          <w:tr>
            <w:tc>
              <w:tcPr>
                <w:tcW w:w="1795" w:type="dxa"/>
              </w:tcPr>
              <w:p>
                <w:pPr>
                  <w:tabs>
                    <w:tab w:val="left" w:pos="7088"/>
                  </w:tabs>
                  <w:rPr>
                    <w:szCs w:val="24"/>
                  </w:rPr>
                </w:pPr>
                <w:r>
                  <w:rPr>
                    <w:szCs w:val="24"/>
                  </w:rPr>
                  <w:t>03.01</w:t>
                </w:r>
              </w:p>
            </w:tc>
            <w:tc>
              <w:tcPr>
                <w:tcW w:w="7834" w:type="dxa"/>
              </w:tcPr>
              <w:p>
                <w:pPr>
                  <w:tabs>
                    <w:tab w:val="left" w:pos="7088"/>
                  </w:tabs>
                  <w:rPr>
                    <w:szCs w:val="24"/>
                  </w:rPr>
                </w:pPr>
                <w:r>
                  <w:rPr>
                    <w:szCs w:val="24"/>
                    <w:lang w:eastAsia="lt-LT"/>
                  </w:rPr>
                  <w:t>Viršutinės galūnės protezas arba korekcijos įtaisas (papildomai nurodoma reikiama raidė – a, b, c, f, g)</w:t>
                </w:r>
              </w:p>
            </w:tc>
          </w:tr>
          <w:tr>
            <w:tc>
              <w:tcPr>
                <w:tcW w:w="1795" w:type="dxa"/>
              </w:tcPr>
              <w:p>
                <w:pPr>
                  <w:tabs>
                    <w:tab w:val="left" w:pos="7088"/>
                  </w:tabs>
                  <w:rPr>
                    <w:szCs w:val="24"/>
                  </w:rPr>
                </w:pPr>
                <w:r>
                  <w:rPr>
                    <w:szCs w:val="24"/>
                  </w:rPr>
                  <w:t>03.02</w:t>
                </w:r>
              </w:p>
            </w:tc>
            <w:tc>
              <w:tcPr>
                <w:tcW w:w="7834" w:type="dxa"/>
              </w:tcPr>
              <w:p>
                <w:pPr>
                  <w:tabs>
                    <w:tab w:val="left" w:pos="7088"/>
                  </w:tabs>
                  <w:rPr>
                    <w:szCs w:val="24"/>
                  </w:rPr>
                </w:pPr>
                <w:r>
                  <w:rPr>
                    <w:szCs w:val="24"/>
                    <w:lang w:eastAsia="lt-LT"/>
                  </w:rPr>
                  <w:t>Apatinės galūnės protezas arba korekcijos įtaisas (papildomai nurodoma reikiama raidė – a, b, d)</w:t>
                </w:r>
              </w:p>
            </w:tc>
          </w:tr>
          <w:tr>
            <w:tc>
              <w:tcPr>
                <w:tcW w:w="9629" w:type="dxa"/>
                <w:gridSpan w:val="2"/>
              </w:tcPr>
              <w:p>
                <w:pPr>
                  <w:tabs>
                    <w:tab w:val="left" w:pos="7088"/>
                  </w:tabs>
                  <w:jc w:val="center"/>
                  <w:rPr>
                    <w:b/>
                    <w:bCs/>
                    <w:szCs w:val="24"/>
                  </w:rPr>
                </w:pPr>
                <w:r>
                  <w:rPr>
                    <w:b/>
                    <w:bCs/>
                    <w:szCs w:val="24"/>
                    <w:lang w:eastAsia="lt-LT"/>
                  </w:rPr>
                  <w:t>Transporto priemonės pritaikymas</w:t>
                </w:r>
              </w:p>
            </w:tc>
          </w:tr>
          <w:tr>
            <w:tc>
              <w:tcPr>
                <w:tcW w:w="1795" w:type="dxa"/>
              </w:tcPr>
              <w:p>
                <w:pPr>
                  <w:tabs>
                    <w:tab w:val="left" w:pos="7088"/>
                  </w:tabs>
                  <w:rPr>
                    <w:szCs w:val="24"/>
                  </w:rPr>
                </w:pPr>
                <w:r>
                  <w:rPr>
                    <w:szCs w:val="24"/>
                    <w:lang w:eastAsia="lt-LT"/>
                  </w:rPr>
                  <w:t>Nuo 10 iki 50</w:t>
                </w:r>
              </w:p>
            </w:tc>
            <w:tc>
              <w:tcPr>
                <w:tcW w:w="7834" w:type="dxa"/>
              </w:tcPr>
              <w:p>
                <w:pPr>
                  <w:tabs>
                    <w:tab w:val="left" w:pos="7088"/>
                  </w:tabs>
                  <w:rPr>
                    <w:szCs w:val="24"/>
                  </w:rPr>
                </w:pPr>
                <w:r>
                  <w:rPr>
                    <w:szCs w:val="24"/>
                    <w:lang w:eastAsia="lt-LT"/>
                  </w:rPr>
                  <w:t>Transporto priemonės pritaikymas – išvadą pateikia gydytojų komisija, atsižvelgdama į  asmens sveikatos priežiūros įstaigos, kurioje buvo atliekamas praktinis vairavimo gebėjimų patikrinimas, rekomendacijas (jei toks patikrinimas buvo atliekamas) (žymima kodu, vadovaujantis Lietuvos Respublikos vidaus reikalų ministro 2005 m. birželio 14 d. įsakymu Nr. 1V-186 „Dėl Vairuotojo pažymėjimo blanko aprašymo ir privalomosios formos patvirtinimo“)</w:t>
                </w:r>
              </w:p>
            </w:tc>
          </w:tr>
          <w:tr>
            <w:tc>
              <w:tcPr>
                <w:tcW w:w="9629" w:type="dxa"/>
                <w:gridSpan w:val="2"/>
              </w:tcPr>
              <w:p>
                <w:pPr>
                  <w:tabs>
                    <w:tab w:val="left" w:pos="7088"/>
                  </w:tabs>
                  <w:jc w:val="center"/>
                  <w:rPr>
                    <w:b/>
                    <w:bCs/>
                    <w:szCs w:val="24"/>
                  </w:rPr>
                </w:pPr>
                <w:r>
                  <w:rPr>
                    <w:b/>
                    <w:bCs/>
                    <w:szCs w:val="24"/>
                    <w:lang w:eastAsia="lt-LT"/>
                  </w:rPr>
                  <w:t>Transporto priemonės naudojimo ribojimo kodai</w:t>
                </w:r>
              </w:p>
            </w:tc>
          </w:tr>
          <w:tr>
            <w:tc>
              <w:tcPr>
                <w:tcW w:w="1795" w:type="dxa"/>
              </w:tcPr>
              <w:p>
                <w:pPr>
                  <w:tabs>
                    <w:tab w:val="left" w:pos="7088"/>
                  </w:tabs>
                  <w:rPr>
                    <w:szCs w:val="24"/>
                  </w:rPr>
                </w:pPr>
                <w:r>
                  <w:rPr>
                    <w:szCs w:val="24"/>
                  </w:rPr>
                  <w:t>61</w:t>
                </w:r>
              </w:p>
            </w:tc>
            <w:tc>
              <w:tcPr>
                <w:tcW w:w="7834" w:type="dxa"/>
              </w:tcPr>
              <w:p>
                <w:pPr>
                  <w:tabs>
                    <w:tab w:val="left" w:pos="7088"/>
                  </w:tabs>
                  <w:rPr>
                    <w:szCs w:val="24"/>
                  </w:rPr>
                </w:pPr>
                <w:r>
                  <w:rPr>
                    <w:color w:val="000000"/>
                    <w:szCs w:val="24"/>
                  </w:rPr>
                  <w:t>Tik kelionės dienos metu (pavyzdžiui, viena valanda po saulėtekio ir viena valanda iki saulėlydžio)</w:t>
                </w:r>
              </w:p>
            </w:tc>
          </w:tr>
          <w:tr>
            <w:tc>
              <w:tcPr>
                <w:tcW w:w="1795" w:type="dxa"/>
              </w:tcPr>
              <w:p>
                <w:pPr>
                  <w:tabs>
                    <w:tab w:val="left" w:pos="7088"/>
                  </w:tabs>
                  <w:rPr>
                    <w:szCs w:val="24"/>
                  </w:rPr>
                </w:pPr>
                <w:r>
                  <w:rPr>
                    <w:szCs w:val="24"/>
                  </w:rPr>
                  <w:t>62</w:t>
                </w:r>
              </w:p>
            </w:tc>
            <w:tc>
              <w:tcPr>
                <w:tcW w:w="7834" w:type="dxa"/>
              </w:tcPr>
              <w:p>
                <w:pPr>
                  <w:tabs>
                    <w:tab w:val="left" w:pos="7088"/>
                  </w:tabs>
                  <w:rPr>
                    <w:szCs w:val="24"/>
                  </w:rPr>
                </w:pPr>
                <w:r>
                  <w:rPr>
                    <w:color w:val="000000"/>
                    <w:szCs w:val="22"/>
                  </w:rPr>
                  <w:t>Tik kelionės … km spinduliu nuo vairuotojo pažymėjimo savininko gyvenamosios vietos arba tik mieste (rajone)</w:t>
                </w:r>
              </w:p>
            </w:tc>
          </w:tr>
          <w:tr>
            <w:tc>
              <w:tcPr>
                <w:tcW w:w="1795" w:type="dxa"/>
              </w:tcPr>
              <w:p>
                <w:pPr>
                  <w:tabs>
                    <w:tab w:val="left" w:pos="7088"/>
                  </w:tabs>
                  <w:rPr>
                    <w:szCs w:val="24"/>
                  </w:rPr>
                </w:pPr>
                <w:r>
                  <w:rPr>
                    <w:szCs w:val="24"/>
                  </w:rPr>
                  <w:t>63</w:t>
                </w:r>
              </w:p>
            </w:tc>
            <w:tc>
              <w:tcPr>
                <w:tcW w:w="7834" w:type="dxa"/>
              </w:tcPr>
              <w:p>
                <w:pPr>
                  <w:tabs>
                    <w:tab w:val="left" w:pos="7088"/>
                  </w:tabs>
                  <w:rPr>
                    <w:szCs w:val="24"/>
                  </w:rPr>
                </w:pPr>
                <w:r>
                  <w:rPr>
                    <w:color w:val="000000"/>
                    <w:szCs w:val="22"/>
                  </w:rPr>
                  <w:t>Važiavimas be keleivių</w:t>
                </w:r>
              </w:p>
            </w:tc>
          </w:tr>
          <w:tr>
            <w:tc>
              <w:tcPr>
                <w:tcW w:w="1795" w:type="dxa"/>
              </w:tcPr>
              <w:p>
                <w:pPr>
                  <w:tabs>
                    <w:tab w:val="left" w:pos="7088"/>
                  </w:tabs>
                  <w:rPr>
                    <w:szCs w:val="24"/>
                  </w:rPr>
                </w:pPr>
                <w:r>
                  <w:rPr>
                    <w:szCs w:val="24"/>
                  </w:rPr>
                  <w:t>64</w:t>
                </w:r>
              </w:p>
            </w:tc>
            <w:tc>
              <w:tcPr>
                <w:tcW w:w="7834" w:type="dxa"/>
              </w:tcPr>
              <w:p>
                <w:pPr>
                  <w:tabs>
                    <w:tab w:val="left" w:pos="7088"/>
                  </w:tabs>
                  <w:rPr>
                    <w:szCs w:val="24"/>
                  </w:rPr>
                </w:pPr>
                <w:r>
                  <w:rPr>
                    <w:color w:val="000000"/>
                    <w:szCs w:val="22"/>
                  </w:rPr>
                  <w:t>Tik kelionės ne didesniu kaip … km/h greičiu</w:t>
                </w:r>
              </w:p>
            </w:tc>
          </w:tr>
          <w:tr>
            <w:tc>
              <w:tcPr>
                <w:tcW w:w="1795" w:type="dxa"/>
              </w:tcPr>
              <w:p>
                <w:pPr>
                  <w:tabs>
                    <w:tab w:val="left" w:pos="7088"/>
                  </w:tabs>
                  <w:rPr>
                    <w:szCs w:val="24"/>
                  </w:rPr>
                </w:pPr>
                <w:r>
                  <w:rPr>
                    <w:color w:val="000000"/>
                    <w:szCs w:val="22"/>
                  </w:rPr>
                  <w:t>65</w:t>
                </w:r>
              </w:p>
            </w:tc>
            <w:tc>
              <w:tcPr>
                <w:tcW w:w="7834" w:type="dxa"/>
              </w:tcPr>
              <w:p>
                <w:pPr>
                  <w:tabs>
                    <w:tab w:val="left" w:pos="7088"/>
                  </w:tabs>
                  <w:rPr>
                    <w:szCs w:val="24"/>
                  </w:rPr>
                </w:pPr>
                <w:r>
                  <w:rPr>
                    <w:color w:val="000000"/>
                    <w:szCs w:val="22"/>
                  </w:rPr>
                  <w:t>Vairuoti leidžiama tik kai kartu važiuoja bent lygiavertės kategorijos vairuotojo pažymėjimo turėtojas</w:t>
                </w:r>
              </w:p>
            </w:tc>
          </w:tr>
          <w:tr>
            <w:tc>
              <w:tcPr>
                <w:tcW w:w="1795" w:type="dxa"/>
              </w:tcPr>
              <w:p>
                <w:pPr>
                  <w:tabs>
                    <w:tab w:val="left" w:pos="7088"/>
                  </w:tabs>
                  <w:rPr>
                    <w:szCs w:val="24"/>
                  </w:rPr>
                </w:pPr>
                <w:r>
                  <w:rPr>
                    <w:szCs w:val="24"/>
                  </w:rPr>
                  <w:t>66</w:t>
                </w:r>
              </w:p>
            </w:tc>
            <w:tc>
              <w:tcPr>
                <w:tcW w:w="7834" w:type="dxa"/>
              </w:tcPr>
              <w:p>
                <w:pPr>
                  <w:tabs>
                    <w:tab w:val="left" w:pos="7088"/>
                  </w:tabs>
                  <w:rPr>
                    <w:szCs w:val="24"/>
                  </w:rPr>
                </w:pPr>
                <w:r>
                  <w:rPr>
                    <w:color w:val="000000"/>
                    <w:szCs w:val="22"/>
                  </w:rPr>
                  <w:t>Be priekabos</w:t>
                </w:r>
              </w:p>
            </w:tc>
          </w:tr>
          <w:tr>
            <w:tc>
              <w:tcPr>
                <w:tcW w:w="1795" w:type="dxa"/>
              </w:tcPr>
              <w:p>
                <w:pPr>
                  <w:tabs>
                    <w:tab w:val="left" w:pos="7088"/>
                  </w:tabs>
                  <w:rPr>
                    <w:szCs w:val="24"/>
                  </w:rPr>
                </w:pPr>
                <w:r>
                  <w:rPr>
                    <w:szCs w:val="24"/>
                  </w:rPr>
                  <w:t>67</w:t>
                </w:r>
              </w:p>
            </w:tc>
            <w:tc>
              <w:tcPr>
                <w:tcW w:w="7834" w:type="dxa"/>
              </w:tcPr>
              <w:p>
                <w:pPr>
                  <w:tabs>
                    <w:tab w:val="left" w:pos="7088"/>
                  </w:tabs>
                  <w:rPr>
                    <w:szCs w:val="24"/>
                  </w:rPr>
                </w:pPr>
                <w:r>
                  <w:rPr>
                    <w:color w:val="000000"/>
                    <w:szCs w:val="22"/>
                  </w:rPr>
                  <w:t>Draudžiama važiuoti greitkeliais (automagistralėmis)</w:t>
                </w:r>
              </w:p>
            </w:tc>
          </w:tr>
          <w:tr>
            <w:tc>
              <w:tcPr>
                <w:tcW w:w="1795" w:type="dxa"/>
              </w:tcPr>
              <w:p>
                <w:pPr>
                  <w:tabs>
                    <w:tab w:val="left" w:pos="7088"/>
                  </w:tabs>
                  <w:rPr>
                    <w:szCs w:val="24"/>
                  </w:rPr>
                </w:pPr>
                <w:r>
                  <w:rPr>
                    <w:szCs w:val="24"/>
                  </w:rPr>
                  <w:t>68</w:t>
                </w:r>
              </w:p>
            </w:tc>
            <w:tc>
              <w:tcPr>
                <w:tcW w:w="7834" w:type="dxa"/>
              </w:tcPr>
              <w:p>
                <w:pPr>
                  <w:tabs>
                    <w:tab w:val="left" w:pos="7088"/>
                  </w:tabs>
                  <w:rPr>
                    <w:szCs w:val="24"/>
                  </w:rPr>
                </w:pPr>
                <w:r>
                  <w:rPr>
                    <w:szCs w:val="24"/>
                    <w:lang w:eastAsia="lt-LT"/>
                  </w:rPr>
                  <w:t>Draudžiama vairuoti išgėrus alkoholio</w:t>
                </w:r>
              </w:p>
            </w:tc>
          </w:tr>
        </w:tbl>
        <w:p>
          <w:pPr>
            <w:tabs>
              <w:tab w:val="left" w:pos="7088"/>
            </w:tabs>
            <w:spacing w:line="276" w:lineRule="auto"/>
            <w:jc w:val="both"/>
            <w:rPr>
              <w:szCs w:val="24"/>
              <w:lang w:val="en-US"/>
            </w:rPr>
          </w:pPr>
        </w:p>
        <w:p>
          <w:pPr>
            <w:ind w:left="1134"/>
            <w:textAlignment w:val="center"/>
            <w:rPr>
              <w:color w:val="000000"/>
              <w:szCs w:val="24"/>
              <w:lang w:eastAsia="lt-LT"/>
            </w:rPr>
          </w:pPr>
          <w:r>
            <w:rPr>
              <w:color w:val="000000"/>
              <w:szCs w:val="24"/>
              <w:vertAlign w:val="superscript"/>
              <w:lang w:eastAsia="lt-LT"/>
            </w:rPr>
            <w:t>*</w:t>
          </w:r>
          <w:r>
            <w:rPr>
              <w:color w:val="000000"/>
              <w:szCs w:val="24"/>
              <w:lang w:eastAsia="lt-LT"/>
            </w:rPr>
            <w:t>Lentelėje naudojamų raidžių reikšmės:</w:t>
          </w:r>
        </w:p>
        <w:p>
          <w:pPr>
            <w:ind w:left="1134"/>
            <w:textAlignment w:val="center"/>
            <w:rPr>
              <w:color w:val="000000"/>
              <w:szCs w:val="24"/>
              <w:lang w:eastAsia="lt-LT"/>
            </w:rPr>
          </w:pPr>
          <w:r>
            <w:rPr>
              <w:color w:val="000000"/>
              <w:szCs w:val="24"/>
              <w:lang w:eastAsia="lt-LT"/>
            </w:rPr>
            <w:t>a – kairė</w:t>
          </w:r>
        </w:p>
        <w:p>
          <w:pPr>
            <w:ind w:left="1134"/>
            <w:textAlignment w:val="center"/>
            <w:rPr>
              <w:color w:val="000000"/>
              <w:szCs w:val="24"/>
              <w:lang w:eastAsia="lt-LT"/>
            </w:rPr>
          </w:pPr>
          <w:r>
            <w:rPr>
              <w:color w:val="000000"/>
              <w:szCs w:val="24"/>
              <w:lang w:eastAsia="lt-LT"/>
            </w:rPr>
            <w:t>b – dešinė</w:t>
          </w:r>
        </w:p>
        <w:p>
          <w:pPr>
            <w:ind w:left="1134"/>
            <w:textAlignment w:val="center"/>
            <w:rPr>
              <w:color w:val="000000"/>
              <w:szCs w:val="24"/>
              <w:lang w:eastAsia="lt-LT"/>
            </w:rPr>
          </w:pPr>
          <w:r>
            <w:rPr>
              <w:color w:val="000000"/>
              <w:szCs w:val="24"/>
              <w:lang w:eastAsia="lt-LT"/>
            </w:rPr>
            <w:t>c – plaštaka</w:t>
          </w:r>
        </w:p>
        <w:p>
          <w:pPr>
            <w:ind w:left="1134"/>
            <w:textAlignment w:val="center"/>
            <w:rPr>
              <w:color w:val="000000"/>
              <w:szCs w:val="24"/>
              <w:lang w:eastAsia="lt-LT"/>
            </w:rPr>
          </w:pPr>
          <w:r>
            <w:rPr>
              <w:color w:val="000000"/>
              <w:szCs w:val="24"/>
              <w:lang w:eastAsia="lt-LT"/>
            </w:rPr>
            <w:t>d – pėda</w:t>
          </w:r>
        </w:p>
        <w:p>
          <w:pPr>
            <w:ind w:left="1134"/>
            <w:textAlignment w:val="center"/>
            <w:rPr>
              <w:color w:val="000000"/>
              <w:szCs w:val="24"/>
              <w:lang w:eastAsia="lt-LT"/>
            </w:rPr>
          </w:pPr>
          <w:r>
            <w:rPr>
              <w:color w:val="000000"/>
              <w:szCs w:val="24"/>
              <w:lang w:eastAsia="lt-LT"/>
            </w:rPr>
            <w:t>f – ranka</w:t>
          </w:r>
        </w:p>
        <w:p>
          <w:pPr>
            <w:ind w:left="1134"/>
            <w:textAlignment w:val="center"/>
            <w:rPr>
              <w:szCs w:val="24"/>
            </w:rPr>
          </w:pPr>
          <w:r>
            <w:rPr>
              <w:color w:val="000000"/>
              <w:szCs w:val="24"/>
              <w:lang w:eastAsia="lt-LT"/>
            </w:rPr>
            <w:t>g – nykštys</w:t>
          </w:r>
        </w:p>
        <w:p>
          <w:pPr>
            <w:rPr>
              <w:sz w:val="18"/>
              <w:szCs w:val="18"/>
            </w:rPr>
          </w:pPr>
        </w:p>
        <w:sdt>
          <w:sdtPr>
            <w:alias w:val="pabaiga"/>
            <w:tag w:val="part_ca8ad32ecd054575bb1e7d2a1ef01c55"/>
            <w:lock w:val="sdtLocked"/>
            <w:richText/>
          </w:sdtPr>
          <w:sdtContent>
            <w:p>
              <w:pPr>
                <w:spacing w:line="276" w:lineRule="auto"/>
                <w:ind w:firstLine="709"/>
                <w:jc w:val="center"/>
              </w:pPr>
              <w:r>
                <w:rPr>
                  <w:szCs w:val="24"/>
                </w:rPr>
                <w:t>__________________________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Lentelės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61ee00d19011e68d79c2033f194657">
            <w:r w:rsidRPr="00532B9F">
              <w:rPr>
                <w:rFonts w:ascii="Times New Roman" w:eastAsia="MS Mincho" w:hAnsi="Times New Roman"/>
                <w:sz w:val="20"/>
                <w:i/>
                <w:iCs/>
                <w:color w:val="0000FF" w:themeColor="hyperlink"/>
                <w:u w:val="single"/>
              </w:rPr>
              <w:t>V-1</w:t>
            </w:r>
          </w:fldSimple>
          <w:r>
            <w:rPr>
              <w:rFonts w:ascii="Times New Roman" w:eastAsia="MS Mincho" w:hAnsi="Times New Roman"/>
              <w:sz w:val="20"/>
              <w:i/>
              <w:iCs/>
            </w:rPr>
            <w:t>,
2017-01-02,
paskelbta TAR 2017-01-03, i. k. 2017-00405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3cf8f0601411e98b599e654d7d03a0">
            <w:r w:rsidRPr="00532B9F">
              <w:rPr>
                <w:rFonts w:ascii="Times New Roman" w:eastAsia="MS Mincho" w:hAnsi="Times New Roman"/>
                <w:sz w:val="20"/>
                <w:i/>
                <w:iCs/>
                <w:color w:val="0000FF" w:themeColor="hyperlink"/>
                <w:u w:val="single"/>
              </w:rPr>
              <w:t>V-422</w:t>
            </w:r>
          </w:fldSimple>
          <w:r>
            <w:rPr>
              <w:rFonts w:ascii="Times New Roman" w:eastAsia="MS Mincho" w:hAnsi="Times New Roman"/>
              <w:sz w:val="20"/>
              <w:i/>
              <w:iCs/>
            </w:rPr>
            <w:t>,
2019-04-15,
paskelbta TAR 2019-04-16, i. k. 2019-06202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c1d914846111efabdbb4a1fc8b0b63">
            <w:r w:rsidRPr="00532B9F">
              <w:rPr>
                <w:rFonts w:ascii="Times New Roman" w:eastAsia="MS Mincho" w:hAnsi="Times New Roman"/>
                <w:sz w:val="20"/>
                <w:i/>
                <w:iCs/>
                <w:color w:val="0000FF" w:themeColor="hyperlink"/>
                <w:u w:val="single"/>
              </w:rPr>
              <w:t>V-966</w:t>
            </w:r>
          </w:fldSimple>
          <w:r>
            <w:rPr>
              <w:rFonts w:ascii="Times New Roman" w:eastAsia="MS Mincho" w:hAnsi="Times New Roman"/>
              <w:sz w:val="20"/>
              <w:i/>
              <w:iCs/>
            </w:rPr>
            <w:t>,
2024-10-07,
paskelbta TAR 2024-10-07, i. k. 2024-17546            </w:t>
          </w:r>
        </w:p>
        <w:p/>
      </w:sdtContent>
    </w:sdt>
    <w:sdt>
      <w:sdtPr>
        <w:alias w:val="priedas"/>
        <w:tag w:val="part_cacbc32b0b034471ad3812d97292a3b6"/>
        <w:lock w:val="sdtLocked"/>
        <w:richText/>
      </w:sdtPr>
      <w:sdtContent>
        <w:p>
          <w:pPr>
            <w:spacing w:line="276" w:lineRule="auto"/>
            <w:sectPr>
              <w:pgSz w:w="11906" w:h="16838"/>
              <w:pgMar w:top="1134" w:right="1134" w:bottom="1134" w:left="1701" w:header="567" w:footer="567" w:gutter="0"/>
              <w:pgNumType w:start="1"/>
              <w:cols w:space="1296"/>
              <w:noEndnote/>
              <w:titlePg/>
              <w:docGrid w:linePitch="326"/>
            </w:sectPr>
          </w:pPr>
        </w:p>
        <w:p>
          <w:pPr>
            <w:tabs>
              <w:tab w:val="left" w:pos="6379"/>
              <w:tab w:val="right" w:pos="9356"/>
            </w:tabs>
            <w:spacing w:line="276" w:lineRule="auto"/>
            <w:ind w:left="5192"/>
            <w:rPr>
              <w:szCs w:val="24"/>
            </w:rPr>
          </w:pPr>
          <w:r>
            <w:rPr>
              <w:szCs w:val="24"/>
            </w:rPr>
            <w:t>Vairuotojų sveikatos tikrinimo</w:t>
          </w:r>
        </w:p>
        <w:p>
          <w:pPr>
            <w:tabs>
              <w:tab w:val="left" w:pos="2293"/>
              <w:tab w:val="left" w:pos="6379"/>
              <w:tab w:val="right" w:pos="9356"/>
            </w:tabs>
            <w:spacing w:line="276" w:lineRule="auto"/>
            <w:ind w:left="5192"/>
            <w:rPr>
              <w:szCs w:val="24"/>
            </w:rPr>
          </w:pPr>
          <w:r>
            <w:rPr>
              <w:szCs w:val="24"/>
            </w:rPr>
            <w:t>reikalavimų ir tvarkos aprašo</w:t>
          </w:r>
        </w:p>
        <w:p>
          <w:pPr>
            <w:tabs>
              <w:tab w:val="left" w:pos="2293"/>
              <w:tab w:val="left" w:pos="6379"/>
              <w:tab w:val="left" w:pos="8529"/>
              <w:tab w:val="right" w:pos="9356"/>
            </w:tabs>
            <w:spacing w:line="276" w:lineRule="auto"/>
            <w:ind w:left="5192"/>
            <w:rPr>
              <w:szCs w:val="24"/>
            </w:rPr>
          </w:pPr>
          <w:r>
            <w:rPr>
              <w:szCs w:val="24"/>
            </w:rPr>
            <w:t>priedas</w:t>
          </w:r>
        </w:p>
        <w:p>
          <w:pPr>
            <w:tabs>
              <w:tab w:val="left" w:pos="2293"/>
              <w:tab w:val="right" w:pos="9356"/>
            </w:tabs>
            <w:spacing w:line="276" w:lineRule="auto"/>
            <w:jc w:val="center"/>
            <w:rPr>
              <w:b/>
              <w:szCs w:val="24"/>
            </w:rPr>
          </w:pPr>
        </w:p>
        <w:p>
          <w:pPr>
            <w:rPr>
              <w:sz w:val="18"/>
              <w:szCs w:val="18"/>
            </w:rPr>
          </w:pPr>
        </w:p>
        <w:p>
          <w:pPr>
            <w:tabs>
              <w:tab w:val="left" w:pos="2293"/>
              <w:tab w:val="right" w:pos="9356"/>
            </w:tabs>
            <w:spacing w:line="276" w:lineRule="auto"/>
            <w:jc w:val="center"/>
            <w:rPr>
              <w:b/>
              <w:szCs w:val="24"/>
            </w:rPr>
          </w:pPr>
        </w:p>
        <w:p>
          <w:pPr>
            <w:rPr>
              <w:sz w:val="18"/>
              <w:szCs w:val="18"/>
            </w:rPr>
          </w:pPr>
        </w:p>
        <w:p>
          <w:pPr>
            <w:tabs>
              <w:tab w:val="left" w:pos="2293"/>
              <w:tab w:val="right" w:pos="9356"/>
            </w:tabs>
            <w:spacing w:line="276" w:lineRule="auto"/>
            <w:jc w:val="center"/>
            <w:rPr>
              <w:b/>
              <w:szCs w:val="24"/>
            </w:rPr>
          </w:pPr>
          <w:r>
            <w:rPr>
              <w:b/>
              <w:szCs w:val="24"/>
            </w:rPr>
            <w:t>KLAUSIMYNAS DĖL OBSTRUKCINĖS MIEGO APNĖJOS</w:t>
          </w:r>
        </w:p>
        <w:p>
          <w:pPr>
            <w:rPr>
              <w:sz w:val="18"/>
              <w:szCs w:val="18"/>
            </w:rPr>
          </w:pPr>
        </w:p>
        <w:p>
          <w:pPr>
            <w:tabs>
              <w:tab w:val="left" w:pos="2293"/>
              <w:tab w:val="right" w:pos="9356"/>
            </w:tabs>
            <w:spacing w:line="276" w:lineRule="auto"/>
            <w:jc w:val="center"/>
            <w:rPr>
              <w:szCs w:val="24"/>
            </w:rPr>
          </w:pPr>
          <w:r>
            <w:rPr>
              <w:szCs w:val="24"/>
            </w:rPr>
            <w:t>_____________________</w:t>
          </w:r>
        </w:p>
        <w:p>
          <w:pPr>
            <w:tabs>
              <w:tab w:val="left" w:pos="2293"/>
              <w:tab w:val="right" w:pos="9356"/>
            </w:tabs>
            <w:spacing w:line="276" w:lineRule="auto"/>
            <w:jc w:val="center"/>
            <w:rPr>
              <w:szCs w:val="24"/>
            </w:rPr>
          </w:pPr>
          <w:r>
            <w:rPr>
              <w:szCs w:val="24"/>
            </w:rPr>
            <w:t>(pildymo data)</w:t>
          </w:r>
        </w:p>
        <w:p>
          <w:pPr>
            <w:tabs>
              <w:tab w:val="left" w:pos="2293"/>
              <w:tab w:val="right" w:pos="9356"/>
            </w:tabs>
            <w:spacing w:line="276" w:lineRule="auto"/>
            <w:jc w:val="center"/>
            <w:rPr>
              <w:szCs w:val="24"/>
            </w:rPr>
          </w:pPr>
        </w:p>
        <w:tbl>
          <w:tblPr>
            <w:tblW w:w="97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76"/>
            <w:gridCol w:w="5769"/>
            <w:gridCol w:w="3402"/>
          </w:tblGrid>
          <w:tr>
            <w:tc>
              <w:tcPr>
                <w:tcW w:w="576" w:type="dxa"/>
              </w:tcPr>
              <w:p>
                <w:pPr>
                  <w:spacing w:line="276" w:lineRule="auto"/>
                  <w:jc w:val="center"/>
                  <w:rPr>
                    <w:sz w:val="22"/>
                    <w:szCs w:val="22"/>
                  </w:rPr>
                </w:pPr>
                <w:r>
                  <w:rPr>
                    <w:sz w:val="22"/>
                    <w:szCs w:val="22"/>
                  </w:rPr>
                  <w:t>1.</w:t>
                </w:r>
              </w:p>
            </w:tc>
            <w:tc>
              <w:tcPr>
                <w:tcW w:w="5769" w:type="dxa"/>
              </w:tcPr>
              <w:p>
                <w:pPr>
                  <w:spacing w:line="276" w:lineRule="auto"/>
                  <w:rPr>
                    <w:sz w:val="22"/>
                    <w:szCs w:val="22"/>
                  </w:rPr>
                </w:pPr>
                <w:r>
                  <w:rPr>
                    <w:sz w:val="22"/>
                    <w:szCs w:val="24"/>
                  </w:rPr>
                  <w:t xml:space="preserve">Lytis </w:t>
                </w:r>
              </w:p>
            </w:tc>
            <w:tc>
              <w:tcPr>
                <w:tcW w:w="3402" w:type="dxa"/>
              </w:tcPr>
              <w:p>
                <w:pPr>
                  <w:spacing w:line="276" w:lineRule="auto"/>
                  <w:rPr>
                    <w:sz w:val="22"/>
                    <w:szCs w:val="22"/>
                  </w:rPr>
                </w:pPr>
                <w:r>
                  <w:rPr>
                    <w:sz w:val="22"/>
                    <w:szCs w:val="24"/>
                  </w:rPr>
                  <w:t xml:space="preserve">Vyras </w:t>
                </w:r>
                <w:r>
                  <w:rPr>
                    <w:rFonts w:ascii="MS Mincho" w:eastAsia="MS Mincho" w:hAnsi="MS Mincho" w:cs="MS Mincho"/>
                    <w:sz w:val="22"/>
                    <w:szCs w:val="24"/>
                  </w:rPr>
                  <w:t>☐</w:t>
                </w:r>
                <w:r>
                  <w:rPr>
                    <w:sz w:val="22"/>
                    <w:szCs w:val="24"/>
                  </w:rPr>
                  <w:t xml:space="preserve"> Moteris </w:t>
                </w:r>
                <w:r>
                  <w:rPr>
                    <w:rFonts w:ascii="MS Mincho" w:eastAsia="MS Mincho" w:hAnsi="MS Mincho" w:cs="MS Mincho"/>
                    <w:sz w:val="28"/>
                    <w:szCs w:val="28"/>
                  </w:rPr>
                  <w:t>☐</w:t>
                </w:r>
              </w:p>
            </w:tc>
          </w:tr>
          <w:tr>
            <w:tc>
              <w:tcPr>
                <w:tcW w:w="576" w:type="dxa"/>
              </w:tcPr>
              <w:p>
                <w:pPr>
                  <w:spacing w:line="276" w:lineRule="auto"/>
                  <w:jc w:val="center"/>
                  <w:rPr>
                    <w:sz w:val="22"/>
                    <w:szCs w:val="22"/>
                  </w:rPr>
                </w:pPr>
                <w:r>
                  <w:rPr>
                    <w:sz w:val="22"/>
                    <w:szCs w:val="22"/>
                  </w:rPr>
                  <w:t>2.</w:t>
                </w:r>
              </w:p>
            </w:tc>
            <w:tc>
              <w:tcPr>
                <w:tcW w:w="5769" w:type="dxa"/>
              </w:tcPr>
              <w:p>
                <w:pPr>
                  <w:spacing w:line="276" w:lineRule="auto"/>
                  <w:rPr>
                    <w:sz w:val="22"/>
                    <w:szCs w:val="22"/>
                  </w:rPr>
                </w:pPr>
                <w:r>
                  <w:rPr>
                    <w:sz w:val="22"/>
                    <w:szCs w:val="24"/>
                  </w:rPr>
                  <w:t xml:space="preserve">Amžius </w:t>
                </w:r>
              </w:p>
            </w:tc>
            <w:tc>
              <w:tcPr>
                <w:tcW w:w="3402" w:type="dxa"/>
              </w:tcPr>
              <w:p>
                <w:pPr>
                  <w:spacing w:line="276" w:lineRule="auto"/>
                  <w:rPr>
                    <w:sz w:val="22"/>
                    <w:szCs w:val="22"/>
                  </w:rPr>
                </w:pPr>
              </w:p>
            </w:tc>
          </w:tr>
          <w:tr>
            <w:tc>
              <w:tcPr>
                <w:tcW w:w="576" w:type="dxa"/>
              </w:tcPr>
              <w:p>
                <w:pPr>
                  <w:spacing w:line="276" w:lineRule="auto"/>
                  <w:jc w:val="center"/>
                  <w:rPr>
                    <w:sz w:val="22"/>
                    <w:szCs w:val="22"/>
                  </w:rPr>
                </w:pPr>
                <w:r>
                  <w:rPr>
                    <w:sz w:val="22"/>
                    <w:szCs w:val="22"/>
                  </w:rPr>
                  <w:t>3.</w:t>
                </w:r>
              </w:p>
            </w:tc>
            <w:tc>
              <w:tcPr>
                <w:tcW w:w="5769" w:type="dxa"/>
              </w:tcPr>
              <w:p>
                <w:pPr>
                  <w:spacing w:line="276" w:lineRule="auto"/>
                  <w:rPr>
                    <w:sz w:val="22"/>
                    <w:szCs w:val="22"/>
                  </w:rPr>
                </w:pPr>
                <w:r>
                  <w:rPr>
                    <w:sz w:val="22"/>
                    <w:szCs w:val="24"/>
                  </w:rPr>
                  <w:t xml:space="preserve">Svoris </w:t>
                </w:r>
              </w:p>
            </w:tc>
            <w:tc>
              <w:tcPr>
                <w:tcW w:w="3402" w:type="dxa"/>
              </w:tcPr>
              <w:p>
                <w:pPr>
                  <w:spacing w:line="276" w:lineRule="auto"/>
                  <w:rPr>
                    <w:sz w:val="22"/>
                    <w:szCs w:val="22"/>
                  </w:rPr>
                </w:pPr>
              </w:p>
            </w:tc>
          </w:tr>
          <w:tr>
            <w:tc>
              <w:tcPr>
                <w:tcW w:w="576" w:type="dxa"/>
              </w:tcPr>
              <w:p>
                <w:pPr>
                  <w:spacing w:line="276" w:lineRule="auto"/>
                  <w:jc w:val="center"/>
                  <w:rPr>
                    <w:sz w:val="22"/>
                    <w:szCs w:val="22"/>
                  </w:rPr>
                </w:pPr>
                <w:r>
                  <w:rPr>
                    <w:sz w:val="22"/>
                    <w:szCs w:val="22"/>
                  </w:rPr>
                  <w:t>4.</w:t>
                </w:r>
              </w:p>
            </w:tc>
            <w:tc>
              <w:tcPr>
                <w:tcW w:w="5769" w:type="dxa"/>
              </w:tcPr>
              <w:p>
                <w:pPr>
                  <w:spacing w:line="276" w:lineRule="auto"/>
                  <w:rPr>
                    <w:sz w:val="22"/>
                    <w:szCs w:val="22"/>
                  </w:rPr>
                </w:pPr>
                <w:r>
                  <w:rPr>
                    <w:sz w:val="22"/>
                    <w:szCs w:val="22"/>
                  </w:rPr>
                  <w:t xml:space="preserve">Ūgis </w:t>
                </w:r>
              </w:p>
            </w:tc>
            <w:tc>
              <w:tcPr>
                <w:tcW w:w="3402" w:type="dxa"/>
              </w:tcPr>
              <w:p>
                <w:pPr>
                  <w:spacing w:line="276" w:lineRule="auto"/>
                  <w:rPr>
                    <w:sz w:val="22"/>
                    <w:szCs w:val="22"/>
                  </w:rPr>
                </w:pPr>
              </w:p>
            </w:tc>
          </w:tr>
          <w:tr>
            <w:tc>
              <w:tcPr>
                <w:tcW w:w="576" w:type="dxa"/>
              </w:tcPr>
              <w:p>
                <w:pPr>
                  <w:spacing w:line="276" w:lineRule="auto"/>
                  <w:jc w:val="center"/>
                  <w:rPr>
                    <w:sz w:val="22"/>
                    <w:szCs w:val="22"/>
                  </w:rPr>
                </w:pPr>
                <w:r>
                  <w:rPr>
                    <w:sz w:val="22"/>
                    <w:szCs w:val="22"/>
                  </w:rPr>
                  <w:t>5.</w:t>
                </w:r>
              </w:p>
            </w:tc>
            <w:tc>
              <w:tcPr>
                <w:tcW w:w="5769" w:type="dxa"/>
              </w:tcPr>
              <w:p>
                <w:pPr>
                  <w:spacing w:line="276" w:lineRule="auto"/>
                  <w:rPr>
                    <w:sz w:val="22"/>
                    <w:szCs w:val="22"/>
                  </w:rPr>
                </w:pPr>
                <w:r>
                  <w:rPr>
                    <w:sz w:val="22"/>
                    <w:szCs w:val="24"/>
                  </w:rPr>
                  <w:t xml:space="preserve">Ar vairuodamas buvote užsnūdęs? </w:t>
                </w:r>
              </w:p>
            </w:tc>
            <w:tc>
              <w:tcPr>
                <w:tcW w:w="3402" w:type="dxa"/>
              </w:tcPr>
              <w:p>
                <w:pPr>
                  <w:spacing w:line="276" w:lineRule="auto"/>
                  <w:rPr>
                    <w:sz w:val="22"/>
                    <w:szCs w:val="22"/>
                  </w:rPr>
                </w:pPr>
                <w:r>
                  <w:rPr>
                    <w:sz w:val="22"/>
                    <w:szCs w:val="24"/>
                  </w:rPr>
                  <w:t xml:space="preserve">Taip </w:t>
                </w:r>
                <w:r>
                  <w:rPr>
                    <w:rFonts w:ascii="MS Mincho" w:eastAsia="MS Mincho" w:hAnsi="MS Mincho" w:cs="MS Mincho"/>
                    <w:sz w:val="28"/>
                    <w:szCs w:val="28"/>
                  </w:rPr>
                  <w:t>☐</w:t>
                </w:r>
                <w:r>
                  <w:rPr>
                    <w:sz w:val="22"/>
                    <w:szCs w:val="24"/>
                  </w:rPr>
                  <w:t xml:space="preserve"> Ne </w:t>
                </w:r>
                <w:r>
                  <w:rPr>
                    <w:rFonts w:ascii="MS Mincho" w:eastAsia="MS Mincho" w:hAnsi="MS Mincho" w:cs="MS Mincho"/>
                    <w:sz w:val="28"/>
                    <w:szCs w:val="28"/>
                  </w:rPr>
                  <w:t>☐</w:t>
                </w:r>
                <w:r>
                  <w:rPr>
                    <w:sz w:val="22"/>
                    <w:szCs w:val="24"/>
                  </w:rPr>
                  <w:t xml:space="preserve"> Nežinau </w:t>
                </w:r>
                <w:r>
                  <w:rPr>
                    <w:rFonts w:ascii="MS Mincho" w:eastAsia="MS Mincho" w:hAnsi="MS Mincho" w:cs="MS Mincho"/>
                    <w:sz w:val="28"/>
                    <w:szCs w:val="28"/>
                  </w:rPr>
                  <w:t>☐</w:t>
                </w:r>
              </w:p>
            </w:tc>
          </w:tr>
          <w:tr>
            <w:tc>
              <w:tcPr>
                <w:tcW w:w="576" w:type="dxa"/>
              </w:tcPr>
              <w:p>
                <w:pPr>
                  <w:spacing w:line="276" w:lineRule="auto"/>
                  <w:jc w:val="center"/>
                  <w:rPr>
                    <w:sz w:val="22"/>
                    <w:szCs w:val="22"/>
                  </w:rPr>
                </w:pPr>
                <w:r>
                  <w:rPr>
                    <w:sz w:val="22"/>
                    <w:szCs w:val="22"/>
                  </w:rPr>
                  <w:t>6.</w:t>
                </w:r>
              </w:p>
            </w:tc>
            <w:tc>
              <w:tcPr>
                <w:tcW w:w="5769" w:type="dxa"/>
              </w:tcPr>
              <w:p>
                <w:pPr>
                  <w:tabs>
                    <w:tab w:val="left" w:pos="580"/>
                  </w:tabs>
                  <w:spacing w:line="276" w:lineRule="auto"/>
                  <w:rPr>
                    <w:sz w:val="22"/>
                    <w:szCs w:val="22"/>
                  </w:rPr>
                </w:pPr>
                <w:r>
                  <w:rPr>
                    <w:sz w:val="22"/>
                    <w:szCs w:val="24"/>
                  </w:rPr>
                  <w:t xml:space="preserve">Ar buvote patekęs į rimtą autoįvykį (buvote sužeistas ar buvo sudaužyta transporto priemonė) dėl mieguistumo per pastaruosius 3 metus? </w:t>
                </w:r>
              </w:p>
            </w:tc>
            <w:tc>
              <w:tcPr>
                <w:tcW w:w="3402" w:type="dxa"/>
              </w:tcPr>
              <w:p>
                <w:pPr>
                  <w:spacing w:line="276" w:lineRule="auto"/>
                  <w:rPr>
                    <w:sz w:val="22"/>
                    <w:szCs w:val="22"/>
                  </w:rPr>
                </w:pPr>
                <w:r>
                  <w:rPr>
                    <w:sz w:val="22"/>
                    <w:szCs w:val="24"/>
                  </w:rPr>
                  <w:t xml:space="preserve">Taip </w:t>
                </w:r>
                <w:r>
                  <w:rPr>
                    <w:rFonts w:ascii="MS Mincho" w:eastAsia="MS Mincho" w:hAnsi="MS Mincho" w:cs="MS Mincho"/>
                    <w:sz w:val="28"/>
                    <w:szCs w:val="28"/>
                  </w:rPr>
                  <w:t>☐</w:t>
                </w:r>
                <w:r>
                  <w:rPr>
                    <w:sz w:val="22"/>
                    <w:szCs w:val="24"/>
                  </w:rPr>
                  <w:t xml:space="preserve"> Ne </w:t>
                </w:r>
                <w:r>
                  <w:rPr>
                    <w:rFonts w:ascii="MS Mincho" w:eastAsia="MS Mincho" w:hAnsi="MS Mincho" w:cs="MS Mincho"/>
                    <w:sz w:val="28"/>
                    <w:szCs w:val="28"/>
                  </w:rPr>
                  <w:t>☐</w:t>
                </w:r>
                <w:r>
                  <w:rPr>
                    <w:sz w:val="22"/>
                    <w:szCs w:val="24"/>
                  </w:rPr>
                  <w:t xml:space="preserve"> Nežinau </w:t>
                </w:r>
                <w:r>
                  <w:rPr>
                    <w:rFonts w:ascii="MS Mincho" w:eastAsia="MS Mincho" w:hAnsi="MS Mincho" w:cs="MS Mincho"/>
                    <w:sz w:val="28"/>
                    <w:szCs w:val="28"/>
                  </w:rPr>
                  <w:t>☐</w:t>
                </w:r>
              </w:p>
            </w:tc>
          </w:tr>
          <w:tr>
            <w:tc>
              <w:tcPr>
                <w:tcW w:w="576" w:type="dxa"/>
              </w:tcPr>
              <w:p>
                <w:pPr>
                  <w:spacing w:line="276" w:lineRule="auto"/>
                  <w:jc w:val="center"/>
                  <w:rPr>
                    <w:sz w:val="22"/>
                    <w:szCs w:val="22"/>
                  </w:rPr>
                </w:pPr>
                <w:r>
                  <w:rPr>
                    <w:sz w:val="22"/>
                    <w:szCs w:val="22"/>
                  </w:rPr>
                  <w:t>7.</w:t>
                </w:r>
              </w:p>
            </w:tc>
            <w:tc>
              <w:tcPr>
                <w:tcW w:w="5769" w:type="dxa"/>
              </w:tcPr>
              <w:p>
                <w:pPr>
                  <w:spacing w:line="276" w:lineRule="auto"/>
                  <w:rPr>
                    <w:sz w:val="22"/>
                    <w:szCs w:val="22"/>
                  </w:rPr>
                </w:pPr>
                <w:r>
                  <w:rPr>
                    <w:sz w:val="22"/>
                    <w:szCs w:val="24"/>
                  </w:rPr>
                  <w:t xml:space="preserve">Ar Jūs knarkiate beveik kiekvieną naktį? </w:t>
                </w:r>
              </w:p>
            </w:tc>
            <w:tc>
              <w:tcPr>
                <w:tcW w:w="3402" w:type="dxa"/>
              </w:tcPr>
              <w:p>
                <w:pPr>
                  <w:spacing w:line="276" w:lineRule="auto"/>
                  <w:rPr>
                    <w:sz w:val="22"/>
                    <w:szCs w:val="22"/>
                  </w:rPr>
                </w:pPr>
                <w:r>
                  <w:rPr>
                    <w:sz w:val="22"/>
                    <w:szCs w:val="24"/>
                  </w:rPr>
                  <w:t xml:space="preserve">Taip </w:t>
                </w:r>
                <w:r>
                  <w:rPr>
                    <w:rFonts w:ascii="MS Mincho" w:eastAsia="MS Mincho" w:hAnsi="MS Mincho" w:cs="MS Mincho"/>
                    <w:sz w:val="28"/>
                    <w:szCs w:val="28"/>
                  </w:rPr>
                  <w:t>☐</w:t>
                </w:r>
                <w:r>
                  <w:rPr>
                    <w:sz w:val="22"/>
                    <w:szCs w:val="24"/>
                  </w:rPr>
                  <w:t xml:space="preserve"> Ne </w:t>
                </w:r>
                <w:r>
                  <w:rPr>
                    <w:rFonts w:ascii="MS Mincho" w:eastAsia="MS Mincho" w:hAnsi="MS Mincho" w:cs="MS Mincho"/>
                    <w:sz w:val="28"/>
                    <w:szCs w:val="28"/>
                  </w:rPr>
                  <w:t>☐</w:t>
                </w:r>
                <w:r>
                  <w:rPr>
                    <w:sz w:val="22"/>
                    <w:szCs w:val="24"/>
                  </w:rPr>
                  <w:t xml:space="preserve"> Nežinau </w:t>
                </w:r>
                <w:r>
                  <w:rPr>
                    <w:rFonts w:ascii="MS Mincho" w:eastAsia="MS Mincho" w:hAnsi="MS Mincho" w:cs="MS Mincho"/>
                    <w:sz w:val="28"/>
                    <w:szCs w:val="28"/>
                  </w:rPr>
                  <w:t>☐</w:t>
                </w:r>
              </w:p>
            </w:tc>
          </w:tr>
          <w:tr>
            <w:tc>
              <w:tcPr>
                <w:tcW w:w="576" w:type="dxa"/>
              </w:tcPr>
              <w:p>
                <w:pPr>
                  <w:spacing w:line="276" w:lineRule="auto"/>
                  <w:jc w:val="center"/>
                  <w:rPr>
                    <w:sz w:val="22"/>
                    <w:szCs w:val="22"/>
                  </w:rPr>
                </w:pPr>
                <w:r>
                  <w:rPr>
                    <w:sz w:val="22"/>
                    <w:szCs w:val="22"/>
                  </w:rPr>
                  <w:t>8.</w:t>
                </w:r>
              </w:p>
            </w:tc>
            <w:tc>
              <w:tcPr>
                <w:tcW w:w="5769" w:type="dxa"/>
              </w:tcPr>
              <w:p>
                <w:pPr>
                  <w:tabs>
                    <w:tab w:val="left" w:pos="573"/>
                  </w:tabs>
                  <w:spacing w:line="276" w:lineRule="auto"/>
                  <w:rPr>
                    <w:sz w:val="22"/>
                    <w:szCs w:val="22"/>
                  </w:rPr>
                </w:pPr>
                <w:r>
                  <w:rPr>
                    <w:sz w:val="22"/>
                    <w:szCs w:val="24"/>
                  </w:rPr>
                  <w:t xml:space="preserve">Ar kas nors Jums yra sakęs, kad nustojate kvėpuoti miego metu? </w:t>
                </w:r>
              </w:p>
            </w:tc>
            <w:tc>
              <w:tcPr>
                <w:tcW w:w="3402" w:type="dxa"/>
              </w:tcPr>
              <w:p>
                <w:pPr>
                  <w:tabs>
                    <w:tab w:val="left" w:pos="573"/>
                  </w:tabs>
                  <w:spacing w:line="276" w:lineRule="auto"/>
                  <w:rPr>
                    <w:sz w:val="22"/>
                    <w:szCs w:val="22"/>
                  </w:rPr>
                </w:pPr>
                <w:r>
                  <w:rPr>
                    <w:sz w:val="22"/>
                    <w:szCs w:val="24"/>
                  </w:rPr>
                  <w:t xml:space="preserve">Taip </w:t>
                </w:r>
                <w:r>
                  <w:rPr>
                    <w:rFonts w:ascii="MS Mincho" w:eastAsia="MS Mincho" w:hAnsi="MS Mincho" w:cs="MS Mincho"/>
                    <w:sz w:val="28"/>
                    <w:szCs w:val="28"/>
                  </w:rPr>
                  <w:t>☐</w:t>
                </w:r>
                <w:r>
                  <w:rPr>
                    <w:sz w:val="22"/>
                    <w:szCs w:val="24"/>
                  </w:rPr>
                  <w:t xml:space="preserve"> Ne </w:t>
                </w:r>
                <w:r>
                  <w:rPr>
                    <w:rFonts w:ascii="MS Mincho" w:eastAsia="MS Mincho" w:hAnsi="MS Mincho" w:cs="MS Mincho"/>
                    <w:sz w:val="28"/>
                    <w:szCs w:val="28"/>
                  </w:rPr>
                  <w:t>☐</w:t>
                </w:r>
                <w:r>
                  <w:rPr>
                    <w:sz w:val="22"/>
                    <w:szCs w:val="24"/>
                  </w:rPr>
                  <w:t xml:space="preserve"> Nežinau </w:t>
                </w:r>
                <w:r>
                  <w:rPr>
                    <w:rFonts w:ascii="MS Mincho" w:eastAsia="MS Mincho" w:hAnsi="MS Mincho" w:cs="MS Mincho"/>
                    <w:sz w:val="28"/>
                    <w:szCs w:val="28"/>
                  </w:rPr>
                  <w:t>☐</w:t>
                </w:r>
              </w:p>
            </w:tc>
          </w:tr>
          <w:tr>
            <w:tc>
              <w:tcPr>
                <w:tcW w:w="576" w:type="dxa"/>
              </w:tcPr>
              <w:p>
                <w:pPr>
                  <w:spacing w:line="276" w:lineRule="auto"/>
                  <w:jc w:val="center"/>
                  <w:rPr>
                    <w:sz w:val="22"/>
                    <w:szCs w:val="22"/>
                  </w:rPr>
                </w:pPr>
                <w:r>
                  <w:rPr>
                    <w:sz w:val="22"/>
                    <w:szCs w:val="22"/>
                  </w:rPr>
                  <w:t>9.</w:t>
                </w:r>
              </w:p>
            </w:tc>
            <w:tc>
              <w:tcPr>
                <w:tcW w:w="5769" w:type="dxa"/>
              </w:tcPr>
              <w:p>
                <w:pPr>
                  <w:tabs>
                    <w:tab w:val="left" w:pos="573"/>
                  </w:tabs>
                  <w:spacing w:line="276" w:lineRule="auto"/>
                  <w:rPr>
                    <w:sz w:val="22"/>
                    <w:szCs w:val="24"/>
                  </w:rPr>
                </w:pPr>
                <w:r>
                  <w:rPr>
                    <w:sz w:val="22"/>
                    <w:szCs w:val="24"/>
                  </w:rPr>
                  <w:t xml:space="preserve">Ar atsibundate pailsėjęs po nakties miego? </w:t>
                </w:r>
              </w:p>
            </w:tc>
            <w:tc>
              <w:tcPr>
                <w:tcW w:w="3402" w:type="dxa"/>
              </w:tcPr>
              <w:p>
                <w:pPr>
                  <w:tabs>
                    <w:tab w:val="left" w:pos="573"/>
                  </w:tabs>
                  <w:spacing w:line="276" w:lineRule="auto"/>
                  <w:rPr>
                    <w:sz w:val="22"/>
                    <w:szCs w:val="24"/>
                  </w:rPr>
                </w:pPr>
                <w:r>
                  <w:rPr>
                    <w:sz w:val="22"/>
                    <w:szCs w:val="24"/>
                  </w:rPr>
                  <w:t xml:space="preserve">Taip </w:t>
                </w:r>
                <w:r>
                  <w:rPr>
                    <w:rFonts w:ascii="MS Mincho" w:eastAsia="MS Mincho" w:hAnsi="MS Mincho" w:cs="MS Mincho"/>
                    <w:sz w:val="28"/>
                    <w:szCs w:val="28"/>
                  </w:rPr>
                  <w:t>☐</w:t>
                </w:r>
                <w:r>
                  <w:rPr>
                    <w:sz w:val="22"/>
                    <w:szCs w:val="24"/>
                  </w:rPr>
                  <w:t xml:space="preserve"> Ne </w:t>
                </w:r>
                <w:r>
                  <w:rPr>
                    <w:rFonts w:ascii="MS Mincho" w:eastAsia="MS Mincho" w:hAnsi="MS Mincho" w:cs="MS Mincho"/>
                    <w:sz w:val="28"/>
                    <w:szCs w:val="28"/>
                  </w:rPr>
                  <w:t>☐</w:t>
                </w:r>
                <w:r>
                  <w:rPr>
                    <w:sz w:val="22"/>
                    <w:szCs w:val="24"/>
                  </w:rPr>
                  <w:t xml:space="preserve"> Nežinau </w:t>
                </w:r>
                <w:r>
                  <w:rPr>
                    <w:rFonts w:ascii="MS Mincho" w:eastAsia="MS Mincho" w:hAnsi="MS Mincho" w:cs="MS Mincho"/>
                    <w:sz w:val="28"/>
                    <w:szCs w:val="28"/>
                  </w:rPr>
                  <w:t>☐</w:t>
                </w:r>
              </w:p>
            </w:tc>
          </w:tr>
          <w:tr>
            <w:tc>
              <w:tcPr>
                <w:tcW w:w="576" w:type="dxa"/>
              </w:tcPr>
              <w:p>
                <w:pPr>
                  <w:spacing w:line="276" w:lineRule="auto"/>
                  <w:jc w:val="center"/>
                  <w:rPr>
                    <w:sz w:val="22"/>
                    <w:szCs w:val="22"/>
                  </w:rPr>
                </w:pPr>
                <w:r>
                  <w:rPr>
                    <w:sz w:val="22"/>
                    <w:szCs w:val="22"/>
                  </w:rPr>
                  <w:t>10.</w:t>
                </w:r>
              </w:p>
            </w:tc>
            <w:tc>
              <w:tcPr>
                <w:tcW w:w="5769" w:type="dxa"/>
              </w:tcPr>
              <w:p>
                <w:pPr>
                  <w:tabs>
                    <w:tab w:val="left" w:pos="573"/>
                  </w:tabs>
                  <w:spacing w:line="276" w:lineRule="auto"/>
                  <w:rPr>
                    <w:sz w:val="22"/>
                    <w:szCs w:val="24"/>
                  </w:rPr>
                </w:pPr>
                <w:r>
                  <w:rPr>
                    <w:sz w:val="22"/>
                    <w:szCs w:val="24"/>
                  </w:rPr>
                  <w:t xml:space="preserve">Ar Jūsų kraujo spaudimas būna padidėjęs arba vartojate vaistus, skirtus kraujo spaudimui mažinti? </w:t>
                </w:r>
              </w:p>
            </w:tc>
            <w:tc>
              <w:tcPr>
                <w:tcW w:w="3402" w:type="dxa"/>
              </w:tcPr>
              <w:p>
                <w:pPr>
                  <w:tabs>
                    <w:tab w:val="left" w:pos="573"/>
                  </w:tabs>
                  <w:spacing w:line="276" w:lineRule="auto"/>
                  <w:rPr>
                    <w:sz w:val="22"/>
                    <w:szCs w:val="24"/>
                  </w:rPr>
                </w:pPr>
                <w:r>
                  <w:rPr>
                    <w:sz w:val="22"/>
                    <w:szCs w:val="24"/>
                  </w:rPr>
                  <w:t xml:space="preserve">Taip </w:t>
                </w:r>
                <w:r>
                  <w:rPr>
                    <w:rFonts w:ascii="MS Mincho" w:eastAsia="MS Mincho" w:hAnsi="MS Mincho" w:cs="MS Mincho"/>
                    <w:sz w:val="28"/>
                    <w:szCs w:val="28"/>
                  </w:rPr>
                  <w:t>☐</w:t>
                </w:r>
                <w:r>
                  <w:rPr>
                    <w:sz w:val="22"/>
                    <w:szCs w:val="24"/>
                  </w:rPr>
                  <w:t xml:space="preserve"> Ne </w:t>
                </w:r>
                <w:r>
                  <w:rPr>
                    <w:rFonts w:ascii="MS Mincho" w:eastAsia="MS Mincho" w:hAnsi="MS Mincho" w:cs="MS Mincho"/>
                    <w:sz w:val="28"/>
                    <w:szCs w:val="28"/>
                  </w:rPr>
                  <w:t>☐</w:t>
                </w:r>
                <w:r>
                  <w:rPr>
                    <w:sz w:val="22"/>
                    <w:szCs w:val="24"/>
                  </w:rPr>
                  <w:t xml:space="preserve"> Nežinau </w:t>
                </w:r>
                <w:r>
                  <w:rPr>
                    <w:rFonts w:ascii="MS Mincho" w:eastAsia="MS Mincho" w:hAnsi="MS Mincho" w:cs="MS Mincho"/>
                    <w:sz w:val="28"/>
                    <w:szCs w:val="28"/>
                  </w:rPr>
                  <w:t>☐</w:t>
                </w:r>
              </w:p>
            </w:tc>
          </w:tr>
        </w:tbl>
        <w:p>
          <w:pPr>
            <w:spacing w:line="360" w:lineRule="auto"/>
            <w:ind w:firstLine="720"/>
            <w:jc w:val="both"/>
            <w:rPr>
              <w:szCs w:val="24"/>
            </w:rPr>
          </w:pPr>
          <w:r>
            <w:rPr>
              <w:szCs w:val="24"/>
              <w:lang w:val="en-US"/>
            </w:rPr>
            <w:t xml:space="preserve">* </w:t>
          </w:r>
          <w:r>
            <w:rPr>
              <w:szCs w:val="24"/>
            </w:rPr>
            <w:t>Klausimynas</w:t>
          </w:r>
          <w:r>
            <w:rPr>
              <w:szCs w:val="24"/>
              <w:lang w:val="en-US"/>
            </w:rPr>
            <w:t xml:space="preserve"> </w:t>
          </w:r>
          <w:r>
            <w:rPr>
              <w:szCs w:val="24"/>
            </w:rPr>
            <w:t xml:space="preserve">dėl obstrukcinės miego apnėjos ir </w:t>
          </w:r>
          <w:r>
            <w:rPr>
              <w:i/>
              <w:szCs w:val="24"/>
            </w:rPr>
            <w:t>Epworth</w:t>
          </w:r>
          <w:r>
            <w:rPr>
              <w:szCs w:val="24"/>
            </w:rPr>
            <w:t xml:space="preserve"> mieguistumo skalė turi būti atspausdinta ant vieno lapo iš abiejų pusių.</w:t>
          </w:r>
        </w:p>
        <w:p>
          <w:pPr>
            <w:spacing w:line="360" w:lineRule="auto"/>
            <w:ind w:left="714"/>
            <w:jc w:val="both"/>
            <w:rPr>
              <w:szCs w:val="24"/>
            </w:rPr>
          </w:pPr>
          <w:r>
            <w:rPr>
              <w:szCs w:val="24"/>
            </w:rPr>
            <w:t xml:space="preserve">Prašome užpildyti </w:t>
          </w:r>
          <w:r>
            <w:rPr>
              <w:i/>
              <w:szCs w:val="24"/>
            </w:rPr>
            <w:t>Epworth</w:t>
          </w:r>
          <w:r>
            <w:rPr>
              <w:szCs w:val="24"/>
            </w:rPr>
            <w:t xml:space="preserve"> mieguistumo skalę kitoje lapo pusėje</w:t>
          </w:r>
          <w:r>
            <w:rPr>
              <w:b/>
              <w:sz w:val="22"/>
              <w:szCs w:val="24"/>
            </w:rPr>
            <w:t>*</w:t>
          </w:r>
          <w:r>
            <w:rPr>
              <w:szCs w:val="24"/>
            </w:rPr>
            <w:t>.</w:t>
          </w:r>
        </w:p>
        <w:p>
          <w:pPr>
            <w:spacing w:line="276" w:lineRule="auto"/>
            <w:rPr>
              <w:b/>
              <w:szCs w:val="24"/>
            </w:rPr>
          </w:pPr>
          <w:r>
            <w:rPr>
              <w:b/>
              <w:szCs w:val="24"/>
            </w:rPr>
            <w:br w:type="page"/>
          </w:r>
        </w:p>
        <w:p>
          <w:pPr>
            <w:tabs>
              <w:tab w:val="left" w:pos="0"/>
              <w:tab w:val="left" w:pos="2703"/>
              <w:tab w:val="center" w:pos="4858"/>
              <w:tab w:val="left" w:pos="6804"/>
            </w:tabs>
            <w:spacing w:line="276" w:lineRule="auto"/>
            <w:jc w:val="center"/>
            <w:rPr>
              <w:b/>
              <w:szCs w:val="24"/>
            </w:rPr>
          </w:pPr>
          <w:r>
            <w:rPr>
              <w:b/>
              <w:i/>
              <w:szCs w:val="24"/>
            </w:rPr>
            <w:t>EPWORTH</w:t>
          </w:r>
          <w:r>
            <w:rPr>
              <w:b/>
              <w:szCs w:val="24"/>
            </w:rPr>
            <w:t xml:space="preserve"> MIEGUISTUMO SKALĖ</w:t>
          </w:r>
        </w:p>
        <w:p>
          <w:pPr>
            <w:rPr>
              <w:sz w:val="18"/>
              <w:szCs w:val="18"/>
            </w:rPr>
          </w:pPr>
        </w:p>
        <w:p>
          <w:pPr>
            <w:tabs>
              <w:tab w:val="left" w:pos="426"/>
              <w:tab w:val="left" w:pos="6804"/>
            </w:tabs>
            <w:spacing w:line="276" w:lineRule="auto"/>
            <w:ind w:firstLine="709"/>
            <w:jc w:val="both"/>
            <w:rPr>
              <w:szCs w:val="24"/>
            </w:rPr>
          </w:pPr>
          <w:r>
            <w:rPr>
              <w:szCs w:val="24"/>
            </w:rPr>
            <w:t xml:space="preserve">Prašome užpildyti </w:t>
          </w:r>
          <w:r>
            <w:rPr>
              <w:i/>
              <w:szCs w:val="24"/>
            </w:rPr>
            <w:t>Epworth</w:t>
          </w:r>
          <w:r>
            <w:rPr>
              <w:szCs w:val="24"/>
            </w:rPr>
            <w:t xml:space="preserve"> mieguistumo skalę, skirtą tikimybei, kad Jūs užsnūsite ar užmigsite, esant situacijoms, pateiktoms toliau esančioje lentelėje, neatsižvelgiant į nuovargį, įvertinti. Atsakymai turi apibūdinti Jūsų šių dienų gyvenimo būdą. Jeigu Jūs paskutiniu laiku nebuvote tokiose situacijose, pabandykite įsivaizduoti, kaip jose jaustumėtės. Į lentelės balų skiltį įrašykite vieną iš skalėje pateiktų labiausiai kiekvienai situacijai tinkančių skaičių: </w:t>
          </w:r>
        </w:p>
        <w:p>
          <w:pPr>
            <w:rPr>
              <w:sz w:val="10"/>
              <w:szCs w:val="10"/>
            </w:rPr>
          </w:pPr>
        </w:p>
        <w:p>
          <w:pPr>
            <w:tabs>
              <w:tab w:val="left" w:pos="426"/>
              <w:tab w:val="left" w:pos="709"/>
            </w:tabs>
            <w:spacing w:line="276" w:lineRule="auto"/>
            <w:ind w:firstLine="709"/>
            <w:jc w:val="both"/>
            <w:rPr>
              <w:szCs w:val="24"/>
            </w:rPr>
          </w:pPr>
          <w:r>
            <w:rPr>
              <w:szCs w:val="24"/>
            </w:rPr>
            <w:t xml:space="preserve">0 = niekada nesnaudžiu </w:t>
          </w:r>
        </w:p>
        <w:p>
          <w:pPr>
            <w:tabs>
              <w:tab w:val="left" w:pos="426"/>
              <w:tab w:val="left" w:pos="709"/>
            </w:tabs>
            <w:spacing w:line="276" w:lineRule="auto"/>
            <w:ind w:left="360" w:firstLine="349"/>
            <w:jc w:val="both"/>
            <w:rPr>
              <w:szCs w:val="24"/>
            </w:rPr>
          </w:pPr>
          <w:r>
            <w:rPr>
              <w:szCs w:val="24"/>
            </w:rPr>
            <w:t xml:space="preserve">1 = nedidelė galimybė užsnūsti </w:t>
          </w:r>
        </w:p>
        <w:p>
          <w:pPr>
            <w:tabs>
              <w:tab w:val="left" w:pos="426"/>
              <w:tab w:val="left" w:pos="709"/>
            </w:tabs>
            <w:spacing w:line="276" w:lineRule="auto"/>
            <w:ind w:left="360" w:firstLine="349"/>
            <w:jc w:val="both"/>
            <w:rPr>
              <w:szCs w:val="24"/>
            </w:rPr>
          </w:pPr>
          <w:r>
            <w:rPr>
              <w:szCs w:val="24"/>
            </w:rPr>
            <w:t>2 = vidutinė galimybė užsnūsti</w:t>
          </w:r>
        </w:p>
        <w:p>
          <w:pPr>
            <w:tabs>
              <w:tab w:val="left" w:pos="426"/>
              <w:tab w:val="left" w:pos="709"/>
            </w:tabs>
            <w:spacing w:line="276" w:lineRule="auto"/>
            <w:ind w:left="360" w:firstLine="349"/>
            <w:jc w:val="both"/>
            <w:rPr>
              <w:szCs w:val="24"/>
            </w:rPr>
          </w:pPr>
          <w:r>
            <w:rPr>
              <w:szCs w:val="24"/>
            </w:rPr>
            <w:t>3 = didelė galimybė užsnūsti</w:t>
          </w:r>
        </w:p>
        <w:p>
          <w:pPr>
            <w:rPr>
              <w:sz w:val="10"/>
              <w:szCs w:val="10"/>
            </w:rPr>
          </w:pPr>
        </w:p>
        <w:p>
          <w:pPr>
            <w:tabs>
              <w:tab w:val="left" w:pos="426"/>
              <w:tab w:val="left" w:pos="1843"/>
              <w:tab w:val="left" w:pos="6804"/>
            </w:tabs>
            <w:spacing w:line="276" w:lineRule="auto"/>
            <w:ind w:left="360" w:firstLine="349"/>
            <w:jc w:val="both"/>
            <w:rPr>
              <w:szCs w:val="24"/>
            </w:rPr>
          </w:pPr>
          <w:r>
            <w:rPr>
              <w:szCs w:val="24"/>
            </w:rPr>
            <w:t>Svarbu įvertinti situaciją kuo tiksliau.</w:t>
          </w:r>
        </w:p>
        <w:tbl>
          <w:tblPr>
            <w:tblW w:w="8080" w:type="dxa"/>
            <w:tblInd w:w="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28" w:type="dxa"/>
              <w:left w:w="57" w:type="dxa"/>
              <w:bottom w:w="28" w:type="dxa"/>
              <w:right w:w="57" w:type="dxa"/>
            </w:tblCellMar>
            <w:tblLook w:val="0000" w:firstRow="0" w:lastRow="0" w:firstColumn="0" w:lastColumn="0" w:noHBand="0" w:noVBand="0"/>
          </w:tblPr>
          <w:tblGrid>
            <w:gridCol w:w="6946"/>
            <w:gridCol w:w="1134"/>
          </w:tblGrid>
          <w:tr>
            <w:tc>
              <w:tcPr>
                <w:tcW w:w="6946" w:type="dxa"/>
              </w:tcPr>
              <w:p>
                <w:pPr>
                  <w:tabs>
                    <w:tab w:val="left" w:pos="426"/>
                    <w:tab w:val="left" w:pos="1843"/>
                    <w:tab w:val="left" w:pos="6804"/>
                  </w:tabs>
                  <w:spacing w:line="276" w:lineRule="auto"/>
                  <w:jc w:val="center"/>
                  <w:rPr>
                    <w:b/>
                    <w:spacing w:val="2"/>
                    <w:position w:val="2"/>
                    <w:szCs w:val="24"/>
                  </w:rPr>
                </w:pPr>
                <w:r>
                  <w:rPr>
                    <w:b/>
                    <w:spacing w:val="2"/>
                    <w:position w:val="2"/>
                    <w:szCs w:val="24"/>
                  </w:rPr>
                  <w:t>Situacija</w:t>
                </w:r>
              </w:p>
            </w:tc>
            <w:tc>
              <w:tcPr>
                <w:tcW w:w="1134" w:type="dxa"/>
              </w:tcPr>
              <w:p>
                <w:pPr>
                  <w:tabs>
                    <w:tab w:val="left" w:pos="426"/>
                    <w:tab w:val="left" w:pos="1843"/>
                    <w:tab w:val="left" w:pos="6804"/>
                  </w:tabs>
                  <w:spacing w:line="276" w:lineRule="auto"/>
                  <w:jc w:val="center"/>
                  <w:rPr>
                    <w:b/>
                    <w:spacing w:val="2"/>
                    <w:position w:val="2"/>
                    <w:szCs w:val="24"/>
                  </w:rPr>
                </w:pPr>
                <w:r>
                  <w:rPr>
                    <w:b/>
                    <w:spacing w:val="2"/>
                    <w:position w:val="2"/>
                    <w:szCs w:val="24"/>
                  </w:rPr>
                  <w:t>Balai</w:t>
                </w:r>
              </w:p>
            </w:tc>
          </w:tr>
          <w:tr>
            <w:tc>
              <w:tcPr>
                <w:tcW w:w="6946" w:type="dxa"/>
              </w:tcPr>
              <w:p>
                <w:pPr>
                  <w:tabs>
                    <w:tab w:val="left" w:pos="426"/>
                    <w:tab w:val="left" w:pos="1843"/>
                    <w:tab w:val="left" w:pos="6804"/>
                  </w:tabs>
                  <w:spacing w:line="276" w:lineRule="auto"/>
                  <w:rPr>
                    <w:spacing w:val="2"/>
                    <w:position w:val="2"/>
                    <w:szCs w:val="24"/>
                  </w:rPr>
                </w:pPr>
                <w:r>
                  <w:rPr>
                    <w:spacing w:val="2"/>
                    <w:position w:val="2"/>
                    <w:szCs w:val="24"/>
                  </w:rPr>
                  <w:t>Sėdint ir skaitant</w:t>
                </w:r>
              </w:p>
            </w:tc>
            <w:tc>
              <w:tcPr>
                <w:tcW w:w="1134" w:type="dxa"/>
              </w:tcPr>
              <w:p>
                <w:pPr>
                  <w:tabs>
                    <w:tab w:val="left" w:pos="426"/>
                    <w:tab w:val="left" w:pos="1843"/>
                    <w:tab w:val="left" w:pos="6804"/>
                  </w:tabs>
                  <w:spacing w:line="276" w:lineRule="auto"/>
                  <w:jc w:val="both"/>
                  <w:rPr>
                    <w:spacing w:val="2"/>
                    <w:position w:val="2"/>
                    <w:szCs w:val="24"/>
                  </w:rPr>
                </w:pPr>
              </w:p>
            </w:tc>
          </w:tr>
          <w:tr>
            <w:tc>
              <w:tcPr>
                <w:tcW w:w="6946" w:type="dxa"/>
              </w:tcPr>
              <w:p>
                <w:pPr>
                  <w:tabs>
                    <w:tab w:val="left" w:pos="426"/>
                    <w:tab w:val="left" w:pos="1843"/>
                    <w:tab w:val="left" w:pos="6804"/>
                  </w:tabs>
                  <w:spacing w:line="276" w:lineRule="auto"/>
                  <w:rPr>
                    <w:spacing w:val="2"/>
                    <w:position w:val="2"/>
                    <w:szCs w:val="24"/>
                  </w:rPr>
                </w:pPr>
                <w:r>
                  <w:rPr>
                    <w:spacing w:val="2"/>
                    <w:position w:val="2"/>
                    <w:szCs w:val="24"/>
                  </w:rPr>
                  <w:t>Žiūrint televizorių</w:t>
                </w:r>
              </w:p>
            </w:tc>
            <w:tc>
              <w:tcPr>
                <w:tcW w:w="1134" w:type="dxa"/>
              </w:tcPr>
              <w:p>
                <w:pPr>
                  <w:tabs>
                    <w:tab w:val="left" w:pos="426"/>
                    <w:tab w:val="left" w:pos="1843"/>
                    <w:tab w:val="left" w:pos="6804"/>
                  </w:tabs>
                  <w:spacing w:line="276" w:lineRule="auto"/>
                  <w:jc w:val="both"/>
                  <w:rPr>
                    <w:spacing w:val="2"/>
                    <w:position w:val="2"/>
                    <w:szCs w:val="24"/>
                  </w:rPr>
                </w:pPr>
              </w:p>
            </w:tc>
          </w:tr>
          <w:tr>
            <w:tc>
              <w:tcPr>
                <w:tcW w:w="6946" w:type="dxa"/>
              </w:tcPr>
              <w:p>
                <w:pPr>
                  <w:tabs>
                    <w:tab w:val="left" w:pos="426"/>
                    <w:tab w:val="left" w:pos="1843"/>
                    <w:tab w:val="left" w:pos="6804"/>
                  </w:tabs>
                  <w:spacing w:line="276" w:lineRule="auto"/>
                  <w:rPr>
                    <w:spacing w:val="2"/>
                    <w:position w:val="2"/>
                    <w:szCs w:val="24"/>
                  </w:rPr>
                </w:pPr>
                <w:r>
                  <w:rPr>
                    <w:spacing w:val="2"/>
                    <w:position w:val="2"/>
                    <w:szCs w:val="24"/>
                  </w:rPr>
                  <w:t>Ramiai sėdint viešoje vietoje (pvz., teatre ar susirinkime)</w:t>
                </w:r>
              </w:p>
            </w:tc>
            <w:tc>
              <w:tcPr>
                <w:tcW w:w="1134" w:type="dxa"/>
              </w:tcPr>
              <w:p>
                <w:pPr>
                  <w:tabs>
                    <w:tab w:val="left" w:pos="426"/>
                    <w:tab w:val="left" w:pos="1843"/>
                    <w:tab w:val="left" w:pos="6804"/>
                  </w:tabs>
                  <w:spacing w:line="276" w:lineRule="auto"/>
                  <w:jc w:val="both"/>
                  <w:rPr>
                    <w:spacing w:val="2"/>
                    <w:position w:val="2"/>
                    <w:szCs w:val="24"/>
                  </w:rPr>
                </w:pPr>
              </w:p>
            </w:tc>
          </w:tr>
          <w:tr>
            <w:tc>
              <w:tcPr>
                <w:tcW w:w="6946" w:type="dxa"/>
              </w:tcPr>
              <w:p>
                <w:pPr>
                  <w:tabs>
                    <w:tab w:val="left" w:pos="426"/>
                    <w:tab w:val="left" w:pos="1843"/>
                    <w:tab w:val="left" w:pos="6804"/>
                  </w:tabs>
                  <w:spacing w:line="276" w:lineRule="auto"/>
                  <w:rPr>
                    <w:spacing w:val="2"/>
                    <w:position w:val="2"/>
                    <w:szCs w:val="24"/>
                  </w:rPr>
                </w:pPr>
                <w:r>
                  <w:rPr>
                    <w:spacing w:val="2"/>
                    <w:position w:val="2"/>
                    <w:szCs w:val="24"/>
                  </w:rPr>
                  <w:t>Valandą laiko be pertraukos keliaujant automobiliu keleivio vietoje</w:t>
                </w:r>
              </w:p>
            </w:tc>
            <w:tc>
              <w:tcPr>
                <w:tcW w:w="1134" w:type="dxa"/>
              </w:tcPr>
              <w:p>
                <w:pPr>
                  <w:tabs>
                    <w:tab w:val="left" w:pos="426"/>
                    <w:tab w:val="left" w:pos="1843"/>
                    <w:tab w:val="left" w:pos="6804"/>
                  </w:tabs>
                  <w:spacing w:line="276" w:lineRule="auto"/>
                  <w:jc w:val="both"/>
                  <w:rPr>
                    <w:spacing w:val="2"/>
                    <w:position w:val="2"/>
                    <w:szCs w:val="24"/>
                  </w:rPr>
                </w:pPr>
              </w:p>
            </w:tc>
          </w:tr>
          <w:tr>
            <w:tc>
              <w:tcPr>
                <w:tcW w:w="6946" w:type="dxa"/>
              </w:tcPr>
              <w:p>
                <w:pPr>
                  <w:tabs>
                    <w:tab w:val="left" w:pos="426"/>
                    <w:tab w:val="left" w:pos="1843"/>
                    <w:tab w:val="left" w:pos="6804"/>
                  </w:tabs>
                  <w:spacing w:line="276" w:lineRule="auto"/>
                  <w:rPr>
                    <w:spacing w:val="2"/>
                    <w:position w:val="2"/>
                    <w:szCs w:val="24"/>
                  </w:rPr>
                </w:pPr>
                <w:r>
                  <w:rPr>
                    <w:spacing w:val="2"/>
                    <w:position w:val="2"/>
                    <w:szCs w:val="24"/>
                  </w:rPr>
                  <w:t>Atsigulus pailsėti pietų metu, kai leidžia aplinkybės</w:t>
                </w:r>
              </w:p>
            </w:tc>
            <w:tc>
              <w:tcPr>
                <w:tcW w:w="1134" w:type="dxa"/>
              </w:tcPr>
              <w:p>
                <w:pPr>
                  <w:tabs>
                    <w:tab w:val="left" w:pos="426"/>
                    <w:tab w:val="left" w:pos="1843"/>
                    <w:tab w:val="left" w:pos="6804"/>
                  </w:tabs>
                  <w:spacing w:line="276" w:lineRule="auto"/>
                  <w:jc w:val="both"/>
                  <w:rPr>
                    <w:spacing w:val="2"/>
                    <w:position w:val="2"/>
                    <w:szCs w:val="24"/>
                  </w:rPr>
                </w:pPr>
              </w:p>
            </w:tc>
          </w:tr>
          <w:tr>
            <w:tc>
              <w:tcPr>
                <w:tcW w:w="6946" w:type="dxa"/>
              </w:tcPr>
              <w:p>
                <w:pPr>
                  <w:tabs>
                    <w:tab w:val="left" w:pos="426"/>
                    <w:tab w:val="left" w:pos="1843"/>
                    <w:tab w:val="left" w:pos="6804"/>
                  </w:tabs>
                  <w:spacing w:line="276" w:lineRule="auto"/>
                  <w:rPr>
                    <w:spacing w:val="2"/>
                    <w:position w:val="2"/>
                    <w:szCs w:val="24"/>
                  </w:rPr>
                </w:pPr>
                <w:r>
                  <w:rPr>
                    <w:spacing w:val="2"/>
                    <w:position w:val="2"/>
                    <w:szCs w:val="24"/>
                  </w:rPr>
                  <w:t xml:space="preserve">Sėdint ir su kuo nors kalbantis </w:t>
                </w:r>
              </w:p>
            </w:tc>
            <w:tc>
              <w:tcPr>
                <w:tcW w:w="1134" w:type="dxa"/>
              </w:tcPr>
              <w:p>
                <w:pPr>
                  <w:tabs>
                    <w:tab w:val="left" w:pos="426"/>
                    <w:tab w:val="left" w:pos="1843"/>
                    <w:tab w:val="left" w:pos="6804"/>
                  </w:tabs>
                  <w:spacing w:line="276" w:lineRule="auto"/>
                  <w:jc w:val="both"/>
                  <w:rPr>
                    <w:spacing w:val="2"/>
                    <w:position w:val="2"/>
                    <w:szCs w:val="24"/>
                  </w:rPr>
                </w:pPr>
              </w:p>
            </w:tc>
          </w:tr>
          <w:tr>
            <w:tc>
              <w:tcPr>
                <w:tcW w:w="6946" w:type="dxa"/>
              </w:tcPr>
              <w:p>
                <w:pPr>
                  <w:tabs>
                    <w:tab w:val="left" w:pos="426"/>
                    <w:tab w:val="left" w:pos="1843"/>
                    <w:tab w:val="left" w:pos="6804"/>
                  </w:tabs>
                  <w:spacing w:line="276" w:lineRule="auto"/>
                  <w:rPr>
                    <w:spacing w:val="2"/>
                    <w:position w:val="2"/>
                    <w:szCs w:val="24"/>
                  </w:rPr>
                </w:pPr>
                <w:r>
                  <w:rPr>
                    <w:spacing w:val="2"/>
                    <w:position w:val="2"/>
                    <w:szCs w:val="24"/>
                  </w:rPr>
                  <w:t>Ramiai sėdint, papietavus, negėrus alkoholinių gėrimų</w:t>
                </w:r>
              </w:p>
            </w:tc>
            <w:tc>
              <w:tcPr>
                <w:tcW w:w="1134" w:type="dxa"/>
              </w:tcPr>
              <w:p>
                <w:pPr>
                  <w:tabs>
                    <w:tab w:val="left" w:pos="426"/>
                    <w:tab w:val="left" w:pos="1843"/>
                    <w:tab w:val="left" w:pos="6804"/>
                  </w:tabs>
                  <w:spacing w:line="276" w:lineRule="auto"/>
                  <w:jc w:val="both"/>
                  <w:rPr>
                    <w:spacing w:val="2"/>
                    <w:position w:val="2"/>
                    <w:szCs w:val="24"/>
                  </w:rPr>
                </w:pPr>
              </w:p>
            </w:tc>
          </w:tr>
          <w:tr>
            <w:tc>
              <w:tcPr>
                <w:tcW w:w="6946" w:type="dxa"/>
              </w:tcPr>
              <w:p>
                <w:pPr>
                  <w:tabs>
                    <w:tab w:val="left" w:pos="426"/>
                    <w:tab w:val="left" w:pos="1843"/>
                  </w:tabs>
                  <w:spacing w:line="276" w:lineRule="auto"/>
                  <w:rPr>
                    <w:spacing w:val="2"/>
                    <w:position w:val="2"/>
                    <w:szCs w:val="24"/>
                  </w:rPr>
                </w:pPr>
                <w:r>
                  <w:rPr>
                    <w:spacing w:val="2"/>
                    <w:position w:val="2"/>
                    <w:szCs w:val="24"/>
                  </w:rPr>
                  <w:t>Vairuojant automobilį, stabtelėjus kelioms minutėms spūsties metu</w:t>
                </w:r>
              </w:p>
            </w:tc>
            <w:tc>
              <w:tcPr>
                <w:tcW w:w="1134" w:type="dxa"/>
              </w:tcPr>
              <w:p>
                <w:pPr>
                  <w:tabs>
                    <w:tab w:val="left" w:pos="426"/>
                    <w:tab w:val="left" w:pos="1843"/>
                    <w:tab w:val="left" w:pos="6804"/>
                  </w:tabs>
                  <w:spacing w:line="276" w:lineRule="auto"/>
                  <w:jc w:val="both"/>
                  <w:rPr>
                    <w:spacing w:val="2"/>
                    <w:position w:val="2"/>
                    <w:szCs w:val="24"/>
                  </w:rPr>
                </w:pPr>
              </w:p>
            </w:tc>
          </w:tr>
        </w:tbl>
        <w:p>
          <w:pPr>
            <w:spacing w:line="276" w:lineRule="auto"/>
            <w:jc w:val="both"/>
            <w:rPr>
              <w:szCs w:val="24"/>
            </w:rPr>
          </w:pPr>
        </w:p>
        <w:p>
          <w:pPr>
            <w:rPr>
              <w:sz w:val="18"/>
              <w:szCs w:val="18"/>
            </w:rPr>
          </w:pPr>
        </w:p>
        <w:p>
          <w:pPr>
            <w:spacing w:line="276" w:lineRule="auto"/>
            <w:ind w:firstLine="709"/>
            <w:jc w:val="both"/>
            <w:rPr>
              <w:szCs w:val="24"/>
            </w:rPr>
          </w:pPr>
          <w:r>
            <w:rPr>
              <w:szCs w:val="24"/>
            </w:rPr>
            <w:t>Užtikrinu, kad mano pateikta informacija yra teisinga, ir suprantu, kad pablogėjus sveikatos būklei turiu nedelsdamas (-a) kreiptis į gydytoją.</w:t>
          </w:r>
        </w:p>
        <w:p>
          <w:pPr>
            <w:rPr>
              <w:sz w:val="18"/>
              <w:szCs w:val="18"/>
            </w:rPr>
          </w:pPr>
        </w:p>
        <w:p>
          <w:pPr>
            <w:tabs>
              <w:tab w:val="left" w:pos="6480"/>
            </w:tabs>
            <w:spacing w:line="276" w:lineRule="auto"/>
            <w:jc w:val="both"/>
            <w:rPr>
              <w:szCs w:val="24"/>
            </w:rPr>
          </w:pPr>
          <w:r>
            <w:rPr>
              <w:szCs w:val="24"/>
            </w:rPr>
            <w:t>_________________</w:t>
            <w:tab/>
            <w:t>_____________________</w:t>
          </w:r>
        </w:p>
        <w:p>
          <w:pPr>
            <w:rPr>
              <w:sz w:val="18"/>
              <w:szCs w:val="18"/>
            </w:rPr>
          </w:pPr>
        </w:p>
        <w:p>
          <w:pPr>
            <w:tabs>
              <w:tab w:val="left" w:pos="1122"/>
              <w:tab w:val="left" w:pos="6900"/>
            </w:tabs>
            <w:spacing w:line="276" w:lineRule="auto"/>
            <w:ind w:firstLine="1122"/>
            <w:jc w:val="both"/>
            <w:rPr>
              <w:szCs w:val="24"/>
            </w:rPr>
          </w:pPr>
          <w:r>
            <w:rPr>
              <w:szCs w:val="24"/>
            </w:rPr>
            <w:t>(parašas)</w:t>
            <w:tab/>
            <w:t>(vardas, pavardė)</w:t>
          </w:r>
        </w:p>
        <w:p>
          <w:pPr>
            <w:rPr>
              <w:sz w:val="18"/>
              <w:szCs w:val="18"/>
            </w:rPr>
          </w:pPr>
        </w:p>
        <w:p>
          <w:pPr>
            <w:spacing w:line="276" w:lineRule="auto"/>
            <w:jc w:val="both"/>
            <w:rPr>
              <w:szCs w:val="24"/>
            </w:rPr>
          </w:pPr>
          <w:r>
            <w:rPr>
              <w:b/>
              <w:bCs/>
              <w:szCs w:val="24"/>
            </w:rPr>
            <w:t xml:space="preserve">Pastaba. </w:t>
          </w:r>
          <w:r>
            <w:rPr>
              <w:szCs w:val="24"/>
            </w:rPr>
            <w:t>Klausimynas įdedamas į Asmens sveikatos istoriją „F 025/a</w:t>
          </w:r>
        </w:p>
        <w:p>
          <w:pPr>
            <w:rPr>
              <w:sz w:val="18"/>
              <w:szCs w:val="18"/>
            </w:rPr>
          </w:pPr>
        </w:p>
        <w:p/>
        <w:p>
          <w:pPr>
            <w:tabs>
              <w:tab w:val="left" w:pos="1134"/>
            </w:tabs>
            <w:spacing w:after="200"/>
            <w:ind w:left="851"/>
            <w:jc w:val="both"/>
            <w:rPr>
              <w:color w:val="000000"/>
            </w:rPr>
          </w:pP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a3f320b48611e598c4c7724bda031b">
            <w:r w:rsidRPr="00532B9F">
              <w:rPr>
                <w:rFonts w:ascii="Times New Roman" w:eastAsia="MS Mincho" w:hAnsi="Times New Roman"/>
                <w:sz w:val="20"/>
                <w:i/>
                <w:iCs/>
                <w:color w:val="0000FF" w:themeColor="hyperlink"/>
                <w:u w:val="single"/>
              </w:rPr>
              <w:t>V-1604</w:t>
            </w:r>
          </w:fldSimple>
          <w:r>
            <w:rPr>
              <w:rFonts w:ascii="Times New Roman" w:eastAsia="MS Mincho" w:hAnsi="Times New Roman"/>
              <w:sz w:val="20"/>
              <w:i/>
              <w:iCs/>
            </w:rPr>
            <w:t>,
2015-12-31,
paskelbta TAR 2016-01-07, i. k. 2016-00381        </w:t>
          </w:r>
        </w:p>
        <w:p/>
      </w:sdtContent>
    </w:sdt>
    <w:sdt>
      <w:sdtPr>
        <w:alias w:val="8 pr."/>
        <w:tag w:val="part_55fd7fe9e33046209ea3009aeaa8b7b7"/>
        <w:lock w:val="sdtLocked"/>
        <w:richText/>
      </w:sdtPr>
      <w:sdtContent>
        <w:p>
          <w:pPr>
            <w:tabs>
              <w:tab w:val="left" w:pos="1304"/>
              <w:tab w:val="left" w:pos="1457"/>
              <w:tab w:val="left" w:pos="1604"/>
              <w:tab w:val="left" w:pos="1757"/>
            </w:tabs>
            <w:ind w:left="5102"/>
            <w:sectPr>
              <w:pgSz w:w="11906" w:h="16838"/>
              <w:pgMar w:top="1134" w:right="1134" w:bottom="1134" w:left="1701" w:header="567" w:footer="567" w:gutter="0"/>
              <w:pgNumType w:start="1"/>
              <w:cols w:space="1296"/>
              <w:noEndnote/>
              <w:titlePg/>
              <w:docGrid w:linePitch="326"/>
            </w:sectPr>
          </w:pPr>
        </w:p>
        <w:p>
          <w:pPr>
            <w:tabs>
              <w:tab w:val="left" w:pos="1304"/>
              <w:tab w:val="left" w:pos="1457"/>
              <w:tab w:val="left" w:pos="1604"/>
              <w:tab w:val="left" w:pos="1757"/>
            </w:tabs>
            <w:ind w:left="5102"/>
            <w:rPr>
              <w:color w:val="000000"/>
            </w:rPr>
          </w:pPr>
          <w:r>
            <w:rPr>
              <w:color w:val="000000"/>
            </w:rPr>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widowControl w:val="0"/>
            <w:ind w:left="5462"/>
            <w:rPr>
              <w:color w:val="000000"/>
            </w:rPr>
          </w:pPr>
        </w:p>
        <w:p>
          <w:pPr>
            <w:tabs>
              <w:tab w:val="left" w:pos="1304"/>
              <w:tab w:val="left" w:pos="1457"/>
              <w:tab w:val="left" w:pos="1604"/>
              <w:tab w:val="left" w:pos="1757"/>
            </w:tabs>
            <w:ind w:left="5102"/>
            <w:rPr>
              <w:color w:val="000000"/>
            </w:rPr>
          </w:pPr>
          <w:sdt>
            <w:sdtPr>
              <w:alias w:val="Numeris"/>
              <w:tag w:val="nr_55fd7fe9e33046209ea3009aeaa8b7b7"/>
              <w:lock w:val="sdtLocked"/>
              <w:richText/>
            </w:sdtPr>
            <w:sdtContent>
              <w:r>
                <w:rPr>
                  <w:color w:val="000000"/>
                </w:rPr>
                <w:t>8</w:t>
              </w:r>
            </w:sdtContent>
          </w:sdt>
          <w:r>
            <w:rPr>
              <w:color w:val="000000"/>
            </w:rPr>
            <w:t xml:space="preserve"> priedas</w:t>
          </w:r>
        </w:p>
        <w:p>
          <w:pPr>
            <w:widowControl w:val="0"/>
            <w:ind w:left="5462"/>
            <w:rPr>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50"/>
            <w:gridCol w:w="2763"/>
            <w:gridCol w:w="4824"/>
          </w:tblGrid>
          <w:tr>
            <w:tc>
              <w:tcPr>
                <w:tcW w:w="4813" w:type="dxa"/>
                <w:gridSpan w:val="2"/>
                <w:shd w:val="clear" w:color="auto" w:fill="auto"/>
              </w:tcPr>
              <w:p>
                <w:pPr>
                  <w:widowControl w:val="0"/>
                  <w:ind w:left="360"/>
                  <w:jc w:val="center"/>
                  <w:rPr>
                    <w:sz w:val="14"/>
                  </w:rPr>
                </w:pPr>
                <w:r>
                  <w:rPr>
                    <w:sz w:val="14"/>
                  </w:rPr>
                  <w:t>Sveikatos tikrintojas</w:t>
                </w:r>
              </w:p>
            </w:tc>
            <w:tc>
              <w:tcPr>
                <w:tcW w:w="4824" w:type="dxa"/>
                <w:vMerge w:val="restart"/>
                <w:shd w:val="clear" w:color="auto" w:fill="auto"/>
              </w:tcPr>
              <w:p>
                <w:pPr>
                  <w:widowControl w:val="0"/>
                  <w:ind w:left="360"/>
                  <w:jc w:val="center"/>
                  <w:rPr>
                    <w:sz w:val="14"/>
                  </w:rPr>
                </w:pPr>
                <w:r>
                  <w:rPr>
                    <w:sz w:val="14"/>
                  </w:rPr>
                  <w:t>Sveikatos tikrinimų tvarką reglamentuojantys teisės aktai</w:t>
                </w:r>
              </w:p>
            </w:tc>
          </w:tr>
          <w:tr>
            <w:trPr>
              <w:trHeight w:val="905"/>
            </w:trPr>
            <w:tc>
              <w:tcPr>
                <w:tcW w:w="2050" w:type="dxa"/>
                <w:tcBorders>
                  <w:bottom w:val="single" w:sz="4" w:space="0" w:color="auto"/>
                </w:tcBorders>
                <w:shd w:val="clear" w:color="auto" w:fill="auto"/>
              </w:tcPr>
              <w:p>
                <w:pPr>
                  <w:widowControl w:val="0"/>
                  <w:ind w:left="360"/>
                  <w:jc w:val="center"/>
                  <w:rPr>
                    <w:sz w:val="14"/>
                  </w:rPr>
                </w:pPr>
                <w:r>
                  <w:rPr>
                    <w:sz w:val="14"/>
                  </w:rPr>
                  <w:t>Pirminio lygio asmens sveikatos priežiūros paslaugas teikiantys gydytojai</w:t>
                </w:r>
              </w:p>
            </w:tc>
            <w:tc>
              <w:tcPr>
                <w:tcW w:w="2763" w:type="dxa"/>
                <w:tcBorders>
                  <w:bottom w:val="single" w:sz="4" w:space="0" w:color="auto"/>
                </w:tcBorders>
                <w:shd w:val="clear" w:color="auto" w:fill="auto"/>
              </w:tcPr>
              <w:p>
                <w:pPr>
                  <w:widowControl w:val="0"/>
                  <w:ind w:left="360"/>
                  <w:jc w:val="center"/>
                  <w:rPr>
                    <w:sz w:val="14"/>
                  </w:rPr>
                </w:pPr>
                <w:r>
                  <w:rPr>
                    <w:sz w:val="14"/>
                  </w:rPr>
                  <w:t>Antrinio lygio asmens sveikatos priežiūros paslaugas teikiantys gydytojai</w:t>
                </w:r>
              </w:p>
            </w:tc>
            <w:tc>
              <w:tcPr>
                <w:tcW w:w="4824" w:type="dxa"/>
                <w:vMerge/>
                <w:tcBorders>
                  <w:bottom w:val="single" w:sz="4" w:space="0" w:color="auto"/>
                </w:tcBorders>
                <w:shd w:val="clear" w:color="auto" w:fill="auto"/>
              </w:tcPr>
              <w:p>
                <w:pPr>
                  <w:widowControl w:val="0"/>
                  <w:ind w:left="360"/>
                  <w:jc w:val="center"/>
                  <w:rPr>
                    <w:sz w:val="14"/>
                  </w:rPr>
                </w:pPr>
              </w:p>
            </w:tc>
          </w:tr>
          <w:tr>
            <w:tc>
              <w:tcPr>
                <w:tcW w:w="2050" w:type="dxa"/>
                <w:shd w:val="clear" w:color="auto" w:fill="auto"/>
              </w:tcPr>
              <w:p>
                <w:pPr>
                  <w:widowControl w:val="0"/>
                  <w:ind w:left="360"/>
                  <w:rPr>
                    <w:sz w:val="14"/>
                  </w:rPr>
                </w:pPr>
                <w:r>
                  <w:rPr>
                    <w:sz w:val="14"/>
                  </w:rPr>
                  <w:t>Bendrosios praktikos gydytojas,</w:t>
                </w:r>
              </w:p>
            </w:tc>
            <w:tc>
              <w:tcPr>
                <w:tcW w:w="2763" w:type="dxa"/>
                <w:shd w:val="clear" w:color="auto" w:fill="auto"/>
              </w:tcPr>
              <w:p>
                <w:pPr>
                  <w:widowControl w:val="0"/>
                  <w:ind w:left="360"/>
                  <w:rPr>
                    <w:sz w:val="14"/>
                  </w:rPr>
                </w:pPr>
                <w:r>
                  <w:rPr>
                    <w:sz w:val="14"/>
                  </w:rPr>
                  <w:t>Neurologas,</w:t>
                </w:r>
              </w:p>
            </w:tc>
            <w:tc>
              <w:tcPr>
                <w:tcW w:w="4824" w:type="dxa"/>
                <w:shd w:val="clear" w:color="auto" w:fill="auto"/>
              </w:tcPr>
              <w:p>
                <w:pPr>
                  <w:widowControl w:val="0"/>
                  <w:ind w:left="360"/>
                  <w:rPr>
                    <w:sz w:val="14"/>
                  </w:rPr>
                </w:pPr>
                <w:r>
                  <w:rPr>
                    <w:sz w:val="14"/>
                  </w:rPr>
                  <w:t>Sveikatos apsaugos ministerijos 1997 04 24 įsakymas Nr. 221 „Dėl ligų ir sveikatos</w:t>
                </w:r>
              </w:p>
            </w:tc>
          </w:tr>
          <w:tr>
            <w:tc>
              <w:tcPr>
                <w:tcW w:w="2050" w:type="dxa"/>
                <w:shd w:val="clear" w:color="auto" w:fill="auto"/>
              </w:tcPr>
              <w:p>
                <w:pPr>
                  <w:widowControl w:val="0"/>
                  <w:ind w:left="360"/>
                  <w:rPr>
                    <w:sz w:val="14"/>
                  </w:rPr>
                </w:pPr>
                <w:r>
                  <w:rPr>
                    <w:sz w:val="14"/>
                  </w:rPr>
                  <w:t>psichiatras</w:t>
                </w:r>
              </w:p>
            </w:tc>
            <w:tc>
              <w:tcPr>
                <w:tcW w:w="2763" w:type="dxa"/>
                <w:shd w:val="clear" w:color="auto" w:fill="auto"/>
              </w:tcPr>
              <w:p>
                <w:pPr>
                  <w:widowControl w:val="0"/>
                  <w:ind w:left="360"/>
                  <w:rPr>
                    <w:sz w:val="14"/>
                  </w:rPr>
                </w:pPr>
                <w:r>
                  <w:rPr>
                    <w:sz w:val="14"/>
                  </w:rPr>
                  <w:t>oftalmologas,</w:t>
                </w:r>
              </w:p>
            </w:tc>
            <w:tc>
              <w:tcPr>
                <w:tcW w:w="4824" w:type="dxa"/>
                <w:shd w:val="clear" w:color="auto" w:fill="auto"/>
              </w:tcPr>
              <w:p>
                <w:pPr>
                  <w:widowControl w:val="0"/>
                  <w:ind w:left="360"/>
                  <w:rPr>
                    <w:sz w:val="14"/>
                  </w:rPr>
                </w:pPr>
                <w:r>
                  <w:rPr>
                    <w:sz w:val="14"/>
                  </w:rPr>
                  <w:t>problemų, dėl kurių negalima tinkamai naudotis civiliniais ginklais, sąrašo ir asmenų,</w:t>
                </w:r>
              </w:p>
            </w:tc>
          </w:tr>
          <w:tr>
            <w:tc>
              <w:tcPr>
                <w:tcW w:w="2050" w:type="dxa"/>
                <w:shd w:val="clear" w:color="auto" w:fill="auto"/>
              </w:tcPr>
              <w:p>
                <w:pPr>
                  <w:widowControl w:val="0"/>
                  <w:ind w:left="360"/>
                  <w:rPr>
                    <w:sz w:val="14"/>
                  </w:rPr>
                </w:pPr>
              </w:p>
            </w:tc>
            <w:tc>
              <w:tcPr>
                <w:tcW w:w="2763" w:type="dxa"/>
                <w:shd w:val="clear" w:color="auto" w:fill="auto"/>
              </w:tcPr>
              <w:p>
                <w:pPr>
                  <w:widowControl w:val="0"/>
                  <w:ind w:left="360"/>
                  <w:rPr>
                    <w:sz w:val="14"/>
                  </w:rPr>
                </w:pPr>
                <w:r>
                  <w:rPr>
                    <w:sz w:val="14"/>
                  </w:rPr>
                  <w:t>otorinolaringologas</w:t>
                </w:r>
              </w:p>
            </w:tc>
            <w:tc>
              <w:tcPr>
                <w:tcW w:w="4824" w:type="dxa"/>
                <w:shd w:val="clear" w:color="auto" w:fill="auto"/>
              </w:tcPr>
              <w:p>
                <w:pPr>
                  <w:widowControl w:val="0"/>
                  <w:ind w:left="360"/>
                  <w:rPr>
                    <w:sz w:val="14"/>
                  </w:rPr>
                </w:pPr>
                <w:r>
                  <w:rPr>
                    <w:sz w:val="14"/>
                  </w:rPr>
                  <w:t xml:space="preserve">norinčių įsigyti civilinį ginklą, medicininio tikrinimo tvarkos patvirtinimo“ (Žin., 1997, Nr. </w:t>
                </w:r>
                <w:hyperlink r:id="rId41" w:tgtFrame="_blank" w:history="1">
                  <w:r>
                    <w:rPr>
                      <w:color w:val="0000FF" w:themeColor="hyperlink"/>
                      <w:sz w:val="14"/>
                      <w:u w:val="single"/>
                    </w:rPr>
                    <w:t>42-1039</w:t>
                  </w:r>
                </w:hyperlink>
                <w:r>
                  <w:rPr>
                    <w:sz w:val="14"/>
                  </w:rPr>
                  <w:t>)</w:t>
                </w:r>
              </w:p>
            </w:tc>
          </w:tr>
          <w:tr>
            <w:tc>
              <w:tcPr>
                <w:tcW w:w="2050" w:type="dxa"/>
                <w:shd w:val="clear" w:color="auto" w:fill="auto"/>
              </w:tcPr>
              <w:p>
                <w:pPr>
                  <w:widowControl w:val="0"/>
                  <w:ind w:left="360"/>
                  <w:rPr>
                    <w:sz w:val="14"/>
                  </w:rPr>
                </w:pPr>
                <w:r>
                  <w:rPr>
                    <w:sz w:val="14"/>
                  </w:rPr>
                  <w:t xml:space="preserve">Apylinkės terapeutas, </w:t>
                </w:r>
              </w:p>
            </w:tc>
            <w:tc>
              <w:tcPr>
                <w:tcW w:w="2763" w:type="dxa"/>
                <w:shd w:val="clear" w:color="auto" w:fill="auto"/>
              </w:tcPr>
              <w:p>
                <w:pPr>
                  <w:widowControl w:val="0"/>
                  <w:ind w:left="360"/>
                  <w:rPr>
                    <w:sz w:val="14"/>
                  </w:rPr>
                </w:pPr>
                <w:r>
                  <w:rPr>
                    <w:sz w:val="14"/>
                  </w:rPr>
                  <w:t>Neurologas,</w:t>
                </w:r>
              </w:p>
            </w:tc>
            <w:tc>
              <w:tcPr>
                <w:tcW w:w="4824" w:type="dxa"/>
                <w:shd w:val="clear" w:color="auto" w:fill="auto"/>
              </w:tcPr>
              <w:p>
                <w:pPr>
                  <w:widowControl w:val="0"/>
                  <w:ind w:left="360"/>
                  <w:rPr>
                    <w:sz w:val="14"/>
                  </w:rPr>
                </w:pPr>
              </w:p>
            </w:tc>
          </w:tr>
          <w:tr>
            <w:tc>
              <w:tcPr>
                <w:tcW w:w="2050" w:type="dxa"/>
                <w:shd w:val="clear" w:color="auto" w:fill="auto"/>
              </w:tcPr>
              <w:p>
                <w:pPr>
                  <w:widowControl w:val="0"/>
                  <w:ind w:left="360"/>
                  <w:rPr>
                    <w:sz w:val="14"/>
                  </w:rPr>
                </w:pPr>
                <w:r>
                  <w:rPr>
                    <w:sz w:val="14"/>
                  </w:rPr>
                  <w:t>psichiatras,</w:t>
                </w:r>
              </w:p>
            </w:tc>
            <w:tc>
              <w:tcPr>
                <w:tcW w:w="2763" w:type="dxa"/>
                <w:shd w:val="clear" w:color="auto" w:fill="auto"/>
              </w:tcPr>
              <w:p>
                <w:pPr>
                  <w:widowControl w:val="0"/>
                  <w:ind w:left="360"/>
                  <w:rPr>
                    <w:sz w:val="14"/>
                  </w:rPr>
                </w:pPr>
                <w:r>
                  <w:rPr>
                    <w:sz w:val="14"/>
                  </w:rPr>
                  <w:t>oftalmologas,</w:t>
                </w:r>
              </w:p>
            </w:tc>
            <w:tc>
              <w:tcPr>
                <w:tcW w:w="4824" w:type="dxa"/>
                <w:shd w:val="clear" w:color="auto" w:fill="auto"/>
              </w:tcPr>
              <w:p>
                <w:pPr>
                  <w:widowControl w:val="0"/>
                  <w:ind w:left="360"/>
                  <w:rPr>
                    <w:sz w:val="14"/>
                  </w:rPr>
                </w:pPr>
                <w:r>
                  <w:rPr>
                    <w:sz w:val="14"/>
                  </w:rPr>
                  <w:t>Sveikatos apsaugos ministerijos 1998 03 02 įsakymas Nr. 107 „Dėl asmenų, norinčių įsigyti</w:t>
                </w:r>
              </w:p>
            </w:tc>
          </w:tr>
          <w:tr>
            <w:tc>
              <w:tcPr>
                <w:tcW w:w="2050" w:type="dxa"/>
                <w:shd w:val="clear" w:color="auto" w:fill="auto"/>
              </w:tcPr>
              <w:p>
                <w:pPr>
                  <w:widowControl w:val="0"/>
                  <w:ind w:left="360"/>
                  <w:rPr>
                    <w:sz w:val="14"/>
                  </w:rPr>
                </w:pPr>
                <w:r>
                  <w:rPr>
                    <w:sz w:val="14"/>
                  </w:rPr>
                  <w:t>chirurgas</w:t>
                </w:r>
              </w:p>
            </w:tc>
            <w:tc>
              <w:tcPr>
                <w:tcW w:w="2763" w:type="dxa"/>
                <w:shd w:val="clear" w:color="auto" w:fill="auto"/>
              </w:tcPr>
              <w:p>
                <w:pPr>
                  <w:widowControl w:val="0"/>
                  <w:ind w:left="360"/>
                  <w:rPr>
                    <w:sz w:val="14"/>
                  </w:rPr>
                </w:pPr>
                <w:r>
                  <w:rPr>
                    <w:sz w:val="14"/>
                  </w:rPr>
                  <w:t>otorinolaringologas</w:t>
                </w:r>
              </w:p>
            </w:tc>
            <w:tc>
              <w:tcPr>
                <w:tcW w:w="4824" w:type="dxa"/>
                <w:shd w:val="clear" w:color="auto" w:fill="auto"/>
              </w:tcPr>
              <w:p>
                <w:pPr>
                  <w:widowControl w:val="0"/>
                  <w:ind w:left="360"/>
                  <w:rPr>
                    <w:sz w:val="14"/>
                  </w:rPr>
                </w:pPr>
                <w:r>
                  <w:rPr>
                    <w:sz w:val="14"/>
                  </w:rPr>
                  <w:t xml:space="preserve">civilinį ginklą, medicininio patikrinimo tvarkos (Žin., 1998, Nr. </w:t>
                </w:r>
                <w:hyperlink r:id="rId42" w:history="1">
                  <w:r>
                    <w:rPr>
                      <w:sz w:val="14"/>
                    </w:rPr>
                    <w:t>25-654</w:t>
                  </w:r>
                </w:hyperlink>
                <w:r>
                  <w:rPr>
                    <w:sz w:val="14"/>
                  </w:rPr>
                  <w:t>)</w:t>
                </w:r>
              </w:p>
            </w:tc>
          </w:tr>
          <w:tr>
            <w:tc>
              <w:tcPr>
                <w:tcW w:w="2050" w:type="dxa"/>
                <w:shd w:val="clear" w:color="auto" w:fill="auto"/>
              </w:tcPr>
              <w:p>
                <w:pPr>
                  <w:widowControl w:val="0"/>
                  <w:ind w:left="360"/>
                  <w:rPr>
                    <w:sz w:val="14"/>
                  </w:rPr>
                </w:pPr>
              </w:p>
            </w:tc>
            <w:tc>
              <w:tcPr>
                <w:tcW w:w="2763" w:type="dxa"/>
                <w:shd w:val="clear" w:color="auto" w:fill="auto"/>
              </w:tcPr>
              <w:p>
                <w:pPr>
                  <w:widowControl w:val="0"/>
                  <w:ind w:left="360"/>
                  <w:rPr>
                    <w:sz w:val="14"/>
                  </w:rPr>
                </w:pPr>
              </w:p>
            </w:tc>
            <w:tc>
              <w:tcPr>
                <w:tcW w:w="4824" w:type="dxa"/>
                <w:shd w:val="clear" w:color="auto" w:fill="auto"/>
              </w:tcPr>
              <w:p>
                <w:pPr>
                  <w:widowControl w:val="0"/>
                  <w:ind w:left="360"/>
                  <w:rPr>
                    <w:sz w:val="14"/>
                  </w:rPr>
                </w:pPr>
                <w:r>
                  <w:rPr>
                    <w:sz w:val="14"/>
                  </w:rPr>
                  <w:t xml:space="preserve">Lietuvos Respublikos ginklų ir šaudmenų kontrolės įstatymas (Žin., 1996, Nr. </w:t>
                </w:r>
                <w:hyperlink r:id="rId43" w:tgtFrame="_blank" w:history="1">
                  <w:r>
                    <w:rPr>
                      <w:color w:val="0000FF" w:themeColor="hyperlink"/>
                      <w:sz w:val="14"/>
                      <w:u w:val="single"/>
                    </w:rPr>
                    <w:t>69-1665</w:t>
                  </w:r>
                </w:hyperlink>
                <w:r>
                  <w:rPr>
                    <w:sz w:val="14"/>
                  </w:rPr>
                  <w:t>)</w:t>
                </w:r>
              </w:p>
            </w:tc>
          </w:tr>
          <w:tr>
            <w:tc>
              <w:tcPr>
                <w:tcW w:w="2050" w:type="dxa"/>
                <w:shd w:val="clear" w:color="auto" w:fill="auto"/>
              </w:tcPr>
              <w:p>
                <w:pPr>
                  <w:widowControl w:val="0"/>
                  <w:ind w:left="360"/>
                  <w:rPr>
                    <w:sz w:val="14"/>
                  </w:rPr>
                </w:pPr>
              </w:p>
            </w:tc>
            <w:tc>
              <w:tcPr>
                <w:tcW w:w="2763" w:type="dxa"/>
                <w:shd w:val="clear" w:color="auto" w:fill="auto"/>
              </w:tcPr>
              <w:p>
                <w:pPr>
                  <w:widowControl w:val="0"/>
                  <w:ind w:left="360"/>
                  <w:rPr>
                    <w:sz w:val="14"/>
                  </w:rPr>
                </w:pPr>
              </w:p>
            </w:tc>
            <w:tc>
              <w:tcPr>
                <w:tcW w:w="4824" w:type="dxa"/>
                <w:shd w:val="clear" w:color="auto" w:fill="auto"/>
              </w:tcPr>
              <w:p>
                <w:pPr>
                  <w:widowControl w:val="0"/>
                  <w:ind w:left="360"/>
                  <w:rPr>
                    <w:sz w:val="14"/>
                  </w:rPr>
                </w:pPr>
                <w:r>
                  <w:rPr>
                    <w:sz w:val="14"/>
                  </w:rPr>
                  <w:t>Sveikatos apsaugos ministerijos 1998 12 17 įsakymas Nr. 751 „Dėl asmenų, norinčių įsigyti</w:t>
                </w:r>
              </w:p>
            </w:tc>
          </w:tr>
          <w:tr>
            <w:tc>
              <w:tcPr>
                <w:tcW w:w="2050" w:type="dxa"/>
                <w:shd w:val="clear" w:color="auto" w:fill="auto"/>
              </w:tcPr>
              <w:p>
                <w:pPr>
                  <w:widowControl w:val="0"/>
                  <w:ind w:left="360"/>
                  <w:rPr>
                    <w:sz w:val="14"/>
                  </w:rPr>
                </w:pPr>
              </w:p>
            </w:tc>
            <w:tc>
              <w:tcPr>
                <w:tcW w:w="2763" w:type="dxa"/>
                <w:shd w:val="clear" w:color="auto" w:fill="auto"/>
              </w:tcPr>
              <w:p>
                <w:pPr>
                  <w:widowControl w:val="0"/>
                  <w:ind w:left="360"/>
                  <w:rPr>
                    <w:sz w:val="14"/>
                  </w:rPr>
                </w:pPr>
              </w:p>
            </w:tc>
            <w:tc>
              <w:tcPr>
                <w:tcW w:w="4824" w:type="dxa"/>
                <w:shd w:val="clear" w:color="auto" w:fill="auto"/>
              </w:tcPr>
              <w:p>
                <w:pPr>
                  <w:widowControl w:val="0"/>
                  <w:ind w:left="360"/>
                  <w:rPr>
                    <w:sz w:val="14"/>
                  </w:rPr>
                </w:pPr>
                <w:r>
                  <w:rPr>
                    <w:sz w:val="14"/>
                  </w:rPr>
                  <w:t>civilinį ginklą, schematizuotos apžiūros ir psichikos būklės įvertinimo metodikos</w:t>
                </w:r>
              </w:p>
            </w:tc>
          </w:tr>
          <w:tr>
            <w:tc>
              <w:tcPr>
                <w:tcW w:w="2050" w:type="dxa"/>
                <w:shd w:val="clear" w:color="auto" w:fill="auto"/>
              </w:tcPr>
              <w:p>
                <w:pPr>
                  <w:widowControl w:val="0"/>
                  <w:ind w:left="360"/>
                  <w:rPr>
                    <w:sz w:val="14"/>
                  </w:rPr>
                </w:pPr>
              </w:p>
            </w:tc>
            <w:tc>
              <w:tcPr>
                <w:tcW w:w="2763" w:type="dxa"/>
                <w:shd w:val="clear" w:color="auto" w:fill="auto"/>
              </w:tcPr>
              <w:p>
                <w:pPr>
                  <w:widowControl w:val="0"/>
                  <w:ind w:left="360"/>
                  <w:rPr>
                    <w:sz w:val="14"/>
                  </w:rPr>
                </w:pPr>
              </w:p>
            </w:tc>
            <w:tc>
              <w:tcPr>
                <w:tcW w:w="4824" w:type="dxa"/>
                <w:shd w:val="clear" w:color="auto" w:fill="auto"/>
              </w:tcPr>
              <w:p>
                <w:pPr>
                  <w:widowControl w:val="0"/>
                  <w:ind w:left="360"/>
                  <w:rPr>
                    <w:sz w:val="14"/>
                  </w:rPr>
                </w:pPr>
                <w:r>
                  <w:rPr>
                    <w:sz w:val="14"/>
                  </w:rPr>
                  <w:t xml:space="preserve">patvirtinimo“ (Žin., 1998, Nr. </w:t>
                </w:r>
                <w:hyperlink r:id="rId44" w:history="1">
                  <w:r>
                    <w:rPr>
                      <w:sz w:val="14"/>
                    </w:rPr>
                    <w:t>112-3118</w:t>
                  </w:r>
                </w:hyperlink>
                <w:r>
                  <w:rPr>
                    <w:sz w:val="14"/>
                  </w:rPr>
                  <w:t>)</w:t>
                </w:r>
              </w:p>
            </w:tc>
          </w:tr>
        </w:tbl>
        <w:p>
          <w:pPr>
            <w:tabs>
              <w:tab w:val="left" w:pos="1304"/>
              <w:tab w:val="left" w:pos="1457"/>
              <w:tab w:val="left" w:pos="1604"/>
              <w:tab w:val="left" w:pos="1757"/>
            </w:tabs>
            <w:jc w:val="center"/>
            <w:rPr>
              <w:color w:val="000000"/>
            </w:rPr>
          </w:pPr>
          <w:r>
            <w:rPr>
              <w:color w:val="000000"/>
            </w:rPr>
            <w:t>______________</w:t>
          </w:r>
        </w:p>
      </w:sdtContent>
    </w:sdt>
    <w:sdt>
      <w:sdtPr>
        <w:alias w:val="9 pr."/>
        <w:tag w:val="part_d06b380f6ba04718b98617c9e8e69967"/>
        <w:lock w:val="sdtLocked"/>
        <w:richText/>
      </w:sdtPr>
      <w:sdtContent>
        <w:p>
          <w:pPr>
            <w:tabs>
              <w:tab w:val="left" w:pos="1304"/>
              <w:tab w:val="left" w:pos="1457"/>
              <w:tab w:val="left" w:pos="1604"/>
              <w:tab w:val="left" w:pos="1757"/>
            </w:tabs>
            <w:ind w:left="5102"/>
            <w:sectPr>
              <w:pgSz w:w="11906" w:h="16838"/>
              <w:pgMar w:top="1134" w:right="1134" w:bottom="1134" w:left="1701" w:header="567" w:footer="567" w:gutter="0"/>
              <w:cols w:space="1296"/>
              <w:noEndnote/>
              <w:titlePg/>
              <w:docGrid w:linePitch="326"/>
            </w:sectPr>
          </w:pPr>
        </w:p>
        <w:p>
          <w:pPr>
            <w:tabs>
              <w:tab w:val="left" w:pos="1304"/>
              <w:tab w:val="left" w:pos="1457"/>
              <w:tab w:val="left" w:pos="1604"/>
              <w:tab w:val="left" w:pos="1757"/>
            </w:tabs>
            <w:ind w:left="5102"/>
            <w:rPr>
              <w:color w:val="000000"/>
            </w:rPr>
          </w:pPr>
          <w:r>
            <w:rPr>
              <w:color w:val="000000"/>
            </w:rPr>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d06b380f6ba04718b98617c9e8e69967"/>
              <w:lock w:val="sdtLocked"/>
              <w:richText/>
            </w:sdtPr>
            <w:sdtContent>
              <w:r>
                <w:rPr>
                  <w:color w:val="000000"/>
                </w:rPr>
                <w:t>9</w:t>
              </w:r>
            </w:sdtContent>
          </w:sdt>
          <w:r>
            <w:rPr>
              <w:color w:val="000000"/>
            </w:rPr>
            <w:t xml:space="preserve"> priedas</w:t>
          </w:r>
        </w:p>
        <w:p>
          <w:pPr>
            <w:widowControl w:val="0"/>
            <w:ind w:left="1069"/>
            <w:jc w:val="both"/>
            <w:rPr>
              <w:color w:val="000000"/>
            </w:rPr>
          </w:pPr>
        </w:p>
        <w:p>
          <w:pPr>
            <w:jc w:val="center"/>
            <w:rPr>
              <w:b/>
              <w:caps/>
              <w:color w:val="000000"/>
            </w:rPr>
          </w:pPr>
          <w:sdt>
            <w:sdtPr>
              <w:alias w:val="Pavadinimas"/>
              <w:tag w:val="title_d06b380f6ba04718b98617c9e8e69967"/>
              <w:lock w:val="sdtLocked"/>
              <w:richText/>
            </w:sdtPr>
            <w:sdtContent>
              <w:r>
                <w:rPr>
                  <w:b/>
                  <w:caps/>
                  <w:color w:val="000000"/>
                </w:rPr>
                <w:t>VYKSTANČIŲJŲ Į UŽSIENĮ SVEIKATOS TIKRINIMO TVARKA</w:t>
              </w:r>
            </w:sdtContent>
          </w:sdt>
        </w:p>
        <w:p>
          <w:pPr>
            <w:widowControl w:val="0"/>
            <w:ind w:left="1069"/>
            <w:jc w:val="both"/>
            <w:rPr>
              <w:color w:val="000000"/>
            </w:rPr>
          </w:pPr>
        </w:p>
        <w:p>
          <w:pPr>
            <w:widowControl w:val="0"/>
            <w:ind w:firstLine="720"/>
            <w:jc w:val="both"/>
            <w:rPr>
              <w:color w:val="000000"/>
            </w:rPr>
          </w:pPr>
          <w:r>
            <w:rPr>
              <w:color w:val="000000"/>
            </w:rPr>
            <w:t>Tikrinimo tikslas – nustatyti ir įvertinti asmens, vykstančio į užsienį, sveikatos būklę.</w:t>
          </w:r>
        </w:p>
        <w:p>
          <w:pPr>
            <w:widowControl w:val="0"/>
            <w:ind w:firstLine="720"/>
            <w:jc w:val="both"/>
            <w:rPr>
              <w:color w:val="000000"/>
            </w:rPr>
          </w:pPr>
        </w:p>
        <w:sdt>
          <w:sdtPr>
            <w:alias w:val="skyrius"/>
            <w:tag w:val="part_1e0067e1fbe24e8491d576eadb5d0fdc"/>
            <w:lock w:val="sdtLocked"/>
            <w:richText/>
          </w:sdtPr>
          <w:sdtContent>
            <w:p>
              <w:pPr>
                <w:jc w:val="center"/>
                <w:rPr>
                  <w:b/>
                  <w:caps/>
                  <w:color w:val="000000"/>
                </w:rPr>
              </w:pPr>
              <w:sdt>
                <w:sdtPr>
                  <w:alias w:val="Numeris"/>
                  <w:tag w:val="nr_1e0067e1fbe24e8491d576eadb5d0fdc"/>
                  <w:lock w:val="sdtLocked"/>
                  <w:richText/>
                </w:sdtPr>
                <w:sdtContent>
                  <w:r>
                    <w:rPr>
                      <w:b/>
                      <w:caps/>
                      <w:color w:val="000000"/>
                    </w:rPr>
                    <w:t>I</w:t>
                  </w:r>
                </w:sdtContent>
              </w:sdt>
              <w:r>
                <w:rPr>
                  <w:b/>
                  <w:caps/>
                  <w:color w:val="000000"/>
                </w:rPr>
                <w:t xml:space="preserve">. </w:t>
              </w:r>
              <w:sdt>
                <w:sdtPr>
                  <w:alias w:val="Pavadinimas"/>
                  <w:tag w:val="title_1e0067e1fbe24e8491d576eadb5d0fdc"/>
                  <w:lock w:val="sdtLocked"/>
                  <w:richText/>
                </w:sdtPr>
                <w:sdtContent>
                  <w:r>
                    <w:rPr>
                      <w:b/>
                      <w:caps/>
                      <w:color w:val="000000"/>
                    </w:rPr>
                    <w:t>BENDROSIOS NUOSTATOS</w:t>
                  </w:r>
                </w:sdtContent>
              </w:sdt>
            </w:p>
            <w:p>
              <w:pPr>
                <w:widowControl w:val="0"/>
                <w:ind w:left="1069"/>
                <w:jc w:val="both"/>
                <w:rPr>
                  <w:color w:val="000000"/>
                </w:rPr>
              </w:pPr>
            </w:p>
            <w:sdt>
              <w:sdtPr>
                <w:alias w:val="9 pr. 1 p."/>
                <w:tag w:val="part_3105c62ba46e48ca882a40ab919bac7d"/>
                <w:lock w:val="sdtLocked"/>
                <w:richText/>
              </w:sdtPr>
              <w:sdtContent>
                <w:p>
                  <w:pPr>
                    <w:widowControl w:val="0"/>
                    <w:ind w:firstLine="720"/>
                    <w:jc w:val="both"/>
                    <w:rPr>
                      <w:color w:val="000000"/>
                    </w:rPr>
                  </w:pPr>
                  <w:sdt>
                    <w:sdtPr>
                      <w:alias w:val="Numeris"/>
                      <w:tag w:val="nr_3105c62ba46e48ca882a40ab919bac7d"/>
                      <w:lock w:val="sdtLocked"/>
                      <w:richText/>
                    </w:sdtPr>
                    <w:sdtContent>
                      <w:r>
                        <w:rPr>
                          <w:color w:val="000000"/>
                        </w:rPr>
                        <w:t>1</w:t>
                      </w:r>
                    </w:sdtContent>
                  </w:sdt>
                  <w:r>
                    <w:rPr>
                      <w:color w:val="000000"/>
                    </w:rPr>
                    <w:t>. Asmenys, vykstantys į užsienį dirbti ar mokytis, privalo tikrintis sveikatą atsižvelgdami į šalies, į kurią išvykstama, ar išvykos organizatorių keliamus reikalavimus. Vykstantieji gyventi ar turistiniais tikslais sveikatą tikrinasi, jeigu reikalauja šalis, į kurią vykstama, ar kelionės organizatoriai.</w:t>
                  </w:r>
                </w:p>
              </w:sdtContent>
            </w:sdt>
            <w:sdt>
              <w:sdtPr>
                <w:alias w:val="9 pr. 2 p."/>
                <w:tag w:val="part_fb032c2e61b643a7804a07274024791f"/>
                <w:lock w:val="sdtLocked"/>
                <w:richText/>
              </w:sdtPr>
              <w:sdtContent>
                <w:p>
                  <w:pPr>
                    <w:widowControl w:val="0"/>
                    <w:ind w:firstLine="720"/>
                    <w:jc w:val="both"/>
                    <w:rPr>
                      <w:color w:val="000000"/>
                    </w:rPr>
                  </w:pPr>
                  <w:sdt>
                    <w:sdtPr>
                      <w:alias w:val="Numeris"/>
                      <w:tag w:val="nr_fb032c2e61b643a7804a07274024791f"/>
                      <w:lock w:val="sdtLocked"/>
                      <w:richText/>
                    </w:sdtPr>
                    <w:sdtContent>
                      <w:r>
                        <w:rPr>
                          <w:color w:val="000000"/>
                        </w:rPr>
                        <w:t>2</w:t>
                      </w:r>
                    </w:sdtContent>
                  </w:sdt>
                  <w:r>
                    <w:rPr>
                      <w:color w:val="000000"/>
                    </w:rPr>
                    <w:t>. Sveikatos tikrinimą organizuoja bendrosios praktikos gydytojas (BPG) arba apylinkės terapeutas (pediatras).</w:t>
                  </w:r>
                </w:p>
              </w:sdtContent>
            </w:sdt>
            <w:sdt>
              <w:sdtPr>
                <w:alias w:val="9 pr. 3 p."/>
                <w:tag w:val="part_cfc180eacc254d9ea5c8a44e4ea12c7f"/>
                <w:lock w:val="sdtLocked"/>
                <w:richText/>
              </w:sdtPr>
              <w:sdtContent>
                <w:p>
                  <w:pPr>
                    <w:widowControl w:val="0"/>
                    <w:ind w:firstLine="720"/>
                    <w:jc w:val="both"/>
                    <w:rPr>
                      <w:color w:val="000000"/>
                    </w:rPr>
                  </w:pPr>
                  <w:sdt>
                    <w:sdtPr>
                      <w:alias w:val="Numeris"/>
                      <w:tag w:val="nr_cfc180eacc254d9ea5c8a44e4ea12c7f"/>
                      <w:lock w:val="sdtLocked"/>
                      <w:richText/>
                    </w:sdtPr>
                    <w:sdtContent>
                      <w:r>
                        <w:rPr>
                          <w:color w:val="000000"/>
                        </w:rPr>
                        <w:t>3</w:t>
                      </w:r>
                    </w:sdtContent>
                  </w:sdt>
                  <w:r>
                    <w:rPr>
                      <w:color w:val="000000"/>
                    </w:rPr>
                    <w:t>. Vykstantysis gydytojui pateikia dokumentus, gautus iš Užsienio reikalų ministerijos, užsienio šalies ambasados ar išvykos organizatorių, į kuriuos reikia įrašyti duomenis apie išvykstančiojo sveikatos būklę, atliktus tyrimus ir skiepijimus.</w:t>
                  </w:r>
                </w:p>
              </w:sdtContent>
            </w:sdt>
            <w:sdt>
              <w:sdtPr>
                <w:alias w:val="9 pr. 4 p."/>
                <w:tag w:val="part_f9550c9b81cb47c39ce672c935b38276"/>
                <w:lock w:val="sdtLocked"/>
                <w:richText/>
              </w:sdtPr>
              <w:sdtContent>
                <w:p>
                  <w:pPr>
                    <w:widowControl w:val="0"/>
                    <w:ind w:firstLine="720"/>
                    <w:jc w:val="both"/>
                    <w:rPr>
                      <w:color w:val="000000"/>
                    </w:rPr>
                  </w:pPr>
                  <w:sdt>
                    <w:sdtPr>
                      <w:alias w:val="Numeris"/>
                      <w:tag w:val="nr_f9550c9b81cb47c39ce672c935b38276"/>
                      <w:lock w:val="sdtLocked"/>
                      <w:richText/>
                    </w:sdtPr>
                    <w:sdtContent>
                      <w:r>
                        <w:rPr>
                          <w:color w:val="000000"/>
                        </w:rPr>
                        <w:t>4</w:t>
                      </w:r>
                    </w:sdtContent>
                  </w:sdt>
                  <w:r>
                    <w:rPr>
                      <w:color w:val="000000"/>
                    </w:rPr>
                    <w:t>. Įvedus vykstančių į užsienį privalomą sveikatos draudimą, tikrinant išvykstančiųjų sveikatą reikia vadovautis draudimo dokumentais nustatyta tvarka.</w:t>
                  </w:r>
                </w:p>
              </w:sdtContent>
            </w:sdt>
            <w:sdt>
              <w:sdtPr>
                <w:alias w:val="9 pr. 5 p."/>
                <w:tag w:val="part_b28b5c9227244489b3b669692b42b830"/>
                <w:lock w:val="sdtLocked"/>
                <w:richText/>
              </w:sdtPr>
              <w:sdtContent>
                <w:p>
                  <w:pPr>
                    <w:widowControl w:val="0"/>
                    <w:ind w:firstLine="720"/>
                    <w:jc w:val="both"/>
                    <w:rPr>
                      <w:color w:val="000000"/>
                    </w:rPr>
                  </w:pPr>
                  <w:sdt>
                    <w:sdtPr>
                      <w:alias w:val="Numeris"/>
                      <w:tag w:val="nr_b28b5c9227244489b3b669692b42b830"/>
                      <w:lock w:val="sdtLocked"/>
                      <w:richText/>
                    </w:sdtPr>
                    <w:sdtContent>
                      <w:r>
                        <w:rPr>
                          <w:color w:val="000000"/>
                        </w:rPr>
                        <w:t>5</w:t>
                      </w:r>
                    </w:sdtContent>
                  </w:sdt>
                  <w:r>
                    <w:rPr>
                      <w:color w:val="000000"/>
                    </w:rPr>
                    <w:t>. Tikrinantis sveikatą, reikia turėti asmens dokumentą su fotonuotrauka.</w:t>
                  </w:r>
                </w:p>
              </w:sdtContent>
            </w:sdt>
            <w:sdt>
              <w:sdtPr>
                <w:alias w:val="9 pr. 6 p."/>
                <w:tag w:val="part_8bc8f654a006472e864f9ce463518658"/>
                <w:lock w:val="sdtLocked"/>
                <w:richText/>
              </w:sdtPr>
              <w:sdtContent>
                <w:p>
                  <w:pPr>
                    <w:widowControl w:val="0"/>
                    <w:ind w:firstLine="720"/>
                    <w:jc w:val="both"/>
                    <w:rPr>
                      <w:color w:val="000000"/>
                    </w:rPr>
                  </w:pPr>
                  <w:sdt>
                    <w:sdtPr>
                      <w:alias w:val="Numeris"/>
                      <w:tag w:val="nr_8bc8f654a006472e864f9ce463518658"/>
                      <w:lock w:val="sdtLocked"/>
                      <w:richText/>
                    </w:sdtPr>
                    <w:sdtContent>
                      <w:r>
                        <w:rPr>
                          <w:color w:val="000000"/>
                        </w:rPr>
                        <w:t>6</w:t>
                      </w:r>
                    </w:sdtContent>
                  </w:sdt>
                  <w:r>
                    <w:rPr>
                      <w:color w:val="000000"/>
                    </w:rPr>
                    <w:t>. Tikrinant sveikatą atsižvelgiant į šalies, į kurią vykstama, keliamus reikalavimus ir medicinines indikacijas arba darbą, kurį rengiamasi dirbti, gali būti atliekami tyrimai, imunoprofilaktikos ir kitos sveikatinimo priemonės (žr. lentelę).</w:t>
                  </w:r>
                </w:p>
              </w:sdtContent>
            </w:sdt>
            <w:sdt>
              <w:sdtPr>
                <w:alias w:val="9 pr. 7 p."/>
                <w:tag w:val="part_6a340326c0b241bc84916f08cea6858a"/>
                <w:lock w:val="sdtLocked"/>
                <w:richText/>
              </w:sdtPr>
              <w:sdtContent>
                <w:p>
                  <w:pPr>
                    <w:widowControl w:val="0"/>
                    <w:ind w:firstLine="720"/>
                    <w:jc w:val="both"/>
                    <w:rPr>
                      <w:color w:val="000000"/>
                    </w:rPr>
                  </w:pPr>
                  <w:sdt>
                    <w:sdtPr>
                      <w:alias w:val="Numeris"/>
                      <w:tag w:val="nr_6a340326c0b241bc84916f08cea6858a"/>
                      <w:lock w:val="sdtLocked"/>
                      <w:richText/>
                    </w:sdtPr>
                    <w:sdtContent>
                      <w:r>
                        <w:rPr>
                          <w:color w:val="000000"/>
                        </w:rPr>
                        <w:t>7</w:t>
                      </w:r>
                    </w:sdtContent>
                  </w:sdt>
                  <w:r>
                    <w:rPr>
                      <w:color w:val="000000"/>
                    </w:rPr>
                    <w:t>. Bendrosios praktikos gydytojas, apylinkės terapeutas ar pediatras, esant indikacijų, gali siųsti pas kitus specialistus.</w:t>
                  </w:r>
                </w:p>
              </w:sdtContent>
            </w:sdt>
            <w:sdt>
              <w:sdtPr>
                <w:alias w:val="9 pr. 8 p."/>
                <w:tag w:val="part_290f910a086c4955b523b414c882cfe6"/>
                <w:lock w:val="sdtLocked"/>
                <w:richText/>
              </w:sdtPr>
              <w:sdtContent>
                <w:p>
                  <w:pPr>
                    <w:widowControl w:val="0"/>
                    <w:ind w:firstLine="720"/>
                    <w:jc w:val="both"/>
                    <w:rPr>
                      <w:color w:val="000000"/>
                    </w:rPr>
                  </w:pPr>
                  <w:sdt>
                    <w:sdtPr>
                      <w:alias w:val="Numeris"/>
                      <w:tag w:val="nr_290f910a086c4955b523b414c882cfe6"/>
                      <w:lock w:val="sdtLocked"/>
                      <w:richText/>
                    </w:sdtPr>
                    <w:sdtContent>
                      <w:r>
                        <w:rPr>
                          <w:color w:val="000000"/>
                        </w:rPr>
                        <w:t>8</w:t>
                      </w:r>
                    </w:sdtContent>
                  </w:sdt>
                  <w:r>
                    <w:rPr>
                      <w:color w:val="000000"/>
                    </w:rPr>
                    <w:t>. Sveikatą tikrinantis gydytojas turi teisę gauti informaciją iš kitų sveikatos priežiūros įstaigų, o šios privalo tokią informaciją teikti.</w:t>
                  </w:r>
                </w:p>
              </w:sdtContent>
            </w:sdt>
            <w:sdt>
              <w:sdtPr>
                <w:alias w:val="9 pr. 9 p."/>
                <w:tag w:val="part_6e01b5da4ae84645be8638db0c1d920b"/>
                <w:lock w:val="sdtLocked"/>
                <w:richText/>
              </w:sdtPr>
              <w:sdtContent>
                <w:p>
                  <w:pPr>
                    <w:widowControl w:val="0"/>
                    <w:ind w:firstLine="720"/>
                    <w:jc w:val="both"/>
                    <w:rPr>
                      <w:color w:val="000000"/>
                    </w:rPr>
                  </w:pPr>
                  <w:sdt>
                    <w:sdtPr>
                      <w:alias w:val="Numeris"/>
                      <w:tag w:val="nr_6e01b5da4ae84645be8638db0c1d920b"/>
                      <w:lock w:val="sdtLocked"/>
                      <w:richText/>
                    </w:sdtPr>
                    <w:sdtContent>
                      <w:r>
                        <w:rPr>
                          <w:color w:val="000000"/>
                        </w:rPr>
                        <w:t>9</w:t>
                      </w:r>
                    </w:sdtContent>
                  </w:sdt>
                  <w:r>
                    <w:rPr>
                      <w:color w:val="000000"/>
                    </w:rPr>
                    <w:t>. Prireikus vadovaujamasi vairuotojų, geležinkelininkų, jūreivių ir kt. sveikatos tikrinimo tvarka.</w:t>
                  </w:r>
                </w:p>
              </w:sdtContent>
            </w:sdt>
            <w:sdt>
              <w:sdtPr>
                <w:alias w:val="9 pr. 10 p."/>
                <w:tag w:val="part_844e64cd658c4f3f8da904f9c59a1d2c"/>
                <w:lock w:val="sdtLocked"/>
                <w:richText/>
              </w:sdtPr>
              <w:sdtContent>
                <w:p>
                  <w:pPr>
                    <w:widowControl w:val="0"/>
                    <w:ind w:firstLine="720"/>
                    <w:jc w:val="both"/>
                    <w:rPr>
                      <w:color w:val="000000"/>
                    </w:rPr>
                  </w:pPr>
                  <w:sdt>
                    <w:sdtPr>
                      <w:alias w:val="Numeris"/>
                      <w:tag w:val="nr_844e64cd658c4f3f8da904f9c59a1d2c"/>
                      <w:lock w:val="sdtLocked"/>
                      <w:richText/>
                    </w:sdtPr>
                    <w:sdtContent>
                      <w:r>
                        <w:rPr>
                          <w:color w:val="000000"/>
                        </w:rPr>
                        <w:t>10</w:t>
                      </w:r>
                    </w:sdtContent>
                  </w:sdt>
                  <w:r>
                    <w:rPr>
                      <w:color w:val="000000"/>
                    </w:rPr>
                    <w:t>. Vykstant į epidemiologiškai pavojingas šalis, reikalingas sertifikatas (pažyma) apie skiepus. Siuntimą skiepyti (F 027/a), būtinai nurodant, kad nėra kontraindikacijų, išduoda sveikatą tikrinantis gydytojas.</w:t>
                  </w:r>
                </w:p>
              </w:sdtContent>
            </w:sdt>
            <w:sdt>
              <w:sdtPr>
                <w:alias w:val="9 pr. 11 p."/>
                <w:tag w:val="part_824637e270684d09a8c9af6401811b02"/>
                <w:lock w:val="sdtLocked"/>
                <w:richText/>
              </w:sdtPr>
              <w:sdtContent>
                <w:p>
                  <w:pPr>
                    <w:widowControl w:val="0"/>
                    <w:ind w:firstLine="720"/>
                    <w:jc w:val="both"/>
                    <w:rPr>
                      <w:color w:val="000000"/>
                    </w:rPr>
                  </w:pPr>
                  <w:sdt>
                    <w:sdtPr>
                      <w:alias w:val="Numeris"/>
                      <w:tag w:val="nr_824637e270684d09a8c9af6401811b02"/>
                      <w:lock w:val="sdtLocked"/>
                      <w:richText/>
                    </w:sdtPr>
                    <w:sdtContent>
                      <w:r>
                        <w:rPr>
                          <w:color w:val="000000"/>
                        </w:rPr>
                        <w:t>11</w:t>
                      </w:r>
                    </w:sdtContent>
                  </w:sdt>
                  <w:r>
                    <w:rPr>
                      <w:color w:val="000000"/>
                    </w:rPr>
                    <w:t>. Vykstant į kai kurias užsienio šalis, būtina turėti ŽIV antikūnų tyrimo sertifikatą, kurį išduoda Lietuvos AIDS profilaktikos centras (Liubarto g. 20, Vilnius, tel. 75 12 49) ar kitos šiuos tyrimus atliekančios laboratorijos.</w:t>
                  </w:r>
                </w:p>
              </w:sdtContent>
            </w:sdt>
            <w:sdt>
              <w:sdtPr>
                <w:alias w:val="9 pr. 12 p."/>
                <w:tag w:val="part_603e139e68b94d8a80fbceb990348967"/>
                <w:lock w:val="sdtLocked"/>
                <w:richText/>
              </w:sdtPr>
              <w:sdtContent>
                <w:p>
                  <w:pPr>
                    <w:widowControl w:val="0"/>
                    <w:ind w:firstLine="720"/>
                    <w:jc w:val="both"/>
                    <w:rPr>
                      <w:color w:val="000000"/>
                    </w:rPr>
                  </w:pPr>
                  <w:sdt>
                    <w:sdtPr>
                      <w:alias w:val="Numeris"/>
                      <w:tag w:val="nr_603e139e68b94d8a80fbceb990348967"/>
                      <w:lock w:val="sdtLocked"/>
                      <w:richText/>
                    </w:sdtPr>
                    <w:sdtContent>
                      <w:r>
                        <w:rPr>
                          <w:color w:val="000000"/>
                        </w:rPr>
                        <w:t>12</w:t>
                      </w:r>
                    </w:sdtContent>
                  </w:sdt>
                  <w:r>
                    <w:rPr>
                      <w:color w:val="000000"/>
                    </w:rPr>
                    <w:t>. Tikrinimų duomenys įrašomi į asmens sveikatos istoriją (ambulatorinę kortelę) (F 025/a). Galutinę išvadą pateikia sveikatą tikrinantis bendrosios praktikos gydytojas, apylinkės terapeutas ar pediatras ir įrašo į vykstančiojo į užsienį medicininę pažymą (F 082/a). Išduotos pažymos registruojamos.</w:t>
                  </w:r>
                </w:p>
              </w:sdtContent>
            </w:sdt>
            <w:sdt>
              <w:sdtPr>
                <w:alias w:val="9 pr. 13 p."/>
                <w:tag w:val="part_47b67b54582b40878252629db9230767"/>
                <w:lock w:val="sdtLocked"/>
                <w:richText/>
              </w:sdtPr>
              <w:sdtContent>
                <w:p>
                  <w:pPr>
                    <w:widowControl w:val="0"/>
                    <w:ind w:firstLine="720"/>
                    <w:jc w:val="both"/>
                    <w:rPr>
                      <w:color w:val="000000"/>
                    </w:rPr>
                  </w:pPr>
                  <w:sdt>
                    <w:sdtPr>
                      <w:alias w:val="Numeris"/>
                      <w:tag w:val="nr_47b67b54582b40878252629db9230767"/>
                      <w:lock w:val="sdtLocked"/>
                      <w:richText/>
                    </w:sdtPr>
                    <w:sdtContent>
                      <w:r>
                        <w:rPr>
                          <w:color w:val="000000"/>
                        </w:rPr>
                        <w:t>13</w:t>
                      </w:r>
                    </w:sdtContent>
                  </w:sdt>
                  <w:r>
                    <w:rPr>
                      <w:color w:val="000000"/>
                    </w:rPr>
                    <w:t>. Gali būti užpildomi ir kiti dokumentai, pateikti užsienio šalies ambasados, Lietuvos darbo biržos, draudimo ar kitų įstaigų.</w:t>
                  </w:r>
                </w:p>
              </w:sdtContent>
            </w:sdt>
            <w:sdt>
              <w:sdtPr>
                <w:alias w:val="9 pr. 14 p."/>
                <w:tag w:val="part_b63e22f1f03a493f9216a58fe10faa4b"/>
                <w:lock w:val="sdtLocked"/>
                <w:richText/>
              </w:sdtPr>
              <w:sdtContent>
                <w:p>
                  <w:pPr>
                    <w:widowControl w:val="0"/>
                    <w:ind w:firstLine="720"/>
                    <w:jc w:val="both"/>
                    <w:rPr>
                      <w:color w:val="000000"/>
                    </w:rPr>
                  </w:pPr>
                  <w:sdt>
                    <w:sdtPr>
                      <w:alias w:val="Numeris"/>
                      <w:tag w:val="nr_b63e22f1f03a493f9216a58fe10faa4b"/>
                      <w:lock w:val="sdtLocked"/>
                      <w:richText/>
                    </w:sdtPr>
                    <w:sdtContent>
                      <w:r>
                        <w:rPr>
                          <w:color w:val="000000"/>
                        </w:rPr>
                        <w:t>14</w:t>
                      </w:r>
                    </w:sdtContent>
                  </w:sdt>
                  <w:r>
                    <w:rPr>
                      <w:color w:val="000000"/>
                    </w:rPr>
                    <w:t>. Išduotą pažymą-sertifikatą ar kitą dokumentą, kuriame pateikti duomenys apie išvykstančiojo sveikatos būklę (diagnozuotas ligas, atliktus tyrimus ir skiepijimus) gydytojas tvirtina asmeniniu antspaudu, parašu ir gydymo įstaigos antspaudu.</w:t>
                  </w:r>
                </w:p>
              </w:sdtContent>
            </w:sdt>
            <w:sdt>
              <w:sdtPr>
                <w:alias w:val="9 pr. 15 p."/>
                <w:tag w:val="part_c40fae31faf4447989763ec25dad274b"/>
                <w:lock w:val="sdtLocked"/>
                <w:richText/>
              </w:sdtPr>
              <w:sdtContent>
                <w:p>
                  <w:pPr>
                    <w:widowControl w:val="0"/>
                    <w:ind w:firstLine="720"/>
                    <w:jc w:val="both"/>
                    <w:rPr>
                      <w:color w:val="000000"/>
                    </w:rPr>
                  </w:pPr>
                  <w:sdt>
                    <w:sdtPr>
                      <w:alias w:val="Numeris"/>
                      <w:tag w:val="nr_c40fae31faf4447989763ec25dad274b"/>
                      <w:lock w:val="sdtLocked"/>
                      <w:richText/>
                    </w:sdtPr>
                    <w:sdtContent>
                      <w:r>
                        <w:rPr>
                          <w:color w:val="000000"/>
                        </w:rPr>
                        <w:t>15</w:t>
                      </w:r>
                    </w:sdtContent>
                  </w:sdt>
                  <w:r>
                    <w:rPr>
                      <w:color w:val="000000"/>
                    </w:rPr>
                    <w:t>. Pažymos (sertifikato) galiojimo terminas priklauso nuo šalies, į kurią išvykstama, reikalavimų.</w:t>
                  </w:r>
                </w:p>
                <w:p>
                  <w:pPr>
                    <w:widowControl w:val="0"/>
                    <w:ind w:firstLine="720"/>
                    <w:jc w:val="both"/>
                    <w:rPr>
                      <w:color w:val="000000"/>
                    </w:rPr>
                  </w:pPr>
                  <w:r>
                    <w:rPr>
                      <w:color w:val="000000"/>
                    </w:rPr>
                    <w:t>Pažymos konsuliniam jų legalizavimui, išduodamos asmenims, vykstantiems į užsienį, privalo būti patvirtintos žodžiu „tvirtinu“, įgalioto asmens parašu ir įstaigos antspaudu tvirtinamojo dokumento apatiniame kairiajame kampe (kiekvienas pažymos lapas tvirtinamas atskirai).</w:t>
                  </w:r>
                </w:p>
              </w:sdtContent>
            </w:sdt>
            <w:sdt>
              <w:sdtPr>
                <w:alias w:val="9 pr. 16 p."/>
                <w:tag w:val="part_3619143c651944cc95abf309b6174c4e"/>
                <w:lock w:val="sdtLocked"/>
                <w:richText/>
              </w:sdtPr>
              <w:sdtContent>
                <w:p>
                  <w:pPr>
                    <w:widowControl w:val="0"/>
                    <w:ind w:firstLine="720"/>
                    <w:jc w:val="both"/>
                    <w:rPr>
                      <w:color w:val="000000"/>
                    </w:rPr>
                  </w:pPr>
                  <w:sdt>
                    <w:sdtPr>
                      <w:alias w:val="Numeris"/>
                      <w:tag w:val="nr_3619143c651944cc95abf309b6174c4e"/>
                      <w:lock w:val="sdtLocked"/>
                      <w:richText/>
                    </w:sdtPr>
                    <w:sdtContent>
                      <w:r>
                        <w:rPr>
                          <w:color w:val="000000"/>
                        </w:rPr>
                        <w:t>16</w:t>
                      </w:r>
                    </w:sdtContent>
                  </w:sdt>
                  <w:r>
                    <w:rPr>
                      <w:color w:val="000000"/>
                    </w:rPr>
                    <w:t>. Asmenų, sergančių ūmiomis, užkrečiamosiomis infekcinėmis, venerinėmis ar odos ligomis, užkrečiamuoju laikotarpiu sveikata dėl išvykimo į užsienį netikrinama.</w:t>
                  </w:r>
                </w:p>
              </w:sdtContent>
            </w:sdt>
            <w:sdt>
              <w:sdtPr>
                <w:alias w:val="9 pr. 17 p."/>
                <w:tag w:val="part_787a781a95274489953e83c97959b70d"/>
                <w:lock w:val="sdtLocked"/>
                <w:richText/>
              </w:sdtPr>
              <w:sdtContent>
                <w:p>
                  <w:pPr>
                    <w:widowControl w:val="0"/>
                    <w:ind w:firstLine="720"/>
                    <w:jc w:val="both"/>
                    <w:rPr>
                      <w:color w:val="000000"/>
                    </w:rPr>
                  </w:pPr>
                  <w:sdt>
                    <w:sdtPr>
                      <w:alias w:val="Numeris"/>
                      <w:tag w:val="nr_787a781a95274489953e83c97959b70d"/>
                      <w:lock w:val="sdtLocked"/>
                      <w:richText/>
                    </w:sdtPr>
                    <w:sdtContent>
                      <w:r>
                        <w:rPr>
                          <w:color w:val="000000"/>
                        </w:rPr>
                        <w:t>17</w:t>
                      </w:r>
                    </w:sdtContent>
                  </w:sdt>
                  <w:r>
                    <w:rPr>
                      <w:color w:val="000000"/>
                    </w:rPr>
                    <w:t>. Asmenims, kuriems dėl sveikatos būklės pagal nurodytą specialybę dirbti negalima, vykstančiojo į užsienį medicininė pažyma neišduodama.</w:t>
                  </w:r>
                </w:p>
                <w:p>
                  <w:pPr>
                    <w:widowControl w:val="0"/>
                    <w:ind w:firstLine="720"/>
                    <w:jc w:val="both"/>
                    <w:rPr>
                      <w:color w:val="000000"/>
                    </w:rPr>
                  </w:pPr>
                  <w:r>
                    <w:rPr>
                      <w:color w:val="000000"/>
                    </w:rPr>
                    <w:t>Sudėtingus ir neaiškius sveikatos tikrinimo klausimus sprendžia bei galutinę išvadą konfliktinių situacijų atveju pateikia asmens sveikatos įstaigos gydytojų konsultacinė komisija (GKK).</w:t>
                  </w:r>
                </w:p>
              </w:sdtContent>
            </w:sdt>
            <w:sdt>
              <w:sdtPr>
                <w:alias w:val="9 pr. 18 p."/>
                <w:tag w:val="part_86719377bbe842c280b5d4fe50dcac9d"/>
                <w:lock w:val="sdtLocked"/>
                <w:richText/>
              </w:sdtPr>
              <w:sdtContent>
                <w:p>
                  <w:pPr>
                    <w:widowControl w:val="0"/>
                    <w:ind w:firstLine="720"/>
                    <w:jc w:val="both"/>
                    <w:rPr>
                      <w:color w:val="000000"/>
                    </w:rPr>
                  </w:pPr>
                  <w:sdt>
                    <w:sdtPr>
                      <w:alias w:val="Numeris"/>
                      <w:tag w:val="nr_86719377bbe842c280b5d4fe50dcac9d"/>
                      <w:lock w:val="sdtLocked"/>
                      <w:richText/>
                    </w:sdtPr>
                    <w:sdtContent>
                      <w:r>
                        <w:rPr>
                          <w:color w:val="000000"/>
                        </w:rPr>
                        <w:t>18</w:t>
                      </w:r>
                    </w:sdtContent>
                  </w:sdt>
                  <w:r>
                    <w:rPr>
                      <w:color w:val="000000"/>
                    </w:rPr>
                    <w:t>. Informacija apie ligas, nuo kurių reikia pasiskiepyti išvykstant į užsienio šalį, teikiama:</w:t>
                  </w:r>
                </w:p>
                <w:p>
                  <w:pPr>
                    <w:widowControl w:val="0"/>
                    <w:ind w:firstLine="720"/>
                    <w:jc w:val="both"/>
                    <w:rPr>
                      <w:color w:val="000000"/>
                    </w:rPr>
                  </w:pPr>
                  <w:r>
                    <w:rPr>
                      <w:color w:val="000000"/>
                    </w:rPr>
                    <w:t>Sveikatos apsaugos ministerijos Sveikatos aplinkos skyriuje (Vilniaus g. 33, Vilnius, tel. (8 22) 61 07 59);</w:t>
                  </w:r>
                </w:p>
                <w:p>
                  <w:pPr>
                    <w:widowControl w:val="0"/>
                    <w:ind w:firstLine="720"/>
                    <w:jc w:val="both"/>
                    <w:rPr>
                      <w:color w:val="000000"/>
                    </w:rPr>
                  </w:pPr>
                  <w:r>
                    <w:rPr>
                      <w:color w:val="000000"/>
                    </w:rPr>
                    <w:t>Užkrečiamųjų ligų profilaktikos ir kontrolės centre (Rožių al. 4a, Vilnius, tel.: (8 22) 22 73 63, 22 76 73);</w:t>
                  </w:r>
                </w:p>
                <w:p>
                  <w:pPr>
                    <w:widowControl w:val="0"/>
                    <w:ind w:firstLine="720"/>
                    <w:jc w:val="both"/>
                    <w:rPr>
                      <w:color w:val="000000"/>
                    </w:rPr>
                  </w:pPr>
                  <w:r>
                    <w:rPr>
                      <w:color w:val="000000"/>
                    </w:rPr>
                    <w:t>Alytaus visuomenės sveikatos centre (Savanorių g. 4, Alytus, tel. (8 235) 5 11 82);</w:t>
                  </w:r>
                </w:p>
                <w:p>
                  <w:pPr>
                    <w:widowControl w:val="0"/>
                    <w:ind w:firstLine="720"/>
                    <w:jc w:val="both"/>
                    <w:rPr>
                      <w:color w:val="000000"/>
                    </w:rPr>
                  </w:pPr>
                  <w:r>
                    <w:rPr>
                      <w:color w:val="000000"/>
                    </w:rPr>
                    <w:t>Kauno visuomenės sveikatos centre (K. Petrausko g. 24, Kaunas, tel. (8 27) 73 44 03);</w:t>
                  </w:r>
                </w:p>
                <w:p>
                  <w:pPr>
                    <w:widowControl w:val="0"/>
                    <w:ind w:firstLine="720"/>
                    <w:jc w:val="both"/>
                    <w:rPr>
                      <w:color w:val="000000"/>
                    </w:rPr>
                  </w:pPr>
                  <w:r>
                    <w:rPr>
                      <w:color w:val="000000"/>
                    </w:rPr>
                    <w:t>Klaipėdos visuomenės sveikatos centre (Liepų g. 17, Klaipėda, tel. (8 26) 21 22 22);</w:t>
                  </w:r>
                </w:p>
                <w:p>
                  <w:pPr>
                    <w:widowControl w:val="0"/>
                    <w:ind w:firstLine="720"/>
                    <w:jc w:val="both"/>
                    <w:rPr>
                      <w:color w:val="000000"/>
                    </w:rPr>
                  </w:pPr>
                  <w:r>
                    <w:rPr>
                      <w:color w:val="000000"/>
                    </w:rPr>
                    <w:t>Marijampolės visuomenės sveikatos centre (Žemaitės g. 14, Marijampolė, tel. (8 243) 5 05 15);</w:t>
                  </w:r>
                </w:p>
                <w:p>
                  <w:pPr>
                    <w:widowControl w:val="0"/>
                    <w:ind w:firstLine="720"/>
                    <w:jc w:val="both"/>
                    <w:rPr>
                      <w:color w:val="000000"/>
                    </w:rPr>
                  </w:pPr>
                  <w:r>
                    <w:rPr>
                      <w:color w:val="000000"/>
                    </w:rPr>
                    <w:t>Panevėžio visuomenės sveikatos centre (Respublikos g. 13, Panevėžys, tel. (8 25) 46 10 81);</w:t>
                  </w:r>
                </w:p>
                <w:p>
                  <w:pPr>
                    <w:widowControl w:val="0"/>
                    <w:ind w:firstLine="720"/>
                    <w:jc w:val="both"/>
                    <w:rPr>
                      <w:color w:val="000000"/>
                    </w:rPr>
                  </w:pPr>
                  <w:r>
                    <w:rPr>
                      <w:color w:val="000000"/>
                    </w:rPr>
                    <w:t>Šiaulių visuomenės sveikatos centre (Vilniaus g. 229, Šiauliai, tel. (8 21) 42 09 03);</w:t>
                  </w:r>
                </w:p>
                <w:p>
                  <w:pPr>
                    <w:widowControl w:val="0"/>
                    <w:ind w:firstLine="720"/>
                    <w:jc w:val="both"/>
                    <w:rPr>
                      <w:color w:val="000000"/>
                    </w:rPr>
                  </w:pPr>
                  <w:r>
                    <w:rPr>
                      <w:color w:val="000000"/>
                    </w:rPr>
                    <w:t>Tauragės visuomenės sveikatos centre (Prezidento g. 38, Tauragė, tel. (8 246) 5 24 54);</w:t>
                  </w:r>
                </w:p>
                <w:p>
                  <w:pPr>
                    <w:widowControl w:val="0"/>
                    <w:ind w:firstLine="720"/>
                    <w:jc w:val="both"/>
                    <w:rPr>
                      <w:color w:val="000000"/>
                    </w:rPr>
                  </w:pPr>
                  <w:r>
                    <w:rPr>
                      <w:color w:val="000000"/>
                    </w:rPr>
                    <w:t>Utenos visuomenės sveikatos centre (S. Dariaus ir S. Girėno g. 12, Utena, tel. (8 239) 5149);</w:t>
                  </w:r>
                </w:p>
                <w:p>
                  <w:pPr>
                    <w:widowControl w:val="0"/>
                    <w:ind w:firstLine="720"/>
                    <w:jc w:val="both"/>
                    <w:rPr>
                      <w:color w:val="000000"/>
                    </w:rPr>
                  </w:pPr>
                  <w:r>
                    <w:rPr>
                      <w:color w:val="000000"/>
                    </w:rPr>
                    <w:t>Trakų visuomenės sveikatos priežiūros ir specialistų tobulinimo centre (Vytauto g. 87, Trakai, tel. (8 238) 5 25 73);</w:t>
                  </w:r>
                </w:p>
                <w:p>
                  <w:pPr>
                    <w:widowControl w:val="0"/>
                    <w:ind w:firstLine="720"/>
                    <w:jc w:val="both"/>
                    <w:rPr>
                      <w:color w:val="000000"/>
                    </w:rPr>
                  </w:pPr>
                  <w:r>
                    <w:rPr>
                      <w:color w:val="000000"/>
                    </w:rPr>
                    <w:t>Vilniaus visuomenės sveikatos centre (Vilniaus g. 16, Vilnius, tel. (8 22) 22 40 98).</w:t>
                  </w:r>
                </w:p>
                <w:p>
                  <w:pPr>
                    <w:widowControl w:val="0"/>
                    <w:ind w:firstLine="720"/>
                    <w:jc w:val="both"/>
                    <w:rPr>
                      <w:color w:val="000000"/>
                    </w:rPr>
                  </w:pPr>
                </w:p>
                <w:p>
                  <w:pPr>
                    <w:tabs>
                      <w:tab w:val="left" w:pos="1304"/>
                      <w:tab w:val="left" w:pos="1457"/>
                      <w:tab w:val="left" w:pos="1604"/>
                      <w:tab w:val="left" w:pos="1757"/>
                    </w:tabs>
                    <w:jc w:val="center"/>
                    <w:rPr>
                      <w:color w:val="000000"/>
                    </w:rPr>
                  </w:pPr>
                  <w:r>
                    <w:rPr>
                      <w:color w:val="000000"/>
                    </w:rPr>
                    <w:t>Lentelė</w:t>
                  </w:r>
                </w:p>
                <w:p>
                  <w:pPr>
                    <w:widowControl w:val="0"/>
                    <w:ind w:left="1069"/>
                    <w:jc w:val="both"/>
                    <w:rPr>
                      <w:color w:val="000000"/>
                    </w:rPr>
                  </w:pPr>
                </w:p>
              </w:sdtContent>
            </w:sdt>
          </w:sdtContent>
        </w:sdt>
        <w:sdt>
          <w:sdtPr>
            <w:alias w:val="skyrius"/>
            <w:tag w:val="part_6720eac7dd8449b998fe7b36e2aaae53"/>
            <w:lock w:val="sdtLocked"/>
            <w:richText/>
          </w:sdtPr>
          <w:sdtContent>
            <w:p>
              <w:pPr>
                <w:jc w:val="center"/>
                <w:rPr>
                  <w:caps/>
                  <w:color w:val="000000"/>
                </w:rPr>
              </w:pPr>
              <w:sdt>
                <w:sdtPr>
                  <w:alias w:val="Numeris"/>
                  <w:tag w:val="nr_6720eac7dd8449b998fe7b36e2aaae53"/>
                  <w:lock w:val="sdtLocked"/>
                  <w:richText/>
                </w:sdtPr>
                <w:sdtContent>
                  <w:r>
                    <w:rPr>
                      <w:b/>
                      <w:caps/>
                      <w:color w:val="000000"/>
                    </w:rPr>
                    <w:t>II</w:t>
                  </w:r>
                </w:sdtContent>
              </w:sdt>
              <w:r>
                <w:rPr>
                  <w:b/>
                  <w:caps/>
                  <w:color w:val="000000"/>
                </w:rPr>
                <w:t xml:space="preserve">. </w:t>
              </w:r>
              <w:sdt>
                <w:sdtPr>
                  <w:alias w:val="Pavadinimas"/>
                  <w:tag w:val="title_6720eac7dd8449b998fe7b36e2aaae53"/>
                  <w:lock w:val="sdtLocked"/>
                  <w:richText/>
                </w:sdtPr>
                <w:sdtContent>
                  <w:r>
                    <w:rPr>
                      <w:b/>
                      <w:caps/>
                      <w:color w:val="000000"/>
                    </w:rPr>
                    <w:t>SVEIKATOS TIKRINIMAS VYKSTANT Į UŽSIENĮ</w:t>
                  </w:r>
                </w:sdtContent>
              </w:sdt>
            </w:p>
            <w:p>
              <w:pPr>
                <w:widowControl w:val="0"/>
                <w:tabs>
                  <w:tab w:val="left" w:pos="2098"/>
                  <w:tab w:val="left" w:pos="4649"/>
                </w:tabs>
                <w:ind w:left="1069"/>
                <w:rPr>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40"/>
                <w:gridCol w:w="2420"/>
                <w:gridCol w:w="5177"/>
              </w:tblGrid>
              <w:tr>
                <w:tc>
                  <w:tcPr>
                    <w:tcW w:w="4460" w:type="dxa"/>
                    <w:gridSpan w:val="2"/>
                    <w:shd w:val="clear" w:color="auto" w:fill="auto"/>
                  </w:tcPr>
                  <w:p>
                    <w:pPr>
                      <w:widowControl w:val="0"/>
                      <w:ind w:left="360"/>
                      <w:jc w:val="center"/>
                      <w:rPr>
                        <w:sz w:val="14"/>
                      </w:rPr>
                    </w:pPr>
                    <w:r>
                      <w:rPr>
                        <w:sz w:val="14"/>
                      </w:rPr>
                      <w:t>Sveikatos tikrintojas</w:t>
                    </w:r>
                  </w:p>
                </w:tc>
                <w:tc>
                  <w:tcPr>
                    <w:tcW w:w="5177" w:type="dxa"/>
                    <w:vMerge w:val="restart"/>
                    <w:shd w:val="clear" w:color="auto" w:fill="auto"/>
                  </w:tcPr>
                  <w:p>
                    <w:pPr>
                      <w:widowControl w:val="0"/>
                      <w:ind w:left="360"/>
                      <w:jc w:val="center"/>
                      <w:rPr>
                        <w:sz w:val="14"/>
                      </w:rPr>
                    </w:pPr>
                    <w:r>
                      <w:rPr>
                        <w:sz w:val="14"/>
                      </w:rPr>
                      <w:t>Tyrimai</w:t>
                    </w:r>
                  </w:p>
                </w:tc>
              </w:tr>
              <w:tr>
                <w:trPr>
                  <w:trHeight w:val="1175"/>
                </w:trPr>
                <w:tc>
                  <w:tcPr>
                    <w:tcW w:w="2040" w:type="dxa"/>
                    <w:shd w:val="clear" w:color="auto" w:fill="auto"/>
                  </w:tcPr>
                  <w:p>
                    <w:pPr>
                      <w:widowControl w:val="0"/>
                      <w:ind w:left="360"/>
                      <w:jc w:val="center"/>
                      <w:rPr>
                        <w:sz w:val="14"/>
                      </w:rPr>
                    </w:pPr>
                    <w:r>
                      <w:rPr>
                        <w:sz w:val="14"/>
                      </w:rPr>
                      <w:t>Pirminio lygio asmens sveikatos priežiūros paslaugas teikiantys gydytojai</w:t>
                    </w:r>
                  </w:p>
                </w:tc>
                <w:tc>
                  <w:tcPr>
                    <w:tcW w:w="2420" w:type="dxa"/>
                    <w:shd w:val="clear" w:color="auto" w:fill="auto"/>
                  </w:tcPr>
                  <w:p>
                    <w:pPr>
                      <w:widowControl w:val="0"/>
                      <w:ind w:left="360"/>
                      <w:jc w:val="center"/>
                      <w:rPr>
                        <w:sz w:val="14"/>
                      </w:rPr>
                    </w:pPr>
                    <w:r>
                      <w:rPr>
                        <w:sz w:val="14"/>
                      </w:rPr>
                      <w:t>Antrinio lygio asmens sveikatos priežiūros paslaugas teikiantys gydytojai</w:t>
                    </w:r>
                  </w:p>
                </w:tc>
                <w:tc>
                  <w:tcPr>
                    <w:tcW w:w="5177" w:type="dxa"/>
                    <w:vMerge/>
                    <w:shd w:val="clear" w:color="auto" w:fill="auto"/>
                  </w:tcPr>
                  <w:p>
                    <w:pPr>
                      <w:widowControl w:val="0"/>
                      <w:ind w:left="360"/>
                      <w:jc w:val="center"/>
                      <w:rPr>
                        <w:sz w:val="14"/>
                      </w:rPr>
                    </w:pPr>
                  </w:p>
                </w:tc>
              </w:tr>
              <w:tr>
                <w:trPr>
                  <w:trHeight w:val="1870"/>
                </w:trPr>
                <w:tc>
                  <w:tcPr>
                    <w:tcW w:w="2040" w:type="dxa"/>
                    <w:shd w:val="clear" w:color="auto" w:fill="auto"/>
                  </w:tcPr>
                  <w:p>
                    <w:pPr>
                      <w:widowControl w:val="0"/>
                      <w:ind w:left="360"/>
                      <w:rPr>
                        <w:sz w:val="14"/>
                      </w:rPr>
                    </w:pPr>
                    <w:r>
                      <w:rPr>
                        <w:sz w:val="14"/>
                      </w:rPr>
                      <w:t>Bendrosios praktikos gydytojas, psichiatras – esant indikacijų</w:t>
                    </w:r>
                  </w:p>
                </w:tc>
                <w:tc>
                  <w:tcPr>
                    <w:tcW w:w="2420" w:type="dxa"/>
                    <w:shd w:val="clear" w:color="auto" w:fill="auto"/>
                  </w:tcPr>
                  <w:p>
                    <w:pPr>
                      <w:widowControl w:val="0"/>
                      <w:ind w:left="360"/>
                      <w:rPr>
                        <w:sz w:val="14"/>
                      </w:rPr>
                    </w:pPr>
                    <w:r>
                      <w:rPr>
                        <w:sz w:val="14"/>
                      </w:rPr>
                      <w:t>Gydytojai specialistai, atsižvelgiant į šalies, į kurią vykstama, ar išvykos organizatorių keliamus reikalavimus arba pagal medicinines indikacijas</w:t>
                    </w:r>
                  </w:p>
                </w:tc>
                <w:tc>
                  <w:tcPr>
                    <w:tcW w:w="5177" w:type="dxa"/>
                    <w:shd w:val="clear" w:color="auto" w:fill="auto"/>
                  </w:tcPr>
                  <w:p>
                    <w:pPr>
                      <w:widowControl w:val="0"/>
                      <w:ind w:left="360"/>
                      <w:rPr>
                        <w:sz w:val="14"/>
                      </w:rPr>
                    </w:pPr>
                    <w:r>
                      <w:rPr>
                        <w:sz w:val="14"/>
                      </w:rPr>
                      <w:t>Bendras (klinikinis) kraujo tyrimas pagal šalies, į kurią vykstama, reikalavimus bei medicinines indikacijas</w:t>
                    </w:r>
                  </w:p>
                  <w:p>
                    <w:pPr>
                      <w:widowControl w:val="0"/>
                      <w:ind w:left="360"/>
                      <w:rPr>
                        <w:sz w:val="14"/>
                      </w:rPr>
                    </w:pPr>
                    <w:r>
                      <w:rPr>
                        <w:sz w:val="14"/>
                      </w:rPr>
                      <w:t>Kraujo tyrimas dėl ŽIV infekcijos (žmogaus imunodeficito viruso) tik tada, kai to reikalauja šalis, į kurią vykstama (sertifikatas apie neigiamą tyrimo rezultatą galioja ne ilgiau kaip 30 dienų nuo jo išdavimo dienos)</w:t>
                    </w:r>
                  </w:p>
                </w:tc>
              </w:tr>
              <w:tr>
                <w:trPr>
                  <w:trHeight w:val="1865"/>
                </w:trPr>
                <w:tc>
                  <w:tcPr>
                    <w:tcW w:w="2040" w:type="dxa"/>
                    <w:shd w:val="clear" w:color="auto" w:fill="auto"/>
                  </w:tcPr>
                  <w:p>
                    <w:pPr>
                      <w:widowControl w:val="0"/>
                      <w:ind w:left="360"/>
                      <w:rPr>
                        <w:sz w:val="14"/>
                      </w:rPr>
                    </w:pPr>
                    <w:r>
                      <w:rPr>
                        <w:sz w:val="14"/>
                      </w:rPr>
                      <w:t>Apylinkės terapeutas, psichiatras – esant indikacijų</w:t>
                    </w:r>
                  </w:p>
                </w:tc>
                <w:tc>
                  <w:tcPr>
                    <w:tcW w:w="2420" w:type="dxa"/>
                    <w:shd w:val="clear" w:color="auto" w:fill="auto"/>
                  </w:tcPr>
                  <w:p>
                    <w:pPr>
                      <w:widowControl w:val="0"/>
                      <w:ind w:left="360"/>
                      <w:rPr>
                        <w:sz w:val="14"/>
                      </w:rPr>
                    </w:pPr>
                    <w:r>
                      <w:rPr>
                        <w:sz w:val="14"/>
                      </w:rPr>
                      <w:t>Gydytojai specialistai, atsižvelgiant į šalies, į kurią vykstama, ar išvykos organizatorių keliamus reikalavimus arba pagal medicinines indikacijas</w:t>
                    </w:r>
                  </w:p>
                </w:tc>
                <w:tc>
                  <w:tcPr>
                    <w:tcW w:w="5177" w:type="dxa"/>
                    <w:shd w:val="clear" w:color="auto" w:fill="auto"/>
                  </w:tcPr>
                  <w:p>
                    <w:pPr>
                      <w:widowControl w:val="0"/>
                      <w:ind w:left="360"/>
                      <w:rPr>
                        <w:sz w:val="14"/>
                      </w:rPr>
                    </w:pPr>
                    <w:r>
                      <w:rPr>
                        <w:sz w:val="14"/>
                      </w:rPr>
                      <w:t>Kraujo grupės ir Rh faktoriaus nustatymas, jei nėra žymos pase.</w:t>
                    </w:r>
                  </w:p>
                  <w:p>
                    <w:pPr>
                      <w:widowControl w:val="0"/>
                      <w:ind w:left="360"/>
                      <w:rPr>
                        <w:sz w:val="14"/>
                      </w:rPr>
                    </w:pPr>
                    <w:r>
                      <w:rPr>
                        <w:sz w:val="14"/>
                      </w:rPr>
                      <w:t>Kraujo tyrimas dėl sifilio (sertifikatas apie neigiamą tyrimo rezultatą galioja ne ilgiau kaip 30 dienų nuo jo išdavimo dienos) Šlapimo tyrimas</w:t>
                    </w:r>
                  </w:p>
                  <w:p>
                    <w:pPr>
                      <w:widowControl w:val="0"/>
                      <w:ind w:left="360"/>
                      <w:rPr>
                        <w:sz w:val="14"/>
                      </w:rPr>
                    </w:pPr>
                    <w:r>
                      <w:rPr>
                        <w:sz w:val="14"/>
                      </w:rPr>
                      <w:t>Krūtinės ląstos rentgenologinis tyrimas pagal šalies, į kurią vykstama, reikalavimus ar medicinines indikacijas</w:t>
                    </w:r>
                  </w:p>
                  <w:p>
                    <w:pPr>
                      <w:widowControl w:val="0"/>
                      <w:ind w:left="360"/>
                      <w:rPr>
                        <w:sz w:val="14"/>
                      </w:rPr>
                    </w:pPr>
                    <w:r>
                      <w:rPr>
                        <w:sz w:val="14"/>
                      </w:rPr>
                      <w:t>EKG pagal medicinines indikacijas</w:t>
                    </w:r>
                  </w:p>
                </w:tc>
              </w:tr>
            </w:tbl>
            <w:p>
              <w:pPr>
                <w:widowControl w:val="0"/>
                <w:tabs>
                  <w:tab w:val="left" w:pos="2098"/>
                  <w:tab w:val="left" w:pos="4649"/>
                </w:tabs>
                <w:ind w:left="360"/>
                <w:jc w:val="center"/>
              </w:pPr>
              <w:r>
                <w:t>______________</w:t>
              </w:r>
            </w:p>
          </w:sdtContent>
        </w:sdt>
      </w:sdtContent>
    </w:sdt>
    <w:sdt>
      <w:sdtPr>
        <w:alias w:val="10 pr."/>
        <w:tag w:val="part_82810ee2ef564b7490b94db71340776a"/>
        <w:lock w:val="sdtLocked"/>
        <w:richText/>
      </w:sdtPr>
      <w:sdtContent>
        <w:p>
          <w:pPr>
            <w:tabs>
              <w:tab w:val="left" w:pos="1304"/>
              <w:tab w:val="left" w:pos="1457"/>
              <w:tab w:val="left" w:pos="1604"/>
              <w:tab w:val="left" w:pos="1757"/>
            </w:tabs>
            <w:ind w:left="5102"/>
            <w:sectPr>
              <w:headerReference w:type="even" r:id="rId45"/>
              <w:headerReference w:type="default" r:id="rId46"/>
              <w:footerReference w:type="even" r:id="rId47"/>
              <w:footerReference w:type="default" r:id="rId48"/>
              <w:headerReference w:type="first" r:id="rId49"/>
              <w:footerReference w:type="first" r:id="rId50"/>
              <w:pgSz w:w="11906" w:h="16838" w:code="9"/>
              <w:pgMar w:top="992" w:right="567" w:bottom="851" w:left="1701" w:header="340" w:footer="510" w:gutter="0"/>
              <w:pgNumType w:start="1"/>
              <w:cols w:space="1296"/>
              <w:titlePg/>
              <w:docGrid w:linePitch="360"/>
            </w:sectPr>
          </w:pPr>
        </w:p>
        <w:p>
          <w:pPr>
            <w:tabs>
              <w:tab w:val="left" w:pos="1304"/>
              <w:tab w:val="left" w:pos="1457"/>
              <w:tab w:val="left" w:pos="1604"/>
              <w:tab w:val="left" w:pos="1757"/>
            </w:tabs>
            <w:ind w:left="5102"/>
            <w:rPr>
              <w:color w:val="000000"/>
              <w:szCs w:val="24"/>
            </w:rPr>
          </w:pPr>
          <w:r>
            <w:rPr>
              <w:color w:val="000000"/>
              <w:szCs w:val="24"/>
            </w:rPr>
            <w:t>PATVIRTINTA</w:t>
          </w:r>
        </w:p>
        <w:p>
          <w:pPr>
            <w:tabs>
              <w:tab w:val="left" w:pos="1304"/>
              <w:tab w:val="left" w:pos="1457"/>
              <w:tab w:val="left" w:pos="1604"/>
              <w:tab w:val="left" w:pos="1757"/>
            </w:tabs>
            <w:ind w:left="5102"/>
            <w:rPr>
              <w:color w:val="000000"/>
              <w:szCs w:val="24"/>
            </w:rPr>
          </w:pPr>
          <w:r>
            <w:rPr>
              <w:color w:val="000000"/>
              <w:szCs w:val="24"/>
            </w:rPr>
            <w:t xml:space="preserve">Lietuvos Respublikos </w:t>
          </w:r>
        </w:p>
        <w:p>
          <w:pPr>
            <w:tabs>
              <w:tab w:val="left" w:pos="1304"/>
              <w:tab w:val="left" w:pos="1457"/>
              <w:tab w:val="left" w:pos="1604"/>
              <w:tab w:val="left" w:pos="1757"/>
            </w:tabs>
            <w:ind w:left="5102"/>
            <w:rPr>
              <w:color w:val="000000"/>
              <w:szCs w:val="24"/>
            </w:rPr>
          </w:pPr>
          <w:r>
            <w:rPr>
              <w:color w:val="000000"/>
              <w:szCs w:val="24"/>
            </w:rPr>
            <w:t xml:space="preserve">sveikatos apsaugos ministro </w:t>
          </w:r>
        </w:p>
        <w:p>
          <w:pPr>
            <w:tabs>
              <w:tab w:val="left" w:pos="1304"/>
              <w:tab w:val="left" w:pos="1457"/>
              <w:tab w:val="left" w:pos="1604"/>
              <w:tab w:val="left" w:pos="1757"/>
            </w:tabs>
            <w:ind w:left="5102"/>
            <w:rPr>
              <w:color w:val="000000"/>
              <w:szCs w:val="24"/>
            </w:rPr>
          </w:pPr>
          <w:smartTag w:uri="urn:schemas-microsoft-com:office:smarttags" w:element="metricconverter">
            <w:smartTagPr>
              <w:attr w:name="ProductID" w:val="2000 m"/>
            </w:smartTagPr>
            <w:r>
              <w:rPr>
                <w:color w:val="000000"/>
                <w:szCs w:val="24"/>
              </w:rPr>
              <w:t>2000 m</w:t>
            </w:r>
          </w:smartTag>
          <w:r>
            <w:rPr>
              <w:color w:val="000000"/>
              <w:szCs w:val="24"/>
            </w:rPr>
            <w:t>. gegužės 31 d. įsakymu Nr. 301</w:t>
          </w:r>
        </w:p>
        <w:p>
          <w:pPr>
            <w:tabs>
              <w:tab w:val="left" w:pos="1304"/>
              <w:tab w:val="left" w:pos="1457"/>
              <w:tab w:val="left" w:pos="1604"/>
              <w:tab w:val="left" w:pos="1757"/>
            </w:tabs>
            <w:ind w:left="5102"/>
            <w:rPr>
              <w:color w:val="000000"/>
              <w:szCs w:val="24"/>
            </w:rPr>
          </w:pPr>
          <w:r>
            <w:rPr>
              <w:color w:val="000000"/>
              <w:szCs w:val="24"/>
            </w:rPr>
            <w:t xml:space="preserve">(Lietuvos Respublikos </w:t>
          </w:r>
        </w:p>
        <w:p>
          <w:pPr>
            <w:tabs>
              <w:tab w:val="left" w:pos="1304"/>
              <w:tab w:val="left" w:pos="1457"/>
              <w:tab w:val="left" w:pos="1604"/>
              <w:tab w:val="left" w:pos="1757"/>
            </w:tabs>
            <w:ind w:left="5102"/>
            <w:rPr>
              <w:color w:val="000000"/>
              <w:szCs w:val="24"/>
            </w:rPr>
          </w:pPr>
          <w:r>
            <w:rPr>
              <w:color w:val="000000"/>
              <w:szCs w:val="24"/>
            </w:rPr>
            <w:t xml:space="preserve">sveikatos apsaugos ministro </w:t>
          </w:r>
        </w:p>
        <w:p>
          <w:pPr>
            <w:tabs>
              <w:tab w:val="left" w:pos="1304"/>
              <w:tab w:val="left" w:pos="1457"/>
              <w:tab w:val="left" w:pos="1604"/>
              <w:tab w:val="left" w:pos="1757"/>
            </w:tabs>
            <w:ind w:left="5102"/>
            <w:rPr>
              <w:color w:val="000000"/>
              <w:szCs w:val="24"/>
            </w:rPr>
          </w:pPr>
          <w:r>
            <w:rPr>
              <w:color w:val="000000"/>
              <w:szCs w:val="24"/>
            </w:rPr>
            <w:t xml:space="preserve">2019 m. sausio 3 d. įsakymo </w:t>
          </w:r>
        </w:p>
        <w:p>
          <w:pPr>
            <w:tabs>
              <w:tab w:val="left" w:pos="1304"/>
              <w:tab w:val="left" w:pos="1457"/>
              <w:tab w:val="left" w:pos="1604"/>
              <w:tab w:val="left" w:pos="1757"/>
            </w:tabs>
            <w:ind w:left="5102"/>
            <w:rPr>
              <w:color w:val="000000"/>
              <w:szCs w:val="24"/>
            </w:rPr>
          </w:pPr>
          <w:r>
            <w:rPr>
              <w:color w:val="000000"/>
              <w:szCs w:val="24"/>
            </w:rPr>
            <w:t>Nr. V-12 redakcija)</w:t>
          </w:r>
        </w:p>
        <w:p>
          <w:pPr>
            <w:tabs>
              <w:tab w:val="left" w:pos="1304"/>
              <w:tab w:val="left" w:pos="1457"/>
              <w:tab w:val="left" w:pos="1604"/>
              <w:tab w:val="left" w:pos="1757"/>
            </w:tabs>
            <w:ind w:left="5102"/>
            <w:rPr>
              <w:color w:val="000000"/>
              <w:szCs w:val="24"/>
            </w:rPr>
          </w:pPr>
          <w:sdt>
            <w:sdtPr>
              <w:alias w:val="Numeris"/>
              <w:tag w:val="nr_82810ee2ef564b7490b94db71340776a"/>
              <w:lock w:val="sdtLocked"/>
              <w:richText/>
            </w:sdtPr>
            <w:sdtContent>
              <w:r>
                <w:rPr>
                  <w:color w:val="000000"/>
                  <w:szCs w:val="24"/>
                </w:rPr>
                <w:t>10</w:t>
              </w:r>
            </w:sdtContent>
          </w:sdt>
          <w:r>
            <w:rPr>
              <w:color w:val="000000"/>
              <w:szCs w:val="24"/>
            </w:rPr>
            <w:t xml:space="preserve"> priedas</w:t>
          </w:r>
        </w:p>
        <w:p>
          <w:pPr>
            <w:widowControl w:val="0"/>
            <w:ind w:left="5462"/>
            <w:rPr>
              <w:color w:val="000000"/>
              <w:szCs w:val="24"/>
            </w:rPr>
          </w:pPr>
        </w:p>
        <w:p>
          <w:pPr>
            <w:jc w:val="center"/>
            <w:rPr>
              <w:b/>
              <w:bCs/>
              <w:szCs w:val="24"/>
            </w:rPr>
          </w:pPr>
          <w:sdt>
            <w:sdtPr>
              <w:alias w:val="Pavadinimas"/>
              <w:tag w:val="title_82810ee2ef564b7490b94db71340776a"/>
              <w:lock w:val="sdtLocked"/>
              <w:richText/>
            </w:sdtPr>
            <w:sdtContent>
              <w:r>
                <w:rPr>
                  <w:b/>
                  <w:bCs/>
                  <w:szCs w:val="24"/>
                </w:rPr>
                <w:t>LICENCIJUOJAMŲ CIVILINĖS AVIACIJOS SPECIALISTŲ SVEIKATOS BŪKLĖS TIKRINIMO TVARKOS APRAŠAS</w:t>
              </w:r>
            </w:sdtContent>
          </w:sdt>
        </w:p>
        <w:p>
          <w:pPr>
            <w:ind w:firstLine="62"/>
            <w:jc w:val="center"/>
            <w:rPr>
              <w:b/>
              <w:caps/>
              <w:color w:val="000000"/>
              <w:szCs w:val="24"/>
            </w:rPr>
          </w:pPr>
        </w:p>
        <w:p>
          <w:pPr>
            <w:pStyle w:val="PlainText"/>
            <w:rPr>
              <w:rFonts w:ascii="Times New Roman" w:eastAsia="MS Mincho" w:hAnsi="Times New Roman"/>
              <w:sz w:val="20"/>
              <w:i/>
              <w:iCs/>
            </w:rPr>
          </w:pPr>
          <w:r>
            <w:rPr>
              <w:rFonts w:ascii="Times New Roman" w:eastAsia="MS Mincho" w:hAnsi="Times New Roman"/>
              <w:sz w:val="20"/>
              <w:i/>
              <w:iCs/>
            </w:rPr>
            <w:t>Pakeistas priedo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7E759DF5DFE">
            <w:r w:rsidRPr="00532B9F">
              <w:rPr>
                <w:rFonts w:ascii="Times New Roman" w:eastAsia="MS Mincho" w:hAnsi="Times New Roman"/>
                <w:sz w:val="20"/>
                <w:i/>
                <w:iCs/>
                <w:color w:val="0000FF" w:themeColor="hyperlink"/>
                <w:u w:val="single"/>
              </w:rPr>
              <w:t>V-649</w:t>
            </w:r>
          </w:fldSimple>
          <w:r>
            <w:rPr>
              <w:rFonts w:ascii="Times New Roman" w:eastAsia="MS Mincho" w:hAnsi="Times New Roman"/>
              <w:sz w:val="20"/>
              <w:i/>
              <w:iCs/>
            </w:rPr>
            <w:t>,
2008-06-28,
Žin., 2008, Nr.
76-3030 (2008-07-05), i. k. 1082250ISAK000V-649        </w:t>
          </w:r>
        </w:p>
        <w:p/>
        <w:sdt>
          <w:sdtPr>
            <w:alias w:val="10 pr. 1 p."/>
            <w:tag w:val="part_227f06e3adef4b738850f2cd86922c73"/>
            <w:lock w:val="sdtLocked"/>
            <w:richText/>
          </w:sdtPr>
          <w:sdtContent>
            <w:p>
              <w:pPr>
                <w:widowControl w:val="0"/>
                <w:ind w:firstLine="1069"/>
                <w:jc w:val="both"/>
                <w:rPr>
                  <w:color w:val="000000"/>
                  <w:szCs w:val="24"/>
                </w:rPr>
              </w:pPr>
              <w:sdt>
                <w:sdtPr>
                  <w:alias w:val="Numeris"/>
                  <w:tag w:val="nr_227f06e3adef4b738850f2cd86922c73"/>
                  <w:lock w:val="sdtLocked"/>
                  <w:richText/>
                </w:sdtPr>
                <w:sdtContent>
                  <w:r>
                    <w:rPr>
                      <w:bCs/>
                      <w:szCs w:val="24"/>
                    </w:rPr>
                    <w:t>1</w:t>
                  </w:r>
                </w:sdtContent>
              </w:sdt>
              <w:r>
                <w:rPr>
                  <w:bCs/>
                  <w:szCs w:val="24"/>
                </w:rPr>
                <w:t>. Licencijuojamų civilinės aviacijos specialistų (toliau – aviacijos specialistai) sveikatos būklės tikrinimo t</w:t>
              </w:r>
              <w:r>
                <w:rPr>
                  <w:color w:val="000000"/>
                  <w:szCs w:val="24"/>
                </w:rPr>
                <w:t>ikslas – nustatyti, ar aviacijos specialistas pagal savo sveikatos būklę gali siekti gauti (mokytis) ar naudotis teisėmis, nurodytomis licencijoje, ir atlikti joje nurodytas pareigas.</w:t>
              </w:r>
            </w:p>
          </w:sdtContent>
        </w:sdt>
        <w:sdt>
          <w:sdtPr>
            <w:alias w:val="10 pr. 2 p."/>
            <w:tag w:val="part_6089dc0c6f214efabb500ce1c34465a7"/>
            <w:lock w:val="sdtLocked"/>
            <w:richText/>
          </w:sdtPr>
          <w:sdtContent>
            <w:p>
              <w:pPr>
                <w:widowControl w:val="0"/>
                <w:ind w:firstLine="1069"/>
                <w:jc w:val="both"/>
                <w:rPr>
                  <w:bCs/>
                  <w:szCs w:val="24"/>
                </w:rPr>
              </w:pPr>
              <w:sdt>
                <w:sdtPr>
                  <w:alias w:val="Numeris"/>
                  <w:tag w:val="nr_6089dc0c6f214efabb500ce1c34465a7"/>
                  <w:lock w:val="sdtLocked"/>
                  <w:richText/>
                </w:sdtPr>
                <w:sdtContent>
                  <w:r>
                    <w:rPr>
                      <w:color w:val="000000"/>
                      <w:szCs w:val="24"/>
                    </w:rPr>
                    <w:t>2</w:t>
                  </w:r>
                </w:sdtContent>
              </w:sdt>
              <w:r>
                <w:rPr>
                  <w:color w:val="000000"/>
                  <w:szCs w:val="24"/>
                </w:rPr>
                <w:t>. A</w:t>
              </w:r>
              <w:r>
                <w:rPr>
                  <w:bCs/>
                  <w:szCs w:val="24"/>
                </w:rPr>
                <w:t>viacijos specialistų sveikatos būklės tikrinimas atliekamas įstaigoje, turinčioje licenciją teikti asmens sveikatos priežiūros paslaugas.</w:t>
              </w:r>
            </w:p>
          </w:sdtContent>
        </w:sdt>
        <w:sdt>
          <w:sdtPr>
            <w:alias w:val="10 pr. 3 p."/>
            <w:tag w:val="part_f0be24370f7e464588fd33216931977f"/>
            <w:lock w:val="sdtLocked"/>
            <w:richText/>
          </w:sdtPr>
          <w:sdtContent>
            <w:p>
              <w:pPr>
                <w:widowControl w:val="0"/>
                <w:ind w:firstLine="1069"/>
                <w:jc w:val="both"/>
                <w:rPr>
                  <w:b/>
                  <w:szCs w:val="24"/>
                </w:rPr>
              </w:pPr>
              <w:sdt>
                <w:sdtPr>
                  <w:alias w:val="Numeris"/>
                  <w:tag w:val="nr_f0be24370f7e464588fd33216931977f"/>
                  <w:lock w:val="sdtLocked"/>
                  <w:richText/>
                </w:sdtPr>
                <w:sdtContent>
                  <w:r>
                    <w:rPr>
                      <w:bCs/>
                      <w:szCs w:val="24"/>
                    </w:rPr>
                    <w:t>3</w:t>
                  </w:r>
                </w:sdtContent>
              </w:sdt>
              <w:r>
                <w:rPr>
                  <w:bCs/>
                  <w:szCs w:val="24"/>
                </w:rPr>
                <w:t xml:space="preserve">. Aviacijos specialistų sveikatos būklę tikrina </w:t>
              </w:r>
              <w:r>
                <w:rPr>
                  <w:szCs w:val="24"/>
                </w:rPr>
                <w:t>gydytojas, turintis medicinos praktikos licenciją verstis medicinos praktika pagal įgytą profesinę kvalifikaciją ir kompetentingos institucijos išduotą aviacijos medicinos gydytojo pažymėjimą (toliau – aviacijos medicinos gydytojas).</w:t>
              </w:r>
              <w:r>
                <w:rPr>
                  <w:b/>
                  <w:szCs w:val="24"/>
                </w:rPr>
                <w:t xml:space="preserve"> </w:t>
              </w:r>
            </w:p>
          </w:sdtContent>
        </w:sdt>
        <w:sdt>
          <w:sdtPr>
            <w:alias w:val="10 pr. 4 p."/>
            <w:tag w:val="part_dee0611f23534addb7287255f30008d2"/>
            <w:lock w:val="sdtLocked"/>
            <w:richText/>
          </w:sdtPr>
          <w:sdtContent>
            <w:p>
              <w:pPr>
                <w:widowControl w:val="0"/>
                <w:ind w:firstLine="1069"/>
                <w:jc w:val="both"/>
                <w:rPr>
                  <w:szCs w:val="24"/>
                </w:rPr>
              </w:pPr>
              <w:sdt>
                <w:sdtPr>
                  <w:alias w:val="Numeris"/>
                  <w:tag w:val="nr_dee0611f23534addb7287255f30008d2"/>
                  <w:lock w:val="sdtLocked"/>
                  <w:richText/>
                </w:sdtPr>
                <w:sdtContent>
                  <w:r>
                    <w:rPr>
                      <w:szCs w:val="24"/>
                    </w:rPr>
                    <w:t>4</w:t>
                  </w:r>
                </w:sdtContent>
              </w:sdt>
              <w:r>
                <w:rPr>
                  <w:szCs w:val="24"/>
                </w:rPr>
                <w:t xml:space="preserve">. Aviacijos medicinos gydytojas aviacijos specialistų </w:t>
              </w:r>
              <w:r>
                <w:rPr>
                  <w:bCs/>
                  <w:szCs w:val="24"/>
                </w:rPr>
                <w:t xml:space="preserve">sveikatos būklę tikrina vadovaudamasis </w:t>
              </w:r>
              <w:r>
                <w:rPr>
                  <w:szCs w:val="24"/>
                </w:rPr>
                <w:t>atitinkamais Europos Sąjungos teisės aktuose nustatytais  aviacijos specialistų sveikatos tikrinimo reikalavimais.</w:t>
              </w:r>
            </w:p>
            <w:p>
              <w:pPr>
                <w:widowControl w:val="0"/>
                <w:ind w:firstLine="1069"/>
                <w:jc w:val="both"/>
                <w:rPr>
                  <w:bCs/>
                  <w:szCs w:val="24"/>
                </w:rPr>
              </w:pPr>
            </w:p>
          </w:sdtContent>
        </w:sdt>
        <w:sdt>
          <w:sdtPr>
            <w:alias w:val="pabaiga"/>
            <w:tag w:val="part_e43473c7b5e94a02a3c6c8b1a01d9187"/>
            <w:lock w:val="sdtLocked"/>
            <w:richText/>
          </w:sdtPr>
          <w:sdtContent>
            <w:p>
              <w:pPr>
                <w:jc w:val="center"/>
              </w:pPr>
              <w:r>
                <w:rPr>
                  <w:sz w:val="22"/>
                  <w:szCs w:val="24"/>
                </w:rPr>
                <w:t>_________________________________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7E759DF5DFE">
            <w:r w:rsidRPr="00532B9F">
              <w:rPr>
                <w:rFonts w:ascii="Times New Roman" w:eastAsia="MS Mincho" w:hAnsi="Times New Roman"/>
                <w:sz w:val="20"/>
                <w:i/>
                <w:iCs/>
                <w:color w:val="0000FF" w:themeColor="hyperlink"/>
                <w:u w:val="single"/>
              </w:rPr>
              <w:t>V-649</w:t>
            </w:r>
          </w:fldSimple>
          <w:r>
            <w:rPr>
              <w:rFonts w:ascii="Times New Roman" w:eastAsia="MS Mincho" w:hAnsi="Times New Roman"/>
              <w:sz w:val="20"/>
              <w:i/>
              <w:iCs/>
            </w:rPr>
            <w:t>,
2008-06-28,
Žin., 2008, Nr.
76-3030 (2008-07-05), i. k. 1082250ISAK000V-649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bf82d0127b11e9b2b6e7cdb14007b4">
            <w:r w:rsidRPr="00532B9F">
              <w:rPr>
                <w:rFonts w:ascii="Times New Roman" w:eastAsia="MS Mincho" w:hAnsi="Times New Roman"/>
                <w:sz w:val="20"/>
                <w:i/>
                <w:iCs/>
                <w:color w:val="0000FF" w:themeColor="hyperlink"/>
                <w:u w:val="single"/>
              </w:rPr>
              <w:t>V-12</w:t>
            </w:r>
          </w:fldSimple>
          <w:r>
            <w:rPr>
              <w:rFonts w:ascii="Times New Roman" w:eastAsia="MS Mincho" w:hAnsi="Times New Roman"/>
              <w:sz w:val="20"/>
              <w:i/>
              <w:iCs/>
            </w:rPr>
            <w:t>,
2019-01-03,
paskelbta TAR 2019-01-07, i. k. 2019-00194            </w:t>
          </w:r>
        </w:p>
        <w:p/>
      </w:sdtContent>
    </w:sdt>
    <w:sdt>
      <w:sdtPr>
        <w:alias w:val="11 pr."/>
        <w:tag w:val="part_8d7263feddb942499b31d04640026346"/>
        <w:lock w:val="sdtLocked"/>
        <w:richText/>
      </w:sdtPr>
      <w:sdtContent>
        <w:p>
          <w:pPr>
            <w:keepNext/>
            <w:ind w:left="6210" w:firstLine="270"/>
            <w:jc w:val="both"/>
            <w:sectPr>
              <w:pgSz w:w="11906" w:h="16838"/>
              <w:pgMar w:top="1134" w:right="1134" w:bottom="1134" w:left="1701" w:header="567" w:footer="567" w:gutter="0"/>
              <w:pgNumType w:start="1"/>
              <w:cols w:space="1296"/>
              <w:noEndnote/>
              <w:titlePg/>
              <w:docGrid w:linePitch="326"/>
            </w:sectPr>
          </w:pPr>
        </w:p>
        <w:p>
          <w:pPr>
            <w:keepNext/>
            <w:ind w:left="5192"/>
            <w:jc w:val="both"/>
          </w:pPr>
          <w:r>
            <w:t>PATVIRTINTA</w:t>
          </w:r>
        </w:p>
        <w:p>
          <w:pPr>
            <w:keepNext/>
            <w:ind w:left="5192"/>
            <w:jc w:val="both"/>
          </w:pPr>
          <w:r>
            <w:t xml:space="preserve">Lietuvos Respublikos </w:t>
          </w:r>
        </w:p>
        <w:p>
          <w:pPr>
            <w:keepNext/>
            <w:ind w:left="5192"/>
            <w:jc w:val="both"/>
          </w:pPr>
          <w:r>
            <w:t xml:space="preserve">sveikatos apsaugos ministro </w:t>
          </w:r>
        </w:p>
        <w:p>
          <w:pPr>
            <w:ind w:left="5192"/>
            <w:jc w:val="both"/>
            <w:rPr>
              <w:szCs w:val="24"/>
            </w:rPr>
          </w:pPr>
          <w:r>
            <w:rPr>
              <w:szCs w:val="24"/>
            </w:rPr>
            <w:t xml:space="preserve">2000 m. gegužės 31 d. </w:t>
          </w:r>
        </w:p>
        <w:p>
          <w:pPr>
            <w:ind w:left="5192"/>
            <w:jc w:val="both"/>
            <w:rPr>
              <w:szCs w:val="24"/>
            </w:rPr>
          </w:pPr>
          <w:r>
            <w:rPr>
              <w:szCs w:val="24"/>
            </w:rPr>
            <w:t xml:space="preserve">įsakymu Nr. 301 </w:t>
          </w:r>
        </w:p>
        <w:p>
          <w:pPr>
            <w:keepNext/>
            <w:ind w:left="5192"/>
            <w:jc w:val="both"/>
          </w:pPr>
          <w:r>
            <w:t xml:space="preserve">(Lietuvos Respublikos </w:t>
          </w:r>
        </w:p>
        <w:p>
          <w:pPr>
            <w:keepNext/>
            <w:ind w:left="5192"/>
            <w:jc w:val="both"/>
          </w:pPr>
          <w:r>
            <w:t xml:space="preserve">sveikatos apsaugos ministro </w:t>
          </w:r>
        </w:p>
        <w:p>
          <w:pPr>
            <w:ind w:left="5192"/>
            <w:jc w:val="both"/>
            <w:rPr>
              <w:szCs w:val="24"/>
            </w:rPr>
          </w:pPr>
          <w:r>
            <w:rPr>
              <w:szCs w:val="24"/>
            </w:rPr>
            <w:t xml:space="preserve">2013 m. kovo 5 d. </w:t>
          </w:r>
        </w:p>
        <w:p>
          <w:pPr>
            <w:ind w:left="5192"/>
            <w:jc w:val="both"/>
            <w:rPr>
              <w:szCs w:val="24"/>
            </w:rPr>
          </w:pPr>
          <w:r>
            <w:rPr>
              <w:szCs w:val="24"/>
            </w:rPr>
            <w:t>įsakymo Nr. V-320 redakcija)</w:t>
          </w:r>
        </w:p>
        <w:p>
          <w:pPr>
            <w:ind w:left="5192"/>
            <w:jc w:val="both"/>
            <w:rPr>
              <w:szCs w:val="24"/>
            </w:rPr>
          </w:pPr>
          <w:sdt>
            <w:sdtPr>
              <w:alias w:val="Numeris"/>
              <w:tag w:val="nr_8d7263feddb942499b31d04640026346"/>
              <w:lock w:val="sdtLocked"/>
              <w:richText/>
            </w:sdtPr>
            <w:sdtContent>
              <w:r>
                <w:rPr>
                  <w:szCs w:val="24"/>
                </w:rPr>
                <w:t>11</w:t>
              </w:r>
            </w:sdtContent>
          </w:sdt>
          <w:r>
            <w:rPr>
              <w:szCs w:val="24"/>
            </w:rPr>
            <w:t xml:space="preserve"> priedas</w:t>
          </w:r>
        </w:p>
        <w:p>
          <w:pPr>
            <w:keepNext/>
            <w:jc w:val="center"/>
            <w:outlineLvl w:val="5"/>
            <w:rPr>
              <w:b/>
              <w:color w:val="000000"/>
              <w:szCs w:val="24"/>
            </w:rPr>
          </w:pPr>
        </w:p>
        <w:p>
          <w:pPr>
            <w:keepNext/>
            <w:jc w:val="center"/>
            <w:outlineLvl w:val="5"/>
            <w:rPr>
              <w:b/>
              <w:color w:val="000000"/>
              <w:szCs w:val="24"/>
            </w:rPr>
          </w:pPr>
          <w:sdt>
            <w:sdtPr>
              <w:alias w:val="Pavadinimas"/>
              <w:tag w:val="title_8d7263feddb942499b31d04640026346"/>
              <w:lock w:val="sdtLocked"/>
              <w:richText/>
            </w:sdtPr>
            <w:sdtContent>
              <w:r>
                <w:rPr>
                  <w:b/>
                  <w:color w:val="000000"/>
                  <w:szCs w:val="24"/>
                </w:rPr>
                <w:t>JŪRININKŲ IR VIDAUS VANDENŲ TRANSPORTO SPECIALISTŲ BEI MOTORINIŲ PRAMOGINIŲ LAIVŲ IR KITŲ MOTORINIŲ PLAUKIOJIMO PRIEMONIŲ LAIVAVEDŽIŲ SVEIKATOS TIKRINIMO TVARKOS APRAŠAS</w:t>
              </w:r>
            </w:sdtContent>
          </w:sdt>
        </w:p>
        <w:p>
          <w:pPr>
            <w:keepNext/>
            <w:ind w:left="568"/>
            <w:jc w:val="center"/>
            <w:outlineLvl w:val="1"/>
            <w:rPr>
              <w:b/>
              <w:szCs w:val="24"/>
            </w:rPr>
          </w:pPr>
        </w:p>
        <w:sdt>
          <w:sdtPr>
            <w:alias w:val="skyrius"/>
            <w:tag w:val="part_32ccb9ddeb984219866be6e01bb775c9"/>
            <w:lock w:val="sdtLocked"/>
            <w:richText/>
          </w:sdtPr>
          <w:sdtContent>
            <w:p>
              <w:pPr>
                <w:keepNext/>
                <w:ind w:left="1288"/>
                <w:jc w:val="center"/>
                <w:outlineLvl w:val="1"/>
                <w:rPr>
                  <w:b/>
                  <w:szCs w:val="24"/>
                </w:rPr>
              </w:pPr>
              <w:sdt>
                <w:sdtPr>
                  <w:alias w:val="Numeris"/>
                  <w:tag w:val="nr_32ccb9ddeb984219866be6e01bb775c9"/>
                  <w:lock w:val="sdtLocked"/>
                  <w:richText/>
                </w:sdtPr>
                <w:sdtContent>
                  <w:r>
                    <w:rPr>
                      <w:b/>
                      <w:szCs w:val="24"/>
                    </w:rPr>
                    <w:t>I</w:t>
                  </w:r>
                </w:sdtContent>
              </w:sdt>
              <w:r>
                <w:rPr>
                  <w:b/>
                  <w:szCs w:val="24"/>
                </w:rPr>
                <w:t xml:space="preserve">. </w:t>
              </w:r>
              <w:sdt>
                <w:sdtPr>
                  <w:alias w:val="Pavadinimas"/>
                  <w:tag w:val="title_32ccb9ddeb984219866be6e01bb775c9"/>
                  <w:lock w:val="sdtLocked"/>
                  <w:richText/>
                </w:sdtPr>
                <w:sdtContent>
                  <w:r>
                    <w:rPr>
                      <w:b/>
                      <w:szCs w:val="24"/>
                    </w:rPr>
                    <w:t>BENDROSIOS NUOSTATOS</w:t>
                  </w:r>
                </w:sdtContent>
              </w:sdt>
            </w:p>
            <w:p>
              <w:pPr>
                <w:rPr>
                  <w:sz w:val="20"/>
                </w:rPr>
              </w:pPr>
            </w:p>
            <w:sdt>
              <w:sdtPr>
                <w:alias w:val="11 pr. 1 p."/>
                <w:tag w:val="part_ba16f3e960ea4d37bf1a7b1dca6f2706"/>
                <w:lock w:val="sdtLocked"/>
                <w:richText/>
              </w:sdtPr>
              <w:sdtContent>
                <w:p>
                  <w:pPr>
                    <w:ind w:firstLine="709"/>
                    <w:jc w:val="both"/>
                    <w:rPr>
                      <w:szCs w:val="24"/>
                    </w:rPr>
                  </w:pPr>
                  <w:sdt>
                    <w:sdtPr>
                      <w:alias w:val="Numeris"/>
                      <w:tag w:val="nr_ba16f3e960ea4d37bf1a7b1dca6f2706"/>
                      <w:lock w:val="sdtLocked"/>
                      <w:richText/>
                    </w:sdtPr>
                    <w:sdtContent>
                      <w:r>
                        <w:rPr>
                          <w:szCs w:val="24"/>
                        </w:rPr>
                        <w:t>1</w:t>
                      </w:r>
                    </w:sdtContent>
                  </w:sdt>
                  <w:r>
                    <w:rPr>
                      <w:szCs w:val="24"/>
                    </w:rPr>
                    <w:t xml:space="preserve">. Jūrininkų ir vidaus vandenų transporto specialistų bei motorinių pramoginių laivų ir kitų motorinių plaukiojimo priemonių laivavedžių sveikatos tikrinimo tvarkos aprašas (toliau – Aprašas) nustato išankstinių (prieš įsidarbinant), periodinių (dirbant) ir neeilinių privalomų profilaktinių sveikatos tikrinimų (toliau – sveikatos tikrinimo) reikalavimus ir sveikatos pažymėjimų išdavimo tvarką. </w:t>
                  </w:r>
                </w:p>
              </w:sdtContent>
            </w:sdt>
            <w:sdt>
              <w:sdtPr>
                <w:alias w:val="11 pr. 2 p."/>
                <w:tag w:val="part_d69d8b7f0e2142d58322719293013b09"/>
                <w:lock w:val="sdtLocked"/>
                <w:richText/>
              </w:sdtPr>
              <w:sdtContent>
                <w:p>
                  <w:pPr>
                    <w:ind w:firstLine="709"/>
                    <w:jc w:val="both"/>
                    <w:rPr>
                      <w:szCs w:val="24"/>
                    </w:rPr>
                  </w:pPr>
                  <w:sdt>
                    <w:sdtPr>
                      <w:alias w:val="Numeris"/>
                      <w:tag w:val="nr_d69d8b7f0e2142d58322719293013b09"/>
                      <w:lock w:val="sdtLocked"/>
                      <w:richText/>
                    </w:sdtPr>
                    <w:sdtContent>
                      <w:r>
                        <w:rPr>
                          <w:szCs w:val="24"/>
                        </w:rPr>
                        <w:t>2</w:t>
                      </w:r>
                    </w:sdtContent>
                  </w:sdt>
                  <w:r>
                    <w:rPr>
                      <w:szCs w:val="24"/>
                    </w:rPr>
                    <w:t>. Sveikatos tikrinimo tikslas – nustatyti, ar tikrinamo asmens sveikatos būklė atitinka šiame Apraše nustatytus sveikatos būklės reikalavimus.</w:t>
                  </w:r>
                </w:p>
              </w:sdtContent>
            </w:sdt>
            <w:sdt>
              <w:sdtPr>
                <w:alias w:val="11 pr. 3 p."/>
                <w:tag w:val="part_1f802939952749c3bc1103154a44051c"/>
                <w:lock w:val="sdtLocked"/>
                <w:richText/>
              </w:sdtPr>
              <w:sdtContent>
                <w:p>
                  <w:pPr>
                    <w:ind w:firstLine="709"/>
                    <w:jc w:val="both"/>
                    <w:rPr>
                      <w:color w:val="000000"/>
                      <w:szCs w:val="24"/>
                    </w:rPr>
                  </w:pPr>
                  <w:sdt>
                    <w:sdtPr>
                      <w:alias w:val="Numeris"/>
                      <w:tag w:val="nr_1f802939952749c3bc1103154a44051c"/>
                      <w:lock w:val="sdtLocked"/>
                      <w:richText/>
                    </w:sdtPr>
                    <w:sdtContent>
                      <w:r>
                        <w:rPr>
                          <w:szCs w:val="24"/>
                        </w:rPr>
                        <w:t>3</w:t>
                      </w:r>
                    </w:sdtContent>
                  </w:sdt>
                  <w:r>
                    <w:rPr>
                      <w:szCs w:val="24"/>
                    </w:rPr>
                    <w:t xml:space="preserve">. Aprašas taikomas visiems jūrininkams ir vidaus vandenų transporto specialistams bei motorinių pramoginių laivų ir kitų motorinių plaukiojimo priemonių laivavedžiams ir asmens sveikatos priežiūros įstaigoms, kur tikrinama šiame punkte nurodytų asmenų sveikata. </w:t>
                  </w:r>
                </w:p>
              </w:sdtContent>
            </w:sdt>
            <w:sdt>
              <w:sdtPr>
                <w:alias w:val="11 pr. 4 p."/>
                <w:tag w:val="part_23bfcc2cf4b04ad1ae921748c138157c"/>
                <w:lock w:val="sdtLocked"/>
                <w:richText/>
              </w:sdtPr>
              <w:sdtContent>
                <w:p>
                  <w:pPr>
                    <w:ind w:firstLine="709"/>
                    <w:jc w:val="both"/>
                    <w:rPr>
                      <w:szCs w:val="24"/>
                      <w:lang w:eastAsia="x-none"/>
                    </w:rPr>
                  </w:pPr>
                  <w:sdt>
                    <w:sdtPr>
                      <w:alias w:val="Numeris"/>
                      <w:tag w:val="nr_23bfcc2cf4b04ad1ae921748c138157c"/>
                      <w:lock w:val="sdtLocked"/>
                      <w:richText/>
                    </w:sdtPr>
                    <w:sdtContent>
                      <w:r>
                        <w:rPr>
                          <w:szCs w:val="24"/>
                          <w:lang w:eastAsia="x-none"/>
                        </w:rPr>
                        <w:t>4</w:t>
                      </w:r>
                    </w:sdtContent>
                  </w:sdt>
                  <w:r>
                    <w:rPr>
                      <w:szCs w:val="24"/>
                      <w:lang w:eastAsia="x-none"/>
                    </w:rPr>
                    <w:t>. Aprašas netaikomas karinio laivyno, karinio laivyno pagalbinių laivų, pakrančių apsaugos laivų personalui.</w:t>
                  </w:r>
                </w:p>
              </w:sdtContent>
            </w:sdt>
            <w:sdt>
              <w:sdtPr>
                <w:alias w:val="11 pr. 5 p."/>
                <w:tag w:val="part_39b390a6ea1646e7beb4d715472d9983"/>
                <w:lock w:val="sdtLocked"/>
                <w:richText/>
              </w:sdtPr>
              <w:sdtContent>
                <w:p>
                  <w:pPr>
                    <w:widowControl w:val="0"/>
                    <w:tabs>
                      <w:tab w:val="left" w:pos="1080"/>
                    </w:tabs>
                    <w:ind w:right="-1" w:firstLine="709"/>
                    <w:jc w:val="both"/>
                    <w:rPr>
                      <w:color w:val="000000"/>
                      <w:szCs w:val="24"/>
                    </w:rPr>
                  </w:pPr>
                  <w:sdt>
                    <w:sdtPr>
                      <w:alias w:val="Numeris"/>
                      <w:tag w:val="nr_39b390a6ea1646e7beb4d715472d9983"/>
                      <w:lock w:val="sdtLocked"/>
                      <w:richText/>
                    </w:sdtPr>
                    <w:sdtContent>
                      <w:r>
                        <w:rPr>
                          <w:szCs w:val="24"/>
                          <w:lang w:val="en-US"/>
                        </w:rPr>
                        <w:t>5</w:t>
                      </w:r>
                    </w:sdtContent>
                  </w:sdt>
                  <w:r>
                    <w:rPr>
                      <w:szCs w:val="24"/>
                      <w:lang w:val="en-US"/>
                    </w:rPr>
                    <w:t>. Šiame Apra</w:t>
                  </w:r>
                  <w:r>
                    <w:rPr>
                      <w:szCs w:val="24"/>
                    </w:rPr>
                    <w:t xml:space="preserve">še vartojamos sąvokos </w:t>
                  </w:r>
                  <w:r>
                    <w:rPr>
                      <w:color w:val="000000"/>
                      <w:szCs w:val="24"/>
                    </w:rPr>
                    <w:t xml:space="preserve">atitinka </w:t>
                  </w:r>
                  <w:r>
                    <w:rPr>
                      <w:szCs w:val="24"/>
                    </w:rPr>
                    <w:t xml:space="preserve">Lietuvos Respublikos pacientų teisių ir žalos sveikatai atlyginimo įstatyme, </w:t>
                  </w:r>
                  <w:r>
                    <w:rPr>
                      <w:color w:val="000000"/>
                      <w:szCs w:val="24"/>
                    </w:rPr>
                    <w:t>Lietuvos Respublikos saugios laivybos įstatyme, Lietuvos Respublikos vidaus vandenų transporto kodekse ir Lietuvos Respublikos prekybinės laivybos įstatyme vartojamas sąvokas.</w:t>
                  </w:r>
                </w:p>
              </w:sdtContent>
            </w:sdt>
            <w:sdt>
              <w:sdtPr>
                <w:alias w:val="11 pr. 6 p."/>
                <w:tag w:val="part_6eb442ae5d8340f398b3ff32bbefc6c5"/>
                <w:lock w:val="sdtLocked"/>
                <w:richText/>
              </w:sdtPr>
              <w:sdtContent>
                <w:p>
                  <w:pPr>
                    <w:ind w:firstLine="709"/>
                    <w:jc w:val="both"/>
                    <w:rPr>
                      <w:color w:val="000000"/>
                      <w:szCs w:val="24"/>
                      <w:lang w:val="en-AU" w:eastAsia="x-none"/>
                    </w:rPr>
                  </w:pPr>
                  <w:sdt>
                    <w:sdtPr>
                      <w:alias w:val="Numeris"/>
                      <w:tag w:val="nr_6eb442ae5d8340f398b3ff32bbefc6c5"/>
                      <w:lock w:val="sdtLocked"/>
                      <w:richText/>
                    </w:sdtPr>
                    <w:sdtContent>
                      <w:r>
                        <w:rPr>
                          <w:color w:val="000000"/>
                          <w:szCs w:val="24"/>
                          <w:lang w:val="en-AU" w:eastAsia="x-none"/>
                        </w:rPr>
                        <w:t>6</w:t>
                      </w:r>
                    </w:sdtContent>
                  </w:sdt>
                  <w:r>
                    <w:rPr>
                      <w:color w:val="000000"/>
                      <w:szCs w:val="24"/>
                      <w:lang w:val="en-AU" w:eastAsia="x-none"/>
                    </w:rPr>
                    <w:t>. Jūrininkų ir vidaus vandenų transporto specialistų bei m</w:t>
                  </w:r>
                  <w:r>
                    <w:rPr>
                      <w:szCs w:val="24"/>
                      <w:lang w:val="en-AU" w:eastAsia="x-none"/>
                    </w:rPr>
                    <w:t xml:space="preserve">otorinių pramoginių laivų ir kitų motorinių plaukiojimo priemonių </w:t>
                  </w:r>
                  <w:r>
                    <w:rPr>
                      <w:color w:val="000000"/>
                      <w:szCs w:val="24"/>
                      <w:lang w:val="en-AU" w:eastAsia="x-none"/>
                    </w:rPr>
                    <w:t>laivavedžių profesinės grupės pagal darbo pobūdį (toliau – profesinė grupė):</w:t>
                  </w:r>
                </w:p>
                <w:sdt>
                  <w:sdtPr>
                    <w:alias w:val="11 pr. 6.1 pp."/>
                    <w:tag w:val="part_4d8aeef1fd13476fa19a116863d4db2c"/>
                    <w:lock w:val="sdtLocked"/>
                    <w:richText/>
                  </w:sdtPr>
                  <w:sdtContent>
                    <w:p>
                      <w:pPr>
                        <w:ind w:firstLine="709"/>
                        <w:jc w:val="both"/>
                        <w:rPr>
                          <w:rFonts w:eastAsia="Calibri"/>
                          <w:color w:val="000000"/>
                          <w:szCs w:val="24"/>
                        </w:rPr>
                      </w:pPr>
                      <w:sdt>
                        <w:sdtPr>
                          <w:alias w:val="Numeris"/>
                          <w:tag w:val="nr_4d8aeef1fd13476fa19a116863d4db2c"/>
                          <w:lock w:val="sdtLocked"/>
                          <w:richText/>
                        </w:sdtPr>
                        <w:sdtContent>
                          <w:r>
                            <w:rPr>
                              <w:rFonts w:eastAsia="Calibri"/>
                              <w:color w:val="000000"/>
                              <w:szCs w:val="24"/>
                            </w:rPr>
                            <w:t>6.1</w:t>
                          </w:r>
                        </w:sdtContent>
                      </w:sdt>
                      <w:r>
                        <w:rPr>
                          <w:rFonts w:eastAsia="Calibri"/>
                          <w:color w:val="000000"/>
                          <w:szCs w:val="24"/>
                        </w:rPr>
                        <w:t>. I profesinė grupė – Denio tarnyba. Vykdantys navigacinį budėjimą kapitonai, kapitonų padėjėjai, laivų škiperiai ir jų padėjėjai, kvalifikuoti jūreiviai, jūreiviai, upeiviai, locmanai ir pan.;</w:t>
                      </w:r>
                    </w:p>
                  </w:sdtContent>
                </w:sdt>
                <w:sdt>
                  <w:sdtPr>
                    <w:alias w:val="11 pr. 6.2 pp."/>
                    <w:tag w:val="part_16871eef5095407f91cc3f88e4248a9c"/>
                    <w:lock w:val="sdtLocked"/>
                    <w:richText/>
                  </w:sdtPr>
                  <w:sdtContent>
                    <w:p>
                      <w:pPr>
                        <w:ind w:firstLine="709"/>
                        <w:jc w:val="both"/>
                        <w:rPr>
                          <w:rFonts w:eastAsia="Calibri"/>
                          <w:color w:val="000000"/>
                          <w:szCs w:val="24"/>
                        </w:rPr>
                      </w:pPr>
                      <w:sdt>
                        <w:sdtPr>
                          <w:alias w:val="Numeris"/>
                          <w:tag w:val="nr_16871eef5095407f91cc3f88e4248a9c"/>
                          <w:lock w:val="sdtLocked"/>
                          <w:richText/>
                        </w:sdtPr>
                        <w:sdtContent>
                          <w:r>
                            <w:rPr>
                              <w:rFonts w:eastAsia="Calibri"/>
                              <w:color w:val="000000"/>
                              <w:szCs w:val="24"/>
                            </w:rPr>
                            <w:t>6.2</w:t>
                          </w:r>
                        </w:sdtContent>
                      </w:sdt>
                      <w:r>
                        <w:rPr>
                          <w:rFonts w:eastAsia="Calibri"/>
                          <w:color w:val="000000"/>
                          <w:szCs w:val="24"/>
                        </w:rPr>
                        <w:t>. II profesinė grupė – Mašinų (Jėgainės) tarnyba. Vykdantys mašinų (jėgainės) eigos budėjimą visų grupių mechanikai, kvalifikuoti motoristai, motoristai, elektrikai ir pan.;</w:t>
                      </w:r>
                    </w:p>
                  </w:sdtContent>
                </w:sdt>
                <w:sdt>
                  <w:sdtPr>
                    <w:alias w:val="11 pr. 6.3 pp."/>
                    <w:tag w:val="part_75a22cd5d0354d8192af865fad289721"/>
                    <w:lock w:val="sdtLocked"/>
                    <w:richText/>
                  </w:sdtPr>
                  <w:sdtContent>
                    <w:p>
                      <w:pPr>
                        <w:ind w:firstLine="709"/>
                        <w:jc w:val="both"/>
                        <w:rPr>
                          <w:rFonts w:eastAsia="Calibri"/>
                          <w:color w:val="000000"/>
                          <w:szCs w:val="24"/>
                        </w:rPr>
                      </w:pPr>
                      <w:sdt>
                        <w:sdtPr>
                          <w:alias w:val="Numeris"/>
                          <w:tag w:val="nr_75a22cd5d0354d8192af865fad289721"/>
                          <w:lock w:val="sdtLocked"/>
                          <w:richText/>
                        </w:sdtPr>
                        <w:sdtContent>
                          <w:r>
                            <w:rPr>
                              <w:rFonts w:eastAsia="Calibri"/>
                              <w:color w:val="000000"/>
                              <w:szCs w:val="24"/>
                            </w:rPr>
                            <w:t>6.3</w:t>
                          </w:r>
                        </w:sdtContent>
                      </w:sdt>
                      <w:r>
                        <w:rPr>
                          <w:rFonts w:eastAsia="Calibri"/>
                          <w:color w:val="000000"/>
                          <w:szCs w:val="24"/>
                        </w:rPr>
                        <w:t>. III profesinė grupė – Aptarnavimo tarnyba. Laivus ir jų personalą bei keleivius aptarnaujantys sveikatos priežiūros specialistai ir kiti darbuotojai, saugos pareigūnai, virėjai, narai ir pan.;</w:t>
                      </w:r>
                    </w:p>
                  </w:sdtContent>
                </w:sdt>
                <w:sdt>
                  <w:sdtPr>
                    <w:alias w:val="11 pr. 6.4 pp."/>
                    <w:tag w:val="part_b8f59eae25804e5bb09f445503be3151"/>
                    <w:lock w:val="sdtLocked"/>
                    <w:richText/>
                  </w:sdtPr>
                  <w:sdtContent>
                    <w:p>
                      <w:pPr>
                        <w:ind w:firstLine="709"/>
                        <w:jc w:val="both"/>
                        <w:rPr>
                          <w:color w:val="000000"/>
                          <w:szCs w:val="24"/>
                          <w:lang w:val="en-AU" w:eastAsia="x-none"/>
                        </w:rPr>
                      </w:pPr>
                      <w:sdt>
                        <w:sdtPr>
                          <w:alias w:val="Numeris"/>
                          <w:tag w:val="nr_b8f59eae25804e5bb09f445503be3151"/>
                          <w:lock w:val="sdtLocked"/>
                          <w:richText/>
                        </w:sdtPr>
                        <w:sdtContent>
                          <w:r>
                            <w:rPr>
                              <w:rFonts w:eastAsia="Calibri"/>
                              <w:color w:val="000000"/>
                              <w:szCs w:val="24"/>
                              <w:lang w:val="en-AU" w:eastAsia="x-none"/>
                            </w:rPr>
                            <w:t>6.4</w:t>
                          </w:r>
                        </w:sdtContent>
                      </w:sdt>
                      <w:r>
                        <w:rPr>
                          <w:rFonts w:eastAsia="Calibri"/>
                          <w:color w:val="000000"/>
                          <w:szCs w:val="24"/>
                          <w:lang w:val="en-AU" w:eastAsia="x-none"/>
                        </w:rPr>
                        <w:t>. IV profesinė grupė –</w:t>
                      </w:r>
                      <w:r>
                        <w:rPr>
                          <w:color w:val="000000"/>
                          <w:szCs w:val="24"/>
                          <w:lang w:val="en-AU" w:eastAsia="x-none"/>
                        </w:rPr>
                        <w:t xml:space="preserve"> M</w:t>
                      </w:r>
                      <w:r>
                        <w:rPr>
                          <w:szCs w:val="24"/>
                          <w:lang w:val="en-AU" w:eastAsia="x-none"/>
                        </w:rPr>
                        <w:t xml:space="preserve">otorinių pramoginių laivų ir kitų motorinių plaukiojimo priemonių </w:t>
                      </w:r>
                      <w:r>
                        <w:rPr>
                          <w:color w:val="000000"/>
                          <w:szCs w:val="24"/>
                          <w:lang w:val="en-AU" w:eastAsia="x-none"/>
                        </w:rPr>
                        <w:t>laivavedžiai.</w:t>
                      </w:r>
                    </w:p>
                    <w:p>
                      <w:pPr>
                        <w:ind w:left="568"/>
                        <w:jc w:val="both"/>
                        <w:rPr>
                          <w:b/>
                          <w:szCs w:val="24"/>
                          <w:lang w:eastAsia="x-none"/>
                        </w:rPr>
                      </w:pPr>
                    </w:p>
                  </w:sdtContent>
                </w:sdt>
              </w:sdtContent>
            </w:sdt>
          </w:sdtContent>
        </w:sdt>
        <w:sdt>
          <w:sdtPr>
            <w:alias w:val="skyrius"/>
            <w:tag w:val="part_a42700b424784c29a5c42d99b641e3ed"/>
            <w:lock w:val="sdtLocked"/>
            <w:richText/>
          </w:sdtPr>
          <w:sdtContent>
            <w:p>
              <w:pPr>
                <w:ind w:left="568"/>
                <w:jc w:val="center"/>
                <w:rPr>
                  <w:b/>
                  <w:szCs w:val="24"/>
                  <w:lang w:eastAsia="x-none"/>
                </w:rPr>
              </w:pPr>
              <w:sdt>
                <w:sdtPr>
                  <w:alias w:val="Numeris"/>
                  <w:tag w:val="nr_a42700b424784c29a5c42d99b641e3ed"/>
                  <w:lock w:val="sdtLocked"/>
                  <w:richText/>
                </w:sdtPr>
                <w:sdtContent>
                  <w:r>
                    <w:rPr>
                      <w:b/>
                      <w:szCs w:val="24"/>
                      <w:lang w:eastAsia="x-none"/>
                    </w:rPr>
                    <w:t>II</w:t>
                  </w:r>
                </w:sdtContent>
              </w:sdt>
              <w:r>
                <w:rPr>
                  <w:b/>
                  <w:szCs w:val="24"/>
                  <w:lang w:eastAsia="x-none"/>
                </w:rPr>
                <w:t xml:space="preserve">. </w:t>
              </w:r>
              <w:sdt>
                <w:sdtPr>
                  <w:alias w:val="Pavadinimas"/>
                  <w:tag w:val="title_a42700b424784c29a5c42d99b641e3ed"/>
                  <w:lock w:val="sdtLocked"/>
                  <w:richText/>
                </w:sdtPr>
                <w:sdtContent>
                  <w:r>
                    <w:rPr>
                      <w:b/>
                      <w:szCs w:val="24"/>
                      <w:lang w:eastAsia="x-none"/>
                    </w:rPr>
                    <w:t>SVEIKATOS TIKRINIMO REIKALAVIMAI IR TVARKA</w:t>
                  </w:r>
                </w:sdtContent>
              </w:sdt>
            </w:p>
            <w:p>
              <w:pPr>
                <w:jc w:val="center"/>
                <w:rPr>
                  <w:szCs w:val="24"/>
                  <w:lang w:eastAsia="x-none"/>
                </w:rPr>
              </w:pPr>
            </w:p>
            <w:sdt>
              <w:sdtPr>
                <w:alias w:val="11 pr. 7 p."/>
                <w:tag w:val="part_323439abc2094e6f92afb22f5a72fb07"/>
                <w:lock w:val="sdtLocked"/>
                <w:richText/>
              </w:sdtPr>
              <w:sdtContent>
                <w:p>
                  <w:pPr>
                    <w:ind w:firstLine="709"/>
                    <w:jc w:val="both"/>
                    <w:rPr>
                      <w:szCs w:val="24"/>
                      <w:lang w:eastAsia="x-none"/>
                    </w:rPr>
                  </w:pPr>
                  <w:sdt>
                    <w:sdtPr>
                      <w:alias w:val="Numeris"/>
                      <w:tag w:val="nr_323439abc2094e6f92afb22f5a72fb07"/>
                      <w:lock w:val="sdtLocked"/>
                      <w:richText/>
                    </w:sdtPr>
                    <w:sdtContent>
                      <w:r>
                        <w:rPr>
                          <w:szCs w:val="24"/>
                          <w:lang w:eastAsia="x-none"/>
                        </w:rPr>
                        <w:t>7</w:t>
                      </w:r>
                    </w:sdtContent>
                  </w:sdt>
                  <w:r>
                    <w:rPr>
                      <w:szCs w:val="24"/>
                      <w:lang w:eastAsia="x-none"/>
                    </w:rPr>
                    <w:t xml:space="preserve">. Asmenys, dirbantys ar norintys įsidarbinti jūrininkais ar vidaus vandenų transporto specialistais arba įgyti teisę valdyti motorinį pramoginį laivą, kitas motorines plaukiojimo priemones, privalo pasitikrinti sveikatą prieš pradedant darbą ar veiklą (toliau – įsidarbindami), o dirbančiųjų sveikata tikrinama periodiškai, kaip nurodyta šio Aprašo III skyriuje, vadovaujantis šiuo Aprašu bei atsižvelgiant į šio </w:t>
                  </w:r>
                  <w:r>
                    <w:rPr>
                      <w:color w:val="000000"/>
                      <w:szCs w:val="24"/>
                      <w:lang w:eastAsia="x-none"/>
                    </w:rPr>
                    <w:t>Aprašo 1 priedo „Minimalūs</w:t>
                  </w:r>
                  <w:r>
                    <w:rPr>
                      <w:szCs w:val="24"/>
                      <w:lang w:eastAsia="x-none"/>
                    </w:rPr>
                    <w:t xml:space="preserve"> sveikatos būklės reikalavimai, taikomi jūrininkams ir vidaus vandenų transporto specialistams bei motorinių pramoginių laivų ir kitų motorinių plaukiojimo priemonių laivavedžiams“ nuostatas.</w:t>
                  </w:r>
                </w:p>
              </w:sdtContent>
            </w:sdt>
            <w:sdt>
              <w:sdtPr>
                <w:alias w:val="11 pr. 8 p."/>
                <w:tag w:val="part_e4ce3d842bd8444fbda0d0a560761142"/>
                <w:lock w:val="sdtLocked"/>
                <w:richText/>
              </w:sdtPr>
              <w:sdtContent>
                <w:p>
                  <w:pPr>
                    <w:ind w:firstLine="720"/>
                    <w:jc w:val="both"/>
                    <w:rPr>
                      <w:szCs w:val="24"/>
                    </w:rPr>
                  </w:pPr>
                  <w:sdt>
                    <w:sdtPr>
                      <w:alias w:val="Numeris"/>
                      <w:tag w:val="nr_e4ce3d842bd8444fbda0d0a560761142"/>
                      <w:lock w:val="sdtLocked"/>
                      <w:richText/>
                    </w:sdtPr>
                    <w:sdtContent>
                      <w:r>
                        <w:rPr>
                          <w:szCs w:val="24"/>
                        </w:rPr>
                        <w:t>8</w:t>
                      </w:r>
                    </w:sdtContent>
                  </w:sdt>
                  <w:r>
                    <w:rPr>
                      <w:szCs w:val="24"/>
                    </w:rPr>
                    <w:t xml:space="preserve">. Prieš sveikatos tikrinimą Asmens sveikatos priežiūros įstaigoje (toliau – ASPĮ) asmuo, nurodytas Aprašo 7 punkte (toliau – pacientas), pateikia asmens tapatybę patvirtinantį dokumentą (asmens tapatybės kortelę arba pasą). </w:t>
                  </w:r>
                  <w:r>
                    <w:rPr>
                      <w:color w:val="000000"/>
                      <w:szCs w:val="24"/>
                    </w:rPr>
                    <w:t>Pacientas</w:t>
                  </w:r>
                  <w:r>
                    <w:rPr>
                      <w:szCs w:val="24"/>
                    </w:rPr>
                    <w:t xml:space="preserve"> užpildo ir pasirašo Jūrininkų ir vidaus vandenų transporto specialisto bei motorinių pramoginių laivų ir kitų motorinių plaukiojimo priemonių laivavedžio</w:t>
                  </w:r>
                  <w:r>
                    <w:rPr>
                      <w:color w:val="0000FF"/>
                      <w:szCs w:val="24"/>
                    </w:rPr>
                    <w:t xml:space="preserve"> </w:t>
                  </w:r>
                  <w:r>
                    <w:rPr>
                      <w:color w:val="000000"/>
                      <w:szCs w:val="24"/>
                    </w:rPr>
                    <w:t xml:space="preserve">Garbės deklaraciją (sveikatos tikrinimo klausimyną) (2 priedas), kuri įklijuojama į gydytojo pildomą jo </w:t>
                  </w:r>
                  <w:r>
                    <w:rPr>
                      <w:szCs w:val="24"/>
                    </w:rPr>
                    <w:t xml:space="preserve">Asmens sveikatos istoriją </w:t>
                  </w:r>
                  <w:r>
                    <w:rPr>
                      <w:color w:val="000000"/>
                      <w:szCs w:val="24"/>
                    </w:rPr>
                    <w:t>(ambulatorinę kortelę</w:t>
                  </w:r>
                  <w:r>
                    <w:rPr>
                      <w:szCs w:val="24"/>
                    </w:rPr>
                    <w:t xml:space="preserve">) (toliau – forma Nr. 025/a), </w:t>
                  </w:r>
                  <w:r>
                    <w:rPr>
                      <w:color w:val="000000"/>
                      <w:szCs w:val="24"/>
                    </w:rPr>
                    <w:t>patvirtintą Lietuvos Respublikos sveikatos apsaugos ministro 1999 m. lapkričio 29 d. įsakymu Nr. 515 (toliau – įsakymas Nr. 515),</w:t>
                  </w:r>
                  <w:r>
                    <w:rPr>
                      <w:color w:val="000000"/>
                      <w:sz w:val="20"/>
                    </w:rPr>
                    <w:t xml:space="preserve"> </w:t>
                  </w:r>
                  <w:r>
                    <w:rPr>
                      <w:color w:val="000000"/>
                      <w:szCs w:val="24"/>
                    </w:rPr>
                    <w:t xml:space="preserve">saugomą ASPĮ , kurioje tikrinama paciento sveikata. </w:t>
                  </w:r>
                </w:p>
              </w:sdtContent>
            </w:sdt>
            <w:sdt>
              <w:sdtPr>
                <w:alias w:val="11 pr. 9 p."/>
                <w:tag w:val="part_c6a797db6e354c69bfec3e0333a3413b"/>
                <w:lock w:val="sdtLocked"/>
                <w:richText/>
              </w:sdtPr>
              <w:sdtContent>
                <w:p>
                  <w:pPr>
                    <w:ind w:firstLine="709"/>
                    <w:jc w:val="both"/>
                    <w:rPr>
                      <w:szCs w:val="24"/>
                      <w:lang w:eastAsia="x-none"/>
                    </w:rPr>
                  </w:pPr>
                  <w:sdt>
                    <w:sdtPr>
                      <w:alias w:val="Numeris"/>
                      <w:tag w:val="nr_c6a797db6e354c69bfec3e0333a3413b"/>
                      <w:lock w:val="sdtLocked"/>
                      <w:richText/>
                    </w:sdtPr>
                    <w:sdtContent>
                      <w:r>
                        <w:rPr>
                          <w:szCs w:val="24"/>
                          <w:lang w:eastAsia="x-none"/>
                        </w:rPr>
                        <w:t>9</w:t>
                      </w:r>
                    </w:sdtContent>
                  </w:sdt>
                  <w:r>
                    <w:rPr>
                      <w:szCs w:val="24"/>
                      <w:lang w:eastAsia="x-none"/>
                    </w:rPr>
                    <w:t>. Sveikatą tikrinantys gydytojai turi teisę gauti informaciją apie tikrinamojo asmens sveikatos būklę iš kitų ASPĮ bei privačiai dirbančių gydytojų, o pastarieji tokią informaciją privalo teikti teisės aktų nustatyta tvarka.</w:t>
                  </w:r>
                </w:p>
              </w:sdtContent>
            </w:sdt>
            <w:sdt>
              <w:sdtPr>
                <w:alias w:val="11 pr. 10 p."/>
                <w:tag w:val="part_5997fe6c03344b7fab10d6bce125ebb0"/>
                <w:lock w:val="sdtLocked"/>
                <w:richText/>
              </w:sdtPr>
              <w:sdtContent>
                <w:p>
                  <w:pPr>
                    <w:ind w:firstLine="709"/>
                    <w:jc w:val="both"/>
                    <w:rPr>
                      <w:color w:val="000000"/>
                      <w:szCs w:val="24"/>
                      <w:lang w:eastAsia="x-none"/>
                    </w:rPr>
                  </w:pPr>
                  <w:sdt>
                    <w:sdtPr>
                      <w:alias w:val="Numeris"/>
                      <w:tag w:val="nr_5997fe6c03344b7fab10d6bce125ebb0"/>
                      <w:lock w:val="sdtLocked"/>
                      <w:richText/>
                    </w:sdtPr>
                    <w:sdtContent>
                      <w:r>
                        <w:rPr>
                          <w:rFonts w:eastAsia="Calibri"/>
                          <w:color w:val="000000"/>
                          <w:szCs w:val="24"/>
                          <w:lang w:eastAsia="x-none"/>
                        </w:rPr>
                        <w:t>10</w:t>
                      </w:r>
                    </w:sdtContent>
                  </w:sdt>
                  <w:r>
                    <w:rPr>
                      <w:rFonts w:eastAsia="Calibri"/>
                      <w:color w:val="000000"/>
                      <w:szCs w:val="24"/>
                      <w:lang w:eastAsia="x-none"/>
                    </w:rPr>
                    <w:t>. Prieš įsidarbinimą jūrininko ar v</w:t>
                  </w:r>
                  <w:r>
                    <w:rPr>
                      <w:szCs w:val="24"/>
                      <w:lang w:eastAsia="x-none"/>
                    </w:rPr>
                    <w:t xml:space="preserve">idaus vandenų transporto specialisto bei </w:t>
                  </w:r>
                  <w:r>
                    <w:rPr>
                      <w:color w:val="000000"/>
                      <w:szCs w:val="24"/>
                      <w:lang w:val="en-AU" w:eastAsia="x-none"/>
                    </w:rPr>
                    <w:t>m</w:t>
                  </w:r>
                  <w:r>
                    <w:rPr>
                      <w:szCs w:val="24"/>
                      <w:lang w:val="en-AU" w:eastAsia="x-none"/>
                    </w:rPr>
                    <w:t xml:space="preserve">otorinių pramoginių laivų ir kitų motorinių plaukiojimo priemonių </w:t>
                  </w:r>
                  <w:r>
                    <w:rPr>
                      <w:szCs w:val="24"/>
                      <w:lang w:eastAsia="x-none"/>
                    </w:rPr>
                    <w:t xml:space="preserve">laivavedžio </w:t>
                  </w:r>
                  <w:r>
                    <w:rPr>
                      <w:rFonts w:eastAsia="Calibri"/>
                      <w:color w:val="000000"/>
                      <w:szCs w:val="24"/>
                      <w:lang w:eastAsia="x-none"/>
                    </w:rPr>
                    <w:t>sveikatą tikrina gydytojas psichiatras (</w:t>
                  </w:r>
                  <w:r>
                    <w:rPr>
                      <w:color w:val="000000"/>
                      <w:lang w:eastAsia="x-none"/>
                    </w:rPr>
                    <w:t>psichikos sveikatos centre, prie kurio asmuo yra prisirašęs teisės aktų nustatyta tvarka, arba psichikos sveikatos centre, prie kurio, kaip prie sudariusio sutartį su asmens teisės aktų nustatyta tvarka pasirinkta pirminės sveikatos priežiūros paslaugas teikiančia ASPĮ dėl</w:t>
                  </w:r>
                  <w:r>
                    <w:rPr>
                      <w:lang w:eastAsia="x-none"/>
                    </w:rPr>
                    <w:t xml:space="preserve"> pirminės ambulatorinės psichikos sveikatos priežiūros paslaugų </w:t>
                  </w:r>
                  <w:r>
                    <w:rPr>
                      <w:color w:val="000000"/>
                      <w:lang w:eastAsia="x-none"/>
                    </w:rPr>
                    <w:t>teikimo, asmuo yra priskirtas). G</w:t>
                  </w:r>
                  <w:r>
                    <w:rPr>
                      <w:rFonts w:eastAsia="Calibri"/>
                      <w:color w:val="000000"/>
                      <w:szCs w:val="24"/>
                      <w:lang w:eastAsia="x-none"/>
                    </w:rPr>
                    <w:t xml:space="preserve">ydytojas psichiatras nustato </w:t>
                  </w:r>
                  <w:r>
                    <w:rPr>
                      <w:szCs w:val="24"/>
                      <w:lang w:val="en-AU" w:eastAsia="x-none"/>
                    </w:rPr>
                    <w:t xml:space="preserve">paciento sveikatos būklės profesinį tinkamumą ir išvadose nurodo, ar asmuo gali dirbti jūrininku ar vidaus vandenų transporto specialistu, motorinių pramoginių laivų ir kitų motorinių plaukiojimo priemonių laivavedžiu, pažymi konkrečią profesinę grupę ir apribojimus, jei tokių yra. Išvadą įrašo į formą Nr. 025/a ir į </w:t>
                  </w:r>
                  <w:r>
                    <w:rPr>
                      <w:color w:val="000000"/>
                      <w:lang w:eastAsia="x-none"/>
                    </w:rPr>
                    <w:t xml:space="preserve">įsakymu Nr. 515 patvirtintos </w:t>
                  </w:r>
                  <w:r>
                    <w:rPr>
                      <w:szCs w:val="24"/>
                      <w:lang w:eastAsia="x-none"/>
                    </w:rPr>
                    <w:t>formos Medicinos dokumentų išrašą (forma Nr. 027/a) iš jo formos Nr. 025/a (toliau – forma Nr. 027/a).</w:t>
                  </w:r>
                </w:p>
              </w:sdtContent>
            </w:sdt>
            <w:sdt>
              <w:sdtPr>
                <w:alias w:val="11 pr. 11 p."/>
                <w:tag w:val="part_ece33cd7cb6a4881a315031e2c44b39b"/>
                <w:lock w:val="sdtLocked"/>
                <w:richText/>
              </w:sdtPr>
              <w:sdtContent>
                <w:p>
                  <w:pPr>
                    <w:tabs>
                      <w:tab w:val="left" w:pos="0"/>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709"/>
                    <w:jc w:val="both"/>
                  </w:pPr>
                  <w:sdt>
                    <w:sdtPr>
                      <w:alias w:val="Numeris"/>
                      <w:tag w:val="nr_ece33cd7cb6a4881a315031e2c44b39b"/>
                      <w:lock w:val="sdtLocked"/>
                      <w:richText/>
                    </w:sdtPr>
                    <w:sdtContent>
                      <w:r>
                        <w:rPr>
                          <w:szCs w:val="24"/>
                        </w:rPr>
                        <w:t>11</w:t>
                      </w:r>
                    </w:sdtContent>
                  </w:sdt>
                  <w:r>
                    <w:rPr>
                      <w:szCs w:val="24"/>
                    </w:rPr>
                    <w:t xml:space="preserve">. Jūrininkų sveikatą tikrina ASPĮ, turinčios licenciją teikti asmens sveikatos priežiūros paslaugas, vadovo patvirtinta Jūrininkų sveikatos tikrinimo komisija (toliau – Komisija), kurią sudaro </w:t>
                  </w:r>
                  <w:r>
                    <w:rPr>
                      <w:color w:val="000000"/>
                      <w:szCs w:val="24"/>
                    </w:rPr>
                    <w:t>vidaus ligų (arba šeimos ar darbo medicinos) gydytojas, gydytojas oftalmologas, gydytojas otorinolaringologas, gydytojas odontologas, gydytojas akušeris-ginekologas (moterų), gydytojas radiologas, kitų profesinių kvalifikacijų gydytojai – pagal indikacijas. Šie gydytojai paskiria tyrimus, nustato jų dažnumą, vadovaudamiesi Aprašu, bei atsako už sveikatos tikrinimo kokybę.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401b00a81711ebbcbbc2971cdac3cb">
                    <w:r w:rsidRPr="00532B9F">
                      <w:rPr>
                        <w:rFonts w:ascii="Times New Roman" w:eastAsia="MS Mincho" w:hAnsi="Times New Roman"/>
                        <w:sz w:val="20"/>
                        <w:i/>
                        <w:iCs/>
                        <w:color w:val="0000FF" w:themeColor="hyperlink"/>
                        <w:u w:val="single"/>
                      </w:rPr>
                      <w:t>V-967</w:t>
                    </w:r>
                  </w:fldSimple>
                  <w:r>
                    <w:rPr>
                      <w:rFonts w:ascii="Times New Roman" w:eastAsia="MS Mincho" w:hAnsi="Times New Roman"/>
                      <w:sz w:val="20"/>
                      <w:i/>
                      <w:iCs/>
                    </w:rPr>
                    <w:t>,
2021-04-28,
paskelbta TAR 2021-04-28, i. k. 2021-08887            </w:t>
                  </w:r>
                </w:p>
                <w:p/>
              </w:sdtContent>
            </w:sdt>
            <w:sdt>
              <w:sdtPr>
                <w:alias w:val="11-1 p."/>
                <w:tag w:val="part_0b8179516254450db17acd32605c9498"/>
                <w:lock w:val="sdtLocked"/>
                <w:richText/>
              </w:sdtPr>
              <w:sdtContent>
                <w:p>
                  <w:pPr>
                    <w:tabs>
                      <w:tab w:val="left" w:pos="0"/>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rPr>
                      <w:color w:val="000000"/>
                      <w:lang w:eastAsia="x-none"/>
                    </w:rPr>
                  </w:pPr>
                  <w:sdt>
                    <w:sdtPr>
                      <w:alias w:val="Numeris"/>
                      <w:tag w:val="nr_0b8179516254450db17acd32605c9498"/>
                      <w:lock w:val="sdtLocked"/>
                      <w:richText/>
                    </w:sdtPr>
                    <w:sdtContent>
                      <w:r>
                        <w:rPr>
                          <w:color w:val="000000"/>
                          <w:szCs w:val="24"/>
                        </w:rPr>
                        <w:t>11</w:t>
                      </w:r>
                      <w:r>
                        <w:rPr>
                          <w:color w:val="000000"/>
                          <w:szCs w:val="24"/>
                          <w:vertAlign w:val="superscript"/>
                        </w:rPr>
                        <w:t>1</w:t>
                      </w:r>
                    </w:sdtContent>
                  </w:sdt>
                  <w:r>
                    <w:rPr>
                      <w:color w:val="000000"/>
                      <w:szCs w:val="24"/>
                    </w:rPr>
                    <w:t>. ASPĮ, sudariusi K</w:t>
                  </w:r>
                  <w:r>
                    <w:rPr>
                      <w:szCs w:val="24"/>
                    </w:rPr>
                    <w:t xml:space="preserve">omisiją </w:t>
                  </w:r>
                  <w:r>
                    <w:rPr>
                      <w:szCs w:val="24"/>
                      <w:lang w:eastAsia="lt-LT"/>
                    </w:rPr>
                    <w:t>ar panaikinusi sudarytą Komisiją</w:t>
                  </w:r>
                  <w:r>
                    <w:rPr>
                      <w:szCs w:val="24"/>
                    </w:rPr>
                    <w:t xml:space="preserve">, apie tai </w:t>
                  </w:r>
                  <w:r>
                    <w:rPr>
                      <w:color w:val="000000"/>
                      <w:szCs w:val="24"/>
                    </w:rPr>
                    <w:t xml:space="preserve">per 5 darbo dienas nuo Komisijos sudarymo ar panaikinimo informuoja Lietuvos transporto saugos administraciją. Sudarius Komisiją, Lietuvos transporto saugos administracijai pateikiama informacija apie </w:t>
                  </w:r>
                  <w:r>
                    <w:rPr>
                      <w:szCs w:val="24"/>
                    </w:rPr>
                    <w:t>Komisijos pirmininką ir Komisijos pirmininko pavaduotoją, nurodant jų vardus, pavardes ir pareigas.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401b00a81711ebbcbbc2971cdac3cb">
                    <w:r w:rsidRPr="00532B9F">
                      <w:rPr>
                        <w:rFonts w:ascii="Times New Roman" w:eastAsia="MS Mincho" w:hAnsi="Times New Roman"/>
                        <w:sz w:val="20"/>
                        <w:i/>
                        <w:iCs/>
                        <w:color w:val="0000FF" w:themeColor="hyperlink"/>
                        <w:u w:val="single"/>
                      </w:rPr>
                      <w:t>V-967</w:t>
                    </w:r>
                  </w:fldSimple>
                  <w:r>
                    <w:rPr>
                      <w:rFonts w:ascii="Times New Roman" w:eastAsia="MS Mincho" w:hAnsi="Times New Roman"/>
                      <w:sz w:val="20"/>
                      <w:i/>
                      <w:iCs/>
                    </w:rPr>
                    <w:t>,
2021-04-28,
paskelbta TAR 2021-04-28, i. k. 2021-08887        </w:t>
                  </w:r>
                </w:p>
                <w:p/>
              </w:sdtContent>
            </w:sdt>
            <w:sdt>
              <w:sdtPr>
                <w:alias w:val="11 pr. 12 p."/>
                <w:tag w:val="part_1bee4c3f52314253b25caecd3375f1fe"/>
                <w:lock w:val="sdtLocked"/>
                <w:richText/>
              </w:sdtPr>
              <w:sdtContent>
                <w:p>
                  <w:pPr>
                    <w:widowControl w:val="0"/>
                    <w:ind w:firstLine="709"/>
                    <w:jc w:val="both"/>
                    <w:rPr>
                      <w:rFonts w:eastAsia="Calibri"/>
                      <w:color w:val="000000"/>
                      <w:szCs w:val="24"/>
                      <w:lang w:val="en-AU" w:eastAsia="x-none"/>
                    </w:rPr>
                  </w:pPr>
                  <w:sdt>
                    <w:sdtPr>
                      <w:alias w:val="Numeris"/>
                      <w:tag w:val="nr_1bee4c3f52314253b25caecd3375f1fe"/>
                      <w:lock w:val="sdtLocked"/>
                      <w:richText/>
                    </w:sdtPr>
                    <w:sdtContent>
                      <w:r>
                        <w:rPr>
                          <w:color w:val="000000"/>
                          <w:lang w:eastAsia="x-none"/>
                        </w:rPr>
                        <w:t>12</w:t>
                      </w:r>
                    </w:sdtContent>
                  </w:sdt>
                  <w:r>
                    <w:rPr>
                      <w:color w:val="000000"/>
                      <w:lang w:eastAsia="x-none"/>
                    </w:rPr>
                    <w:t xml:space="preserve">. </w:t>
                  </w:r>
                  <w:r>
                    <w:rPr>
                      <w:rFonts w:eastAsia="Calibri"/>
                      <w:color w:val="000000"/>
                      <w:szCs w:val="24"/>
                      <w:lang w:val="en-AU" w:eastAsia="x-none"/>
                    </w:rPr>
                    <w:t>Atliekami šie tyrimai:</w:t>
                  </w:r>
                </w:p>
                <w:sdt>
                  <w:sdtPr>
                    <w:alias w:val="11 pr. 12.1 pp."/>
                    <w:tag w:val="part_79b5c9b9b76346ad86f883f004924037"/>
                    <w:lock w:val="sdtLocked"/>
                    <w:richText/>
                  </w:sdtPr>
                  <w:sdtContent>
                    <w:p>
                      <w:pPr>
                        <w:ind w:firstLine="709"/>
                        <w:jc w:val="both"/>
                        <w:rPr>
                          <w:rFonts w:eastAsia="Calibri"/>
                          <w:color w:val="000000"/>
                          <w:szCs w:val="24"/>
                        </w:rPr>
                      </w:pPr>
                      <w:sdt>
                        <w:sdtPr>
                          <w:alias w:val="Numeris"/>
                          <w:tag w:val="nr_79b5c9b9b76346ad86f883f004924037"/>
                          <w:lock w:val="sdtLocked"/>
                          <w:richText/>
                        </w:sdtPr>
                        <w:sdtContent>
                          <w:r>
                            <w:rPr>
                              <w:rFonts w:eastAsia="Calibri"/>
                              <w:color w:val="000000"/>
                              <w:szCs w:val="24"/>
                            </w:rPr>
                            <w:t>12.1</w:t>
                          </w:r>
                        </w:sdtContent>
                      </w:sdt>
                      <w:r>
                        <w:rPr>
                          <w:rFonts w:eastAsia="Calibri"/>
                          <w:color w:val="000000"/>
                          <w:szCs w:val="24"/>
                        </w:rPr>
                        <w:t xml:space="preserve">. </w:t>
                      </w:r>
                      <w:r>
                        <w:rPr>
                          <w:color w:val="000000"/>
                          <w:szCs w:val="24"/>
                        </w:rPr>
                        <w:t>veninio arba kapiliarinio kraujo (automatizuotu būdu);</w:t>
                      </w:r>
                      <w:r>
                        <w:rPr>
                          <w:rFonts w:eastAsia="Calibri"/>
                          <w:color w:val="000000"/>
                          <w:szCs w:val="24"/>
                        </w:rPr>
                        <w:t xml:space="preserve"> </w:t>
                      </w:r>
                    </w:p>
                  </w:sdtContent>
                </w:sdt>
                <w:sdt>
                  <w:sdtPr>
                    <w:alias w:val="11 pr. 12.2 pp."/>
                    <w:tag w:val="part_b8eb1e5c3ab94a2b8a3d56d6da95c7e3"/>
                    <w:lock w:val="sdtLocked"/>
                    <w:richText/>
                  </w:sdtPr>
                  <w:sdtContent>
                    <w:p>
                      <w:pPr>
                        <w:ind w:firstLine="709"/>
                        <w:jc w:val="both"/>
                        <w:rPr>
                          <w:rFonts w:eastAsia="Calibri"/>
                          <w:color w:val="000000"/>
                          <w:szCs w:val="24"/>
                        </w:rPr>
                      </w:pPr>
                      <w:sdt>
                        <w:sdtPr>
                          <w:alias w:val="Numeris"/>
                          <w:tag w:val="nr_b8eb1e5c3ab94a2b8a3d56d6da95c7e3"/>
                          <w:lock w:val="sdtLocked"/>
                          <w:richText/>
                        </w:sdtPr>
                        <w:sdtContent>
                          <w:r>
                            <w:rPr>
                              <w:rFonts w:eastAsia="Calibri"/>
                              <w:color w:val="000000"/>
                              <w:szCs w:val="24"/>
                            </w:rPr>
                            <w:t>12.2</w:t>
                          </w:r>
                        </w:sdtContent>
                      </w:sdt>
                      <w:r>
                        <w:rPr>
                          <w:rFonts w:eastAsia="Calibri"/>
                          <w:color w:val="000000"/>
                          <w:szCs w:val="24"/>
                        </w:rPr>
                        <w:t>. eritrocitų nusėdimo greičio (ENG);</w:t>
                      </w:r>
                    </w:p>
                  </w:sdtContent>
                </w:sdt>
                <w:sdt>
                  <w:sdtPr>
                    <w:alias w:val="11 pr. 12.3 pp."/>
                    <w:tag w:val="part_81252915cf6c416aad9ebdb8b8ce5f2c"/>
                    <w:lock w:val="sdtLocked"/>
                    <w:richText/>
                  </w:sdtPr>
                  <w:sdtContent>
                    <w:p>
                      <w:pPr>
                        <w:ind w:firstLine="709"/>
                        <w:jc w:val="both"/>
                        <w:rPr>
                          <w:rFonts w:eastAsia="Calibri"/>
                          <w:color w:val="000000"/>
                          <w:szCs w:val="24"/>
                        </w:rPr>
                      </w:pPr>
                      <w:sdt>
                        <w:sdtPr>
                          <w:alias w:val="Numeris"/>
                          <w:tag w:val="nr_81252915cf6c416aad9ebdb8b8ce5f2c"/>
                          <w:lock w:val="sdtLocked"/>
                          <w:richText/>
                        </w:sdtPr>
                        <w:sdtContent>
                          <w:r>
                            <w:rPr>
                              <w:rFonts w:eastAsia="Calibri"/>
                              <w:color w:val="000000"/>
                              <w:szCs w:val="24"/>
                            </w:rPr>
                            <w:t>12.3</w:t>
                          </w:r>
                        </w:sdtContent>
                      </w:sdt>
                      <w:r>
                        <w:rPr>
                          <w:rFonts w:eastAsia="Calibri"/>
                          <w:color w:val="000000"/>
                          <w:szCs w:val="24"/>
                        </w:rPr>
                        <w:t>. gliukozės kiekio veniniame kraujyje (nevalgius) (prieš įsidarbinimą ir asmenims nuo 40 m.);</w:t>
                      </w:r>
                    </w:p>
                  </w:sdtContent>
                </w:sdt>
                <w:sdt>
                  <w:sdtPr>
                    <w:alias w:val="11 pr. 12.4 pp."/>
                    <w:tag w:val="part_16bf25cbef4341a1aac6ee432ff58af5"/>
                    <w:lock w:val="sdtLocked"/>
                    <w:richText/>
                  </w:sdtPr>
                  <w:sdtContent>
                    <w:p>
                      <w:pPr>
                        <w:ind w:firstLine="709"/>
                        <w:jc w:val="both"/>
                        <w:rPr>
                          <w:rFonts w:eastAsia="Calibri"/>
                          <w:color w:val="000000"/>
                          <w:szCs w:val="24"/>
                        </w:rPr>
                      </w:pPr>
                      <w:sdt>
                        <w:sdtPr>
                          <w:alias w:val="Numeris"/>
                          <w:tag w:val="nr_16bf25cbef4341a1aac6ee432ff58af5"/>
                          <w:lock w:val="sdtLocked"/>
                          <w:richText/>
                        </w:sdtPr>
                        <w:sdtContent>
                          <w:r>
                            <w:rPr>
                              <w:rFonts w:eastAsia="Calibri"/>
                              <w:color w:val="000000"/>
                              <w:szCs w:val="24"/>
                            </w:rPr>
                            <w:t>12.4</w:t>
                          </w:r>
                        </w:sdtContent>
                      </w:sdt>
                      <w:r>
                        <w:rPr>
                          <w:rFonts w:eastAsia="Calibri"/>
                          <w:color w:val="000000"/>
                          <w:szCs w:val="24"/>
                        </w:rPr>
                        <w:t xml:space="preserve">. </w:t>
                      </w:r>
                      <w:r>
                        <w:rPr>
                          <w:color w:val="000000"/>
                          <w:szCs w:val="24"/>
                        </w:rPr>
                        <w:t>veninio</w:t>
                      </w:r>
                      <w:r>
                        <w:rPr>
                          <w:rFonts w:eastAsia="Calibri"/>
                          <w:color w:val="000000"/>
                          <w:szCs w:val="24"/>
                        </w:rPr>
                        <w:t xml:space="preserve"> kraujo dėl žmogaus imunodeficito viruso (ŽIV); </w:t>
                      </w:r>
                    </w:p>
                  </w:sdtContent>
                </w:sdt>
                <w:sdt>
                  <w:sdtPr>
                    <w:alias w:val="11 pr. 12.5 pp."/>
                    <w:tag w:val="part_9bff474624024fa284e47b9e02277aee"/>
                    <w:lock w:val="sdtLocked"/>
                    <w:richText/>
                  </w:sdtPr>
                  <w:sdtContent>
                    <w:p>
                      <w:pPr>
                        <w:ind w:firstLine="709"/>
                        <w:jc w:val="both"/>
                        <w:rPr>
                          <w:rFonts w:eastAsia="Calibri"/>
                          <w:color w:val="000000"/>
                          <w:szCs w:val="24"/>
                        </w:rPr>
                      </w:pPr>
                      <w:sdt>
                        <w:sdtPr>
                          <w:alias w:val="Numeris"/>
                          <w:tag w:val="nr_9bff474624024fa284e47b9e02277aee"/>
                          <w:lock w:val="sdtLocked"/>
                          <w:richText/>
                        </w:sdtPr>
                        <w:sdtContent>
                          <w:r>
                            <w:rPr>
                              <w:rFonts w:eastAsia="Calibri"/>
                              <w:color w:val="000000"/>
                              <w:szCs w:val="24"/>
                            </w:rPr>
                            <w:t>12.5</w:t>
                          </w:r>
                        </w:sdtContent>
                      </w:sdt>
                      <w:r>
                        <w:rPr>
                          <w:rFonts w:eastAsia="Calibri"/>
                          <w:color w:val="000000"/>
                          <w:szCs w:val="24"/>
                        </w:rPr>
                        <w:t>. kraujo grupės ir Rh faktoriaus nustatymas (jei nėra nustatyta);</w:t>
                      </w:r>
                    </w:p>
                  </w:sdtContent>
                </w:sdt>
                <w:sdt>
                  <w:sdtPr>
                    <w:alias w:val="11 pr. 12.6 pp."/>
                    <w:tag w:val="part_31a6ee8c4ae9413a835bd5ff8325be45"/>
                    <w:lock w:val="sdtLocked"/>
                    <w:richText/>
                  </w:sdtPr>
                  <w:sdtContent>
                    <w:p>
                      <w:pPr>
                        <w:ind w:firstLine="709"/>
                        <w:jc w:val="both"/>
                        <w:rPr>
                          <w:rFonts w:eastAsia="Calibri"/>
                          <w:color w:val="000000"/>
                          <w:szCs w:val="24"/>
                        </w:rPr>
                      </w:pPr>
                      <w:sdt>
                        <w:sdtPr>
                          <w:alias w:val="Numeris"/>
                          <w:tag w:val="nr_31a6ee8c4ae9413a835bd5ff8325be45"/>
                          <w:lock w:val="sdtLocked"/>
                          <w:richText/>
                        </w:sdtPr>
                        <w:sdtContent>
                          <w:r>
                            <w:rPr>
                              <w:rFonts w:eastAsia="Calibri"/>
                              <w:color w:val="000000"/>
                              <w:szCs w:val="24"/>
                            </w:rPr>
                            <w:t>12.6</w:t>
                          </w:r>
                        </w:sdtContent>
                      </w:sdt>
                      <w:r>
                        <w:rPr>
                          <w:rFonts w:eastAsia="Calibri"/>
                          <w:color w:val="000000"/>
                          <w:szCs w:val="24"/>
                        </w:rPr>
                        <w:t>. kraujo dėl lytiškai plintančių ligų (serologinės reakcijos);</w:t>
                      </w:r>
                    </w:p>
                  </w:sdtContent>
                </w:sdt>
                <w:sdt>
                  <w:sdtPr>
                    <w:alias w:val="11 pr. 12.7 pp."/>
                    <w:tag w:val="part_b5a800c2c8144953b9d4e0ec59e42de5"/>
                    <w:lock w:val="sdtLocked"/>
                    <w:richText/>
                  </w:sdtPr>
                  <w:sdtContent>
                    <w:p>
                      <w:pPr>
                        <w:ind w:firstLine="709"/>
                        <w:jc w:val="both"/>
                        <w:rPr>
                          <w:rFonts w:eastAsia="Calibri"/>
                          <w:color w:val="000000"/>
                          <w:szCs w:val="24"/>
                        </w:rPr>
                      </w:pPr>
                      <w:sdt>
                        <w:sdtPr>
                          <w:alias w:val="Numeris"/>
                          <w:tag w:val="nr_b5a800c2c8144953b9d4e0ec59e42de5"/>
                          <w:lock w:val="sdtLocked"/>
                          <w:richText/>
                        </w:sdtPr>
                        <w:sdtContent>
                          <w:r>
                            <w:rPr>
                              <w:rFonts w:eastAsia="Calibri"/>
                              <w:color w:val="000000"/>
                              <w:szCs w:val="24"/>
                            </w:rPr>
                            <w:t>12.7</w:t>
                          </w:r>
                        </w:sdtContent>
                      </w:sdt>
                      <w:r>
                        <w:rPr>
                          <w:rFonts w:eastAsia="Calibri"/>
                          <w:color w:val="000000"/>
                          <w:szCs w:val="24"/>
                        </w:rPr>
                        <w:t>. bendrasis šlapimo tyrimas analizatoriumi;</w:t>
                      </w:r>
                    </w:p>
                  </w:sdtContent>
                </w:sdt>
                <w:sdt>
                  <w:sdtPr>
                    <w:alias w:val="11 pr. 12.8 pp."/>
                    <w:tag w:val="part_5e38ef56177c47df83c409f85ac862ca"/>
                    <w:lock w:val="sdtLocked"/>
                    <w:richText/>
                  </w:sdtPr>
                  <w:sdtContent>
                    <w:p>
                      <w:pPr>
                        <w:ind w:firstLine="709"/>
                        <w:jc w:val="both"/>
                        <w:rPr>
                          <w:rFonts w:eastAsia="Calibri"/>
                          <w:color w:val="000000"/>
                          <w:szCs w:val="24"/>
                        </w:rPr>
                      </w:pPr>
                      <w:sdt>
                        <w:sdtPr>
                          <w:alias w:val="Numeris"/>
                          <w:tag w:val="nr_5e38ef56177c47df83c409f85ac862ca"/>
                          <w:lock w:val="sdtLocked"/>
                          <w:richText/>
                        </w:sdtPr>
                        <w:sdtContent>
                          <w:r>
                            <w:rPr>
                              <w:rFonts w:eastAsia="Calibri"/>
                              <w:color w:val="000000"/>
                              <w:szCs w:val="24"/>
                            </w:rPr>
                            <w:t>12.8</w:t>
                          </w:r>
                        </w:sdtContent>
                      </w:sdt>
                      <w:r>
                        <w:rPr>
                          <w:rFonts w:eastAsia="Calibri"/>
                          <w:color w:val="000000"/>
                          <w:szCs w:val="24"/>
                        </w:rPr>
                        <w:t>. krūtinės ląstos rentgenograma;</w:t>
                      </w:r>
                    </w:p>
                  </w:sdtContent>
                </w:sdt>
                <w:sdt>
                  <w:sdtPr>
                    <w:alias w:val="11 pr. 12.9 pp."/>
                    <w:tag w:val="part_cc366baf458c4640b5e22941440d5274"/>
                    <w:lock w:val="sdtLocked"/>
                    <w:richText/>
                  </w:sdtPr>
                  <w:sdtContent>
                    <w:p>
                      <w:pPr>
                        <w:ind w:firstLine="709"/>
                        <w:jc w:val="both"/>
                        <w:rPr>
                          <w:rFonts w:eastAsia="Calibri"/>
                          <w:szCs w:val="24"/>
                        </w:rPr>
                      </w:pPr>
                      <w:sdt>
                        <w:sdtPr>
                          <w:alias w:val="Numeris"/>
                          <w:tag w:val="nr_cc366baf458c4640b5e22941440d5274"/>
                          <w:lock w:val="sdtLocked"/>
                          <w:richText/>
                        </w:sdtPr>
                        <w:sdtContent>
                          <w:r>
                            <w:rPr>
                              <w:rFonts w:eastAsia="Calibri"/>
                              <w:szCs w:val="24"/>
                            </w:rPr>
                            <w:t>12.9</w:t>
                          </w:r>
                        </w:sdtContent>
                      </w:sdt>
                      <w:r>
                        <w:rPr>
                          <w:rFonts w:eastAsia="Calibri"/>
                          <w:szCs w:val="24"/>
                        </w:rPr>
                        <w:t>. EKG ramybės metu (prieš įsidarbinimą ir nuo 35 m.);</w:t>
                      </w:r>
                    </w:p>
                  </w:sdtContent>
                </w:sdt>
                <w:sdt>
                  <w:sdtPr>
                    <w:alias w:val="11 pr. 12.10 pp."/>
                    <w:tag w:val="part_f1df0ff4e1d14a988e62c466a4dc766e"/>
                    <w:lock w:val="sdtLocked"/>
                    <w:richText/>
                  </w:sdtPr>
                  <w:sdtContent>
                    <w:p>
                      <w:pPr>
                        <w:ind w:firstLine="709"/>
                        <w:jc w:val="both"/>
                        <w:rPr>
                          <w:rFonts w:eastAsia="Calibri"/>
                          <w:color w:val="000000"/>
                          <w:szCs w:val="24"/>
                        </w:rPr>
                      </w:pPr>
                      <w:sdt>
                        <w:sdtPr>
                          <w:alias w:val="Numeris"/>
                          <w:tag w:val="nr_f1df0ff4e1d14a988e62c466a4dc766e"/>
                          <w:lock w:val="sdtLocked"/>
                          <w:richText/>
                        </w:sdtPr>
                        <w:sdtContent>
                          <w:r>
                            <w:rPr>
                              <w:rFonts w:eastAsia="Calibri"/>
                              <w:color w:val="000000"/>
                              <w:szCs w:val="24"/>
                            </w:rPr>
                            <w:t>12.10</w:t>
                          </w:r>
                        </w:sdtContent>
                      </w:sdt>
                      <w:r>
                        <w:rPr>
                          <w:rFonts w:eastAsia="Calibri"/>
                          <w:color w:val="000000"/>
                          <w:szCs w:val="24"/>
                        </w:rPr>
                        <w:t>. akispūdžio matavimas (asmenims nuo 40 m. amžiaus – 1 kartą kas 3 metus);</w:t>
                      </w:r>
                    </w:p>
                  </w:sdtContent>
                </w:sdt>
                <w:sdt>
                  <w:sdtPr>
                    <w:alias w:val="11 pr. 12.11 pp."/>
                    <w:tag w:val="part_7d2c1f23dc1c47a6a3c268d6f3458b0c"/>
                    <w:lock w:val="sdtLocked"/>
                    <w:richText/>
                  </w:sdtPr>
                  <w:sdtContent>
                    <w:p>
                      <w:pPr>
                        <w:ind w:firstLine="709"/>
                        <w:jc w:val="both"/>
                        <w:rPr>
                          <w:color w:val="000000"/>
                          <w:szCs w:val="24"/>
                        </w:rPr>
                      </w:pPr>
                      <w:sdt>
                        <w:sdtPr>
                          <w:alias w:val="Numeris"/>
                          <w:tag w:val="nr_7d2c1f23dc1c47a6a3c268d6f3458b0c"/>
                          <w:lock w:val="sdtLocked"/>
                          <w:richText/>
                        </w:sdtPr>
                        <w:sdtContent>
                          <w:r>
                            <w:rPr>
                              <w:color w:val="000000"/>
                              <w:szCs w:val="24"/>
                            </w:rPr>
                            <w:t>12.11</w:t>
                          </w:r>
                        </w:sdtContent>
                      </w:sdt>
                      <w:r>
                        <w:rPr>
                          <w:color w:val="000000"/>
                          <w:szCs w:val="24"/>
                        </w:rPr>
                        <w:t>. regėjimo aštrumo nustatymas;</w:t>
                      </w:r>
                    </w:p>
                  </w:sdtContent>
                </w:sdt>
                <w:sdt>
                  <w:sdtPr>
                    <w:alias w:val="11 pr. 12.12 pp."/>
                    <w:tag w:val="part_b1ada84469ef4fdfb8ec0d3a98157e33"/>
                    <w:lock w:val="sdtLocked"/>
                    <w:richText/>
                  </w:sdtPr>
                  <w:sdtContent>
                    <w:p>
                      <w:pPr>
                        <w:ind w:firstLine="709"/>
                        <w:jc w:val="both"/>
                        <w:rPr>
                          <w:rFonts w:eastAsia="Calibri"/>
                          <w:color w:val="000000"/>
                          <w:szCs w:val="24"/>
                        </w:rPr>
                      </w:pPr>
                      <w:sdt>
                        <w:sdtPr>
                          <w:alias w:val="Numeris"/>
                          <w:tag w:val="nr_b1ada84469ef4fdfb8ec0d3a98157e33"/>
                          <w:lock w:val="sdtLocked"/>
                          <w:richText/>
                        </w:sdtPr>
                        <w:sdtContent>
                          <w:r>
                            <w:rPr>
                              <w:color w:val="000000"/>
                              <w:szCs w:val="24"/>
                            </w:rPr>
                            <w:t>12.12</w:t>
                          </w:r>
                        </w:sdtContent>
                      </w:sdt>
                      <w:r>
                        <w:rPr>
                          <w:color w:val="000000"/>
                          <w:szCs w:val="24"/>
                        </w:rPr>
                        <w:t>. spalvinės regos nustatymas – I ir IV profesinei grupei</w:t>
                      </w:r>
                      <w:r>
                        <w:rPr>
                          <w:rFonts w:eastAsia="Calibri"/>
                          <w:color w:val="000000"/>
                          <w:szCs w:val="24"/>
                        </w:rPr>
                        <w:t>;</w:t>
                      </w:r>
                    </w:p>
                  </w:sdtContent>
                </w:sdt>
                <w:sdt>
                  <w:sdtPr>
                    <w:alias w:val="11 pr. 12.13 pp."/>
                    <w:tag w:val="part_79cd18d2a7d14226965451c7754ffa65"/>
                    <w:lock w:val="sdtLocked"/>
                    <w:richText/>
                  </w:sdtPr>
                  <w:sdtContent>
                    <w:p>
                      <w:pPr>
                        <w:ind w:firstLine="709"/>
                        <w:jc w:val="both"/>
                        <w:rPr>
                          <w:rFonts w:eastAsia="Calibri"/>
                          <w:color w:val="000000"/>
                          <w:szCs w:val="24"/>
                        </w:rPr>
                      </w:pPr>
                      <w:sdt>
                        <w:sdtPr>
                          <w:alias w:val="Numeris"/>
                          <w:tag w:val="nr_79cd18d2a7d14226965451c7754ffa65"/>
                          <w:lock w:val="sdtLocked"/>
                          <w:richText/>
                        </w:sdtPr>
                        <w:sdtContent>
                          <w:r>
                            <w:rPr>
                              <w:rFonts w:eastAsia="Calibri"/>
                              <w:color w:val="000000"/>
                              <w:szCs w:val="24"/>
                            </w:rPr>
                            <w:t>12.13</w:t>
                          </w:r>
                        </w:sdtContent>
                      </w:sdt>
                      <w:r>
                        <w:rPr>
                          <w:rFonts w:eastAsia="Calibri"/>
                          <w:color w:val="000000"/>
                          <w:szCs w:val="24"/>
                        </w:rPr>
                        <w:t>. klausos patikrinimas;</w:t>
                      </w:r>
                    </w:p>
                  </w:sdtContent>
                </w:sdt>
                <w:sdt>
                  <w:sdtPr>
                    <w:alias w:val="11 pr. 12.14 pp."/>
                    <w:tag w:val="part_74400bf8bfa6482d8a9ba82009b11dfc"/>
                    <w:lock w:val="sdtLocked"/>
                    <w:richText/>
                  </w:sdtPr>
                  <w:sdtContent>
                    <w:p>
                      <w:pPr>
                        <w:ind w:firstLine="709"/>
                        <w:jc w:val="both"/>
                        <w:rPr>
                          <w:rFonts w:eastAsia="Calibri"/>
                          <w:color w:val="000000"/>
                          <w:szCs w:val="24"/>
                        </w:rPr>
                      </w:pPr>
                      <w:sdt>
                        <w:sdtPr>
                          <w:alias w:val="Numeris"/>
                          <w:tag w:val="nr_74400bf8bfa6482d8a9ba82009b11dfc"/>
                          <w:lock w:val="sdtLocked"/>
                          <w:richText/>
                        </w:sdtPr>
                        <w:sdtContent>
                          <w:r>
                            <w:rPr>
                              <w:rFonts w:eastAsia="Calibri"/>
                              <w:color w:val="000000"/>
                              <w:szCs w:val="24"/>
                            </w:rPr>
                            <w:t>12.14</w:t>
                          </w:r>
                        </w:sdtContent>
                      </w:sdt>
                      <w:r>
                        <w:rPr>
                          <w:rFonts w:eastAsia="Calibri"/>
                          <w:color w:val="000000"/>
                          <w:szCs w:val="24"/>
                        </w:rPr>
                        <w:t>. audiometrija – II profesinei grupei;</w:t>
                      </w:r>
                    </w:p>
                  </w:sdtContent>
                </w:sdt>
                <w:sdt>
                  <w:sdtPr>
                    <w:alias w:val="11 pr. 12.15 pp."/>
                    <w:tag w:val="part_f8a31a904f194a17b5c917ef56830ed6"/>
                    <w:lock w:val="sdtLocked"/>
                    <w:richText/>
                  </w:sdtPr>
                  <w:sdtContent>
                    <w:p>
                      <w:pPr>
                        <w:ind w:firstLine="709"/>
                        <w:jc w:val="both"/>
                        <w:rPr>
                          <w:rFonts w:eastAsia="Calibri"/>
                          <w:color w:val="000000"/>
                          <w:szCs w:val="24"/>
                        </w:rPr>
                      </w:pPr>
                      <w:sdt>
                        <w:sdtPr>
                          <w:alias w:val="Numeris"/>
                          <w:tag w:val="nr_f8a31a904f194a17b5c917ef56830ed6"/>
                          <w:lock w:val="sdtLocked"/>
                          <w:richText/>
                        </w:sdtPr>
                        <w:sdtContent>
                          <w:r>
                            <w:rPr>
                              <w:rFonts w:eastAsia="Calibri"/>
                              <w:color w:val="000000"/>
                              <w:szCs w:val="24"/>
                            </w:rPr>
                            <w:t>12.15</w:t>
                          </w:r>
                        </w:sdtContent>
                      </w:sdt>
                      <w:r>
                        <w:rPr>
                          <w:rFonts w:eastAsia="Calibri"/>
                          <w:color w:val="000000"/>
                          <w:szCs w:val="24"/>
                        </w:rPr>
                        <w:t>. citologinis Pap tyrimas moterims – nuo 35 m;</w:t>
                      </w:r>
                    </w:p>
                  </w:sdtContent>
                </w:sdt>
                <w:sdt>
                  <w:sdtPr>
                    <w:alias w:val="11 pr. 12.16 pp."/>
                    <w:tag w:val="part_1ead58615f744f0eb641ad3f63a790fc"/>
                    <w:lock w:val="sdtLocked"/>
                    <w:richText/>
                  </w:sdtPr>
                  <w:sdtContent>
                    <w:p>
                      <w:pPr>
                        <w:ind w:firstLine="709"/>
                        <w:jc w:val="both"/>
                        <w:rPr>
                          <w:color w:val="000000"/>
                          <w:szCs w:val="24"/>
                        </w:rPr>
                      </w:pPr>
                      <w:sdt>
                        <w:sdtPr>
                          <w:alias w:val="Numeris"/>
                          <w:tag w:val="nr_1ead58615f744f0eb641ad3f63a790fc"/>
                          <w:lock w:val="sdtLocked"/>
                          <w:richText/>
                        </w:sdtPr>
                        <w:sdtContent>
                          <w:r>
                            <w:rPr>
                              <w:rFonts w:eastAsia="Calibri"/>
                              <w:color w:val="000000"/>
                              <w:szCs w:val="24"/>
                            </w:rPr>
                            <w:t>12.16</w:t>
                          </w:r>
                        </w:sdtContent>
                      </w:sdt>
                      <w:r>
                        <w:rPr>
                          <w:rFonts w:eastAsia="Calibri"/>
                          <w:color w:val="000000"/>
                          <w:szCs w:val="24"/>
                        </w:rPr>
                        <w:t>. rekomenduojamas PSA tyrimas vyrams, vyresniems kaip 50 m. amžiaus.</w:t>
                      </w:r>
                    </w:p>
                  </w:sdtContent>
                </w:sdt>
              </w:sdtContent>
            </w:sdt>
            <w:sdt>
              <w:sdtPr>
                <w:alias w:val="11 pr. 13 p."/>
                <w:tag w:val="part_4e6f5044613d4cda8b71eab1d9180e66"/>
                <w:lock w:val="sdtLocked"/>
                <w:richText/>
              </w:sdtPr>
              <w:sdtContent>
                <w:p>
                  <w:pPr>
                    <w:ind w:firstLine="709"/>
                    <w:jc w:val="both"/>
                    <w:rPr>
                      <w:color w:val="FF0000"/>
                      <w:szCs w:val="24"/>
                      <w:lang w:val="en-AU" w:eastAsia="x-none"/>
                    </w:rPr>
                  </w:pPr>
                  <w:sdt>
                    <w:sdtPr>
                      <w:alias w:val="Numeris"/>
                      <w:tag w:val="nr_4e6f5044613d4cda8b71eab1d9180e66"/>
                      <w:lock w:val="sdtLocked"/>
                      <w:richText/>
                    </w:sdtPr>
                    <w:sdtContent>
                      <w:r>
                        <w:rPr>
                          <w:szCs w:val="24"/>
                          <w:lang w:eastAsia="x-none"/>
                        </w:rPr>
                        <w:t>13</w:t>
                      </w:r>
                    </w:sdtContent>
                  </w:sdt>
                  <w:r>
                    <w:rPr>
                      <w:szCs w:val="24"/>
                      <w:lang w:eastAsia="x-none"/>
                    </w:rPr>
                    <w:t xml:space="preserve">. </w:t>
                  </w:r>
                  <w:r>
                    <w:rPr>
                      <w:szCs w:val="24"/>
                      <w:lang w:val="en-AU" w:eastAsia="x-none"/>
                    </w:rPr>
                    <w:t>Kiekvienas sveikatą tikrinantis gydytojas, nurodytas Aprašo 11 punkte, nustato paciento sveikatos būklės profesinį tinkamumą ir į formą Nr. 025/a įrašo i</w:t>
                  </w:r>
                  <w:r>
                    <w:rPr>
                      <w:color w:val="000000"/>
                      <w:szCs w:val="24"/>
                      <w:lang w:val="en-AU" w:eastAsia="x-none"/>
                    </w:rPr>
                    <w:t>švadą</w:t>
                  </w:r>
                  <w:r>
                    <w:rPr>
                      <w:szCs w:val="24"/>
                      <w:lang w:val="en-AU" w:eastAsia="x-none"/>
                    </w:rPr>
                    <w:t xml:space="preserve">, pasirašo, patvirtina savo gydytojo spaudu. Išvadoje nurodo, ar asmuo gali dirbti, pažymi konkrečią profesinę grupę ir apribojimus, jei tokių yra. </w:t>
                  </w:r>
                </w:p>
              </w:sdtContent>
            </w:sdt>
            <w:sdt>
              <w:sdtPr>
                <w:alias w:val="11 pr. 14 p."/>
                <w:tag w:val="part_44ad0c4d0c29454fa76de9c5376a9f17"/>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709"/>
                    <w:jc w:val="both"/>
                    <w:rPr>
                      <w:szCs w:val="24"/>
                      <w:lang w:eastAsia="x-none"/>
                    </w:rPr>
                  </w:pPr>
                  <w:sdt>
                    <w:sdtPr>
                      <w:alias w:val="Numeris"/>
                      <w:tag w:val="nr_44ad0c4d0c29454fa76de9c5376a9f17"/>
                      <w:lock w:val="sdtLocked"/>
                      <w:richText/>
                    </w:sdtPr>
                    <w:sdtContent>
                      <w:r>
                        <w:rPr>
                          <w:szCs w:val="24"/>
                        </w:rPr>
                        <w:t>14</w:t>
                      </w:r>
                    </w:sdtContent>
                  </w:sdt>
                  <w:r>
                    <w:rPr>
                      <w:szCs w:val="24"/>
                    </w:rPr>
                    <w:t>. Vidaus vandenų transporto specialistų bei </w:t>
                  </w:r>
                  <w:r>
                    <w:rPr>
                      <w:szCs w:val="24"/>
                      <w:lang w:val="en-AU"/>
                    </w:rPr>
                    <w:t>motorinių pramoginių laivų ir kitų motorinių plaukiojimo priemonių </w:t>
                  </w:r>
                  <w:r>
                    <w:rPr>
                      <w:szCs w:val="24"/>
                    </w:rPr>
                    <w:t>laivavedžių sveikata tikrinama ASPĮ, turinčioje licenciją teikti asmens sveikatos priežiūros paslaugas.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6f3b7046d011ec992fe4cdfceb5666">
                    <w:r w:rsidRPr="00532B9F">
                      <w:rPr>
                        <w:rFonts w:ascii="Times New Roman" w:eastAsia="MS Mincho" w:hAnsi="Times New Roman"/>
                        <w:sz w:val="20"/>
                        <w:i/>
                        <w:iCs/>
                        <w:color w:val="0000FF" w:themeColor="hyperlink"/>
                        <w:u w:val="single"/>
                      </w:rPr>
                      <w:t>V-2596</w:t>
                    </w:r>
                  </w:fldSimple>
                  <w:r>
                    <w:rPr>
                      <w:rFonts w:ascii="Times New Roman" w:eastAsia="MS Mincho" w:hAnsi="Times New Roman"/>
                      <w:sz w:val="20"/>
                      <w:i/>
                      <w:iCs/>
                    </w:rPr>
                    <w:t>,
2021-11-16,
paskelbta TAR 2021-11-16, i. k. 2021-23674            </w:t>
                  </w:r>
                </w:p>
                <w:p/>
              </w:sdtContent>
            </w:sdt>
            <w:sdt>
              <w:sdtPr>
                <w:alias w:val="11 pr. 15 p."/>
                <w:tag w:val="part_0c54a5979c20439b8e92ca4f35ad1f2a"/>
                <w:lock w:val="sdtLocked"/>
                <w:richText/>
              </w:sdtPr>
              <w:sdtContent>
                <w:p>
                  <w:pPr>
                    <w:tabs>
                      <w:tab w:val="left" w:pos="0"/>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709"/>
                    <w:jc w:val="both"/>
                    <w:rPr>
                      <w:rFonts w:eastAsia="Calibri"/>
                      <w:color w:val="000000"/>
                      <w:szCs w:val="24"/>
                      <w:lang w:eastAsia="x-none"/>
                    </w:rPr>
                  </w:pPr>
                  <w:sdt>
                    <w:sdtPr>
                      <w:alias w:val="Numeris"/>
                      <w:tag w:val="nr_0c54a5979c20439b8e92ca4f35ad1f2a"/>
                      <w:lock w:val="sdtLocked"/>
                      <w:richText/>
                    </w:sdtPr>
                    <w:sdtContent>
                      <w:r>
                        <w:rPr>
                          <w:szCs w:val="24"/>
                        </w:rPr>
                        <w:t>15</w:t>
                      </w:r>
                    </w:sdtContent>
                  </w:sdt>
                  <w:r>
                    <w:rPr>
                      <w:szCs w:val="24"/>
                    </w:rPr>
                    <w:t xml:space="preserve">. Vidaus vandenų transporto specialistų bei </w:t>
                  </w:r>
                  <w:r>
                    <w:rPr>
                      <w:szCs w:val="24"/>
                      <w:lang w:val="en-AU"/>
                    </w:rPr>
                    <w:t xml:space="preserve">motorinių pramoginių laivų ir kitų motorinių plaukiojimo priemonių </w:t>
                  </w:r>
                  <w:r>
                    <w:rPr>
                      <w:szCs w:val="24"/>
                    </w:rPr>
                    <w:t xml:space="preserve">laivavedžių, kuriems reikia sveikatos pažymėjimo dėl vykdomų funkcijų, sveikatą tikrina ASPĮ šeimos medicinos paslaugas teikiantys gydytojai (šeimos gydytojas, vidaus ligų gydytojas) arba darbo medicinos gydytojas, įvertinę paciento sveikatos duomenis </w:t>
                  </w:r>
                  <w:r>
                    <w:rPr>
                      <w:rFonts w:eastAsia="Calibri"/>
                      <w:szCs w:val="24"/>
                    </w:rPr>
                    <w:t>Elektroninės sveikatos paslaugų ir bendradarbiavimo infrastruktūros informacinėje sistemoje,</w:t>
                  </w:r>
                  <w:r>
                    <w:rPr>
                      <w:rFonts w:eastAsia="Calibri"/>
                      <w:b/>
                      <w:bCs/>
                      <w:szCs w:val="24"/>
                    </w:rPr>
                    <w:t xml:space="preserve"> </w:t>
                  </w:r>
                  <w:r>
                    <w:rPr>
                      <w:szCs w:val="24"/>
                    </w:rPr>
                    <w:t>gydytojo psichiatro bei kitų reikiamų profesinių kvalifikacijų gydytojų tikrinimų išvadas, įrašytas formoje Nr. 027/a.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6f3b7046d011ec992fe4cdfceb5666">
                    <w:r w:rsidRPr="00532B9F">
                      <w:rPr>
                        <w:rFonts w:ascii="Times New Roman" w:eastAsia="MS Mincho" w:hAnsi="Times New Roman"/>
                        <w:sz w:val="20"/>
                        <w:i/>
                        <w:iCs/>
                        <w:color w:val="0000FF" w:themeColor="hyperlink"/>
                        <w:u w:val="single"/>
                      </w:rPr>
                      <w:t>V-2596</w:t>
                    </w:r>
                  </w:fldSimple>
                  <w:r>
                    <w:rPr>
                      <w:rFonts w:ascii="Times New Roman" w:eastAsia="MS Mincho" w:hAnsi="Times New Roman"/>
                      <w:sz w:val="20"/>
                      <w:i/>
                      <w:iCs/>
                    </w:rPr>
                    <w:t>,
2021-11-16,
paskelbta TAR 2021-11-16, i. k. 2021-23674            </w:t>
                  </w:r>
                </w:p>
                <w:p/>
              </w:sdtContent>
            </w:sdt>
            <w:sdt>
              <w:sdtPr>
                <w:alias w:val="11 pr. 16 p."/>
                <w:tag w:val="part_9837561fdedc4663b9b91219b363fc95"/>
                <w:lock w:val="sdtLocked"/>
                <w:richText/>
              </w:sdtPr>
              <w:sdtContent>
                <w:p>
                  <w:pPr>
                    <w:widowControl w:val="0"/>
                    <w:ind w:firstLine="709"/>
                    <w:jc w:val="both"/>
                    <w:rPr>
                      <w:rFonts w:eastAsia="Calibri"/>
                      <w:color w:val="000000"/>
                      <w:szCs w:val="24"/>
                      <w:lang w:eastAsia="x-none"/>
                    </w:rPr>
                  </w:pPr>
                  <w:sdt>
                    <w:sdtPr>
                      <w:alias w:val="Numeris"/>
                      <w:tag w:val="nr_9837561fdedc4663b9b91219b363fc95"/>
                      <w:lock w:val="sdtLocked"/>
                      <w:richText/>
                    </w:sdtPr>
                    <w:sdtContent>
                      <w:r>
                        <w:rPr>
                          <w:color w:val="000000"/>
                          <w:szCs w:val="24"/>
                          <w:lang w:eastAsia="x-none"/>
                        </w:rPr>
                        <w:t>16</w:t>
                      </w:r>
                    </w:sdtContent>
                  </w:sdt>
                  <w:r>
                    <w:rPr>
                      <w:color w:val="000000"/>
                      <w:szCs w:val="24"/>
                      <w:lang w:eastAsia="x-none"/>
                    </w:rPr>
                    <w:t xml:space="preserve">. </w:t>
                  </w:r>
                  <w:r>
                    <w:rPr>
                      <w:szCs w:val="24"/>
                      <w:lang w:eastAsia="x-none"/>
                    </w:rPr>
                    <w:t xml:space="preserve">Gydytojai, tikrinantys vidaus vandenų transporto specialistų bei </w:t>
                  </w:r>
                  <w:r>
                    <w:rPr>
                      <w:color w:val="000000"/>
                      <w:szCs w:val="24"/>
                      <w:lang w:val="en-AU" w:eastAsia="x-none"/>
                    </w:rPr>
                    <w:t>m</w:t>
                  </w:r>
                  <w:r>
                    <w:rPr>
                      <w:szCs w:val="24"/>
                      <w:lang w:val="en-AU" w:eastAsia="x-none"/>
                    </w:rPr>
                    <w:t>otorinių pramoginių laivų ir kitų motorinių plaukiojimo priemonių</w:t>
                  </w:r>
                  <w:r>
                    <w:rPr>
                      <w:szCs w:val="24"/>
                      <w:lang w:eastAsia="x-none"/>
                    </w:rPr>
                    <w:t xml:space="preserve"> laivavedžių sveikatą, paskiria tyrimus ir nustato jų dažnumą, vadovaudamiesi savo profesinės kvalifikacijos gydytojo Lietuvos medicinos norma, šiuo Aprašu, </w:t>
                  </w:r>
                  <w:r>
                    <w:rPr>
                      <w:lang w:eastAsia="x-none"/>
                    </w:rPr>
                    <w:t xml:space="preserve">Neinfekcinių ligų profilaktikos ir kontrolės tvarka (6 priedas) </w:t>
                  </w:r>
                  <w:r>
                    <w:rPr>
                      <w:szCs w:val="24"/>
                      <w:lang w:eastAsia="x-none"/>
                    </w:rPr>
                    <w:t>bei kitais teisės aktais, ir atsako už sveikatos tikrinimo kokybę.</w:t>
                  </w:r>
                </w:p>
              </w:sdtContent>
            </w:sdt>
            <w:sdt>
              <w:sdtPr>
                <w:alias w:val="11 pr. 17 p."/>
                <w:tag w:val="part_3f763ab8e46f482f86af33906e5a487c"/>
                <w:lock w:val="sdtLocked"/>
                <w:richText/>
              </w:sdtPr>
              <w:sdtContent>
                <w:p>
                  <w:pPr>
                    <w:widowControl w:val="0"/>
                    <w:ind w:firstLine="709"/>
                    <w:jc w:val="both"/>
                    <w:rPr>
                      <w:szCs w:val="24"/>
                      <w:lang w:eastAsia="x-none"/>
                    </w:rPr>
                  </w:pPr>
                  <w:sdt>
                    <w:sdtPr>
                      <w:alias w:val="Numeris"/>
                      <w:tag w:val="nr_3f763ab8e46f482f86af33906e5a487c"/>
                      <w:lock w:val="sdtLocked"/>
                      <w:richText/>
                    </w:sdtPr>
                    <w:sdtContent>
                      <w:r>
                        <w:rPr>
                          <w:szCs w:val="24"/>
                          <w:lang w:eastAsia="x-none"/>
                        </w:rPr>
                        <w:t>17</w:t>
                      </w:r>
                    </w:sdtContent>
                  </w:sdt>
                  <w:r>
                    <w:rPr>
                      <w:szCs w:val="24"/>
                      <w:lang w:eastAsia="x-none"/>
                    </w:rPr>
                    <w:t xml:space="preserve">. </w:t>
                  </w:r>
                  <w:r>
                    <w:rPr>
                      <w:color w:val="000000"/>
                      <w:szCs w:val="24"/>
                      <w:lang w:eastAsia="x-none"/>
                    </w:rPr>
                    <w:t xml:space="preserve">Visais atvejais paciento regėjimo aštrumą, spalvų jutimą tikrina gydytojas oftalmologas, o klausą – gydytojas </w:t>
                  </w:r>
                  <w:r>
                    <w:rPr>
                      <w:rFonts w:eastAsia="Calibri"/>
                      <w:color w:val="000000"/>
                      <w:szCs w:val="24"/>
                      <w:lang w:eastAsia="x-none"/>
                    </w:rPr>
                    <w:t xml:space="preserve">otorinolaringologas. Jie nustato </w:t>
                  </w:r>
                  <w:r>
                    <w:rPr>
                      <w:szCs w:val="24"/>
                      <w:lang w:val="en-AU" w:eastAsia="x-none"/>
                    </w:rPr>
                    <w:t xml:space="preserve">paciento sveikatos būklės profesinį tinkamumą ir išvadose nurodo, ar asmuo gali dirbti vidaus vandenų transporto specialistu, motorinių pramoginių laivų ir kitų motorinių plaukiojimo priemonių laivavedžiu, pažymi konkrečią profesinę grupę ir apribojimus, jei tokių yra. Išvadą įrašo į formą Nr. 025/a ir, jei reikia, į </w:t>
                  </w:r>
                  <w:r>
                    <w:rPr>
                      <w:szCs w:val="24"/>
                      <w:lang w:eastAsia="x-none"/>
                    </w:rPr>
                    <w:t>formą Nr. 027/a.</w:t>
                  </w:r>
                </w:p>
              </w:sdtContent>
            </w:sdt>
            <w:sdt>
              <w:sdtPr>
                <w:alias w:val="11 pr. 18 p."/>
                <w:tag w:val="part_3ecbc56127ff41c2b0575d71f7c4e170"/>
                <w:lock w:val="sdtLocked"/>
                <w:richText/>
              </w:sdtPr>
              <w:sdtContent>
                <w:p>
                  <w:pPr>
                    <w:ind w:firstLine="709"/>
                    <w:jc w:val="both"/>
                    <w:rPr>
                      <w:szCs w:val="24"/>
                      <w:lang w:val="en-AU" w:eastAsia="x-none"/>
                    </w:rPr>
                  </w:pPr>
                  <w:sdt>
                    <w:sdtPr>
                      <w:alias w:val="Numeris"/>
                      <w:tag w:val="nr_3ecbc56127ff41c2b0575d71f7c4e170"/>
                      <w:lock w:val="sdtLocked"/>
                      <w:richText/>
                    </w:sdtPr>
                    <w:sdtContent>
                      <w:r>
                        <w:rPr>
                          <w:szCs w:val="24"/>
                          <w:lang w:val="en-AU" w:eastAsia="x-none"/>
                        </w:rPr>
                        <w:t>18</w:t>
                      </w:r>
                    </w:sdtContent>
                  </w:sdt>
                  <w:r>
                    <w:rPr>
                      <w:szCs w:val="24"/>
                      <w:lang w:val="en-AU" w:eastAsia="x-none"/>
                    </w:rPr>
                    <w:t>. Sveikatos tikrinimo ir tyrimų duomenys įrašomi formoje Nr. 025/a. Gydytojai nustato paciento sveikatos būklės profesinį tinkamumą ir išvadose nurodo, ar asmuo gali dirbti jūrininku ar vidaus vandenų transporto specialistu, motorinių pramoginių laivų ir kitų motorinių plaukiojimo priemonių laivavedžiu, pažymi konkrečią profesinę grupę ir apribojimus, jei tokių yra.</w:t>
                  </w:r>
                </w:p>
              </w:sdtContent>
            </w:sdt>
            <w:sdt>
              <w:sdtPr>
                <w:alias w:val="11 pr. 19 p."/>
                <w:tag w:val="part_7493f58d73a345fc8d91e79de34b6d40"/>
                <w:lock w:val="sdtLocked"/>
                <w:richText/>
              </w:sdtPr>
              <w:sdtContent>
                <w:p>
                  <w:pPr>
                    <w:ind w:firstLine="709"/>
                    <w:jc w:val="both"/>
                    <w:rPr>
                      <w:color w:val="000000"/>
                      <w:szCs w:val="24"/>
                    </w:rPr>
                  </w:pPr>
                  <w:sdt>
                    <w:sdtPr>
                      <w:alias w:val="Numeris"/>
                      <w:tag w:val="nr_7493f58d73a345fc8d91e79de34b6d40"/>
                      <w:lock w:val="sdtLocked"/>
                      <w:richText/>
                    </w:sdtPr>
                    <w:sdtContent>
                      <w:r>
                        <w:rPr>
                          <w:color w:val="000000"/>
                          <w:szCs w:val="24"/>
                        </w:rPr>
                        <w:t>19</w:t>
                      </w:r>
                    </w:sdtContent>
                  </w:sdt>
                  <w:r>
                    <w:rPr>
                      <w:color w:val="000000"/>
                      <w:szCs w:val="24"/>
                    </w:rPr>
                    <w:t xml:space="preserve">. </w:t>
                  </w:r>
                  <w:r>
                    <w:rPr>
                      <w:szCs w:val="24"/>
                    </w:rPr>
                    <w:t>Aprašo 15 punkte nurodytas sveikatą tikrinantis gydytojas į formą Nr. 025/a įrašo apibendrintą i</w:t>
                  </w:r>
                  <w:r>
                    <w:rPr>
                      <w:color w:val="000000"/>
                      <w:szCs w:val="24"/>
                    </w:rPr>
                    <w:t>švadą</w:t>
                  </w:r>
                  <w:r>
                    <w:rPr>
                      <w:szCs w:val="24"/>
                    </w:rPr>
                    <w:t xml:space="preserve">, pasirašo, patvirtina savo gydytojo spaudu ir siunčia atitinkamai ASPĮ vadovo įsakymu </w:t>
                  </w:r>
                  <w:r>
                    <w:rPr>
                      <w:color w:val="000000"/>
                      <w:szCs w:val="24"/>
                    </w:rPr>
                    <w:t xml:space="preserve">paskirtam gydytojui ar į ASPĮ gydytojų konsultacinę komisiją (toliau – GKK) dėl galutinės išvados. </w:t>
                  </w:r>
                </w:p>
              </w:sdtContent>
            </w:sdt>
            <w:sdt>
              <w:sdtPr>
                <w:alias w:val="11 pr. 20 p."/>
                <w:tag w:val="part_aab3a3a23dbf427a93a64e1cb01d3b86"/>
                <w:lock w:val="sdtLocked"/>
                <w:richText/>
              </w:sdtPr>
              <w:sdtContent>
                <w:p>
                  <w:pPr>
                    <w:ind w:firstLine="720"/>
                    <w:jc w:val="both"/>
                    <w:rPr>
                      <w:color w:val="000000"/>
                      <w:szCs w:val="24"/>
                    </w:rPr>
                  </w:pPr>
                  <w:sdt>
                    <w:sdtPr>
                      <w:alias w:val="Numeris"/>
                      <w:tag w:val="nr_aab3a3a23dbf427a93a64e1cb01d3b86"/>
                      <w:lock w:val="sdtLocked"/>
                      <w:richText/>
                    </w:sdtPr>
                    <w:sdtContent>
                      <w:r>
                        <w:rPr>
                          <w:color w:val="000000"/>
                          <w:szCs w:val="24"/>
                        </w:rPr>
                        <w:t>20</w:t>
                      </w:r>
                    </w:sdtContent>
                  </w:sdt>
                  <w:r>
                    <w:rPr>
                      <w:color w:val="000000"/>
                      <w:szCs w:val="24"/>
                    </w:rPr>
                    <w:t xml:space="preserve">. Galutinė išvada formuluojama taip: „Tinka (be apribojimų)“, „Tinka, taikant tam tikrus apribojimus (pažymėti / įrašyti tai, kas tinka)“, „Netinka“, ir įrašoma į atitinkamą sveikatos pažymėjimą (jūrininkui – į įsakymu Nr. 515 patvirtintos formos Nr. 048-1/a jūrininko sveikatos pažymėjimą (toliau – forma Nr. 048-1/a), o vidaus vandenų transporto specialistui bei motorinių pramoginių laivų ir kitų motorinių plaukiojimo priemonių laivavedžių – į įsakymu Nr. 515 patvirtintos formos Nr. 048-2/a vidaus vandenų transporto specialisto bei motorinių pramoginių laivų ir kitų motorinių plaukiojimo priemonių laivavedžio sveikatos pažymėjimą (toliau – forma Nr. 048-2/a). </w:t>
                  </w:r>
                </w:p>
              </w:sdtContent>
            </w:sdt>
            <w:sdt>
              <w:sdtPr>
                <w:alias w:val="11 pr. 21 p."/>
                <w:tag w:val="part_30adbb396b5d4a25b392821bad73fe90"/>
                <w:lock w:val="sdtLocked"/>
                <w:richText/>
              </w:sdtPr>
              <w:sdtContent>
                <w:p>
                  <w:pPr>
                    <w:tabs>
                      <w:tab w:val="left" w:pos="851"/>
                    </w:tabs>
                    <w:ind w:firstLine="709"/>
                    <w:jc w:val="both"/>
                    <w:rPr>
                      <w:szCs w:val="24"/>
                    </w:rPr>
                  </w:pPr>
                  <w:sdt>
                    <w:sdtPr>
                      <w:alias w:val="Numeris"/>
                      <w:tag w:val="nr_30adbb396b5d4a25b392821bad73fe90"/>
                      <w:lock w:val="sdtLocked"/>
                      <w:richText/>
                    </w:sdtPr>
                    <w:sdtContent>
                      <w:r>
                        <w:rPr>
                          <w:color w:val="000000"/>
                          <w:szCs w:val="24"/>
                        </w:rPr>
                        <w:t>21</w:t>
                      </w:r>
                    </w:sdtContent>
                  </w:sdt>
                  <w:r>
                    <w:rPr>
                      <w:color w:val="000000"/>
                      <w:szCs w:val="24"/>
                    </w:rPr>
                    <w:t>. Minimalūs sveikatos tinkamumo reikalavimai, taikomi jūrininkams ir vidaus vandenų</w:t>
                  </w:r>
                  <w:r>
                    <w:rPr>
                      <w:szCs w:val="24"/>
                    </w:rPr>
                    <w:t xml:space="preserve"> transporto specialistams bei </w:t>
                  </w:r>
                  <w:r>
                    <w:rPr>
                      <w:color w:val="000000"/>
                      <w:szCs w:val="24"/>
                    </w:rPr>
                    <w:t>m</w:t>
                  </w:r>
                  <w:r>
                    <w:rPr>
                      <w:szCs w:val="24"/>
                    </w:rPr>
                    <w:t>otorinių pramoginių laivų ir kitų motorinių plaukiojimo priemonių laivavedžiams, ir tikrinimo mastai nurodyti Aprašo 1 priede.</w:t>
                  </w:r>
                </w:p>
              </w:sdtContent>
            </w:sdt>
            <w:sdt>
              <w:sdtPr>
                <w:alias w:val="11 pr. 22 p."/>
                <w:tag w:val="part_4d1d00e44d2043c1a9f65ce73b4c2b64"/>
                <w:lock w:val="sdtLocked"/>
                <w:richText/>
              </w:sdtPr>
              <w:sdtContent>
                <w:p>
                  <w:pPr>
                    <w:pStyle w:val="PlainText"/>
                    <w:ind w:firstLine="567"/>
                    <w:jc w:val="both"/>
                    <w:rPr>
                      <w:rFonts w:ascii="Times New Roman" w:hAnsi="Times New Roman"/>
                      <w:b/>
                      <w:bCs/>
                      <w:sz w:val="22"/>
                    </w:rPr>
                  </w:pPr>
                  <w:r>
                    <w:rPr>
                      <w:rFonts w:ascii="Times New Roman" w:hAnsi="Times New Roman"/>
                      <w:sz w:val="22"/>
                    </w:rPr>
                    <w:t>22</w:t>
                  </w:r>
                  <w:r>
                    <w:rPr>
                      <w:rFonts w:ascii="Times New Roman" w:hAnsi="Times New Roman"/>
                      <w:sz w:val="22"/>
                    </w:rPr>
                    <w:t>.</w:t>
                  </w:r>
                  <w:r>
                    <w:rPr>
                      <w:rFonts w:ascii="Times New Roman" w:eastAsia="MS Mincho" w:hAnsi="Times New Roman"/>
                      <w:sz w:val="20"/>
                      <w:i/>
                      <w:iCs/>
                    </w:rPr>
                    <w:t xml:space="preserve"> Neteko galios nuo 2018-09-05</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03834b0b03d11e88f64a5ecc703f89b">
                    <w:r w:rsidRPr="00532B9F">
                      <w:rPr>
                        <w:rFonts w:ascii="Times New Roman" w:eastAsia="MS Mincho" w:hAnsi="Times New Roman"/>
                        <w:sz w:val="20"/>
                        <w:i/>
                        <w:iCs/>
                        <w:color w:val="0000FF" w:themeColor="hyperlink"/>
                        <w:u w:val="single"/>
                      </w:rPr>
                      <w:t>V-976</w:t>
                    </w:r>
                  </w:fldSimple>
                  <w:r>
                    <w:rPr>
                      <w:rFonts w:ascii="Times New Roman" w:eastAsia="MS Mincho" w:hAnsi="Times New Roman"/>
                      <w:sz w:val="20"/>
                      <w:i/>
                      <w:iCs/>
                    </w:rPr>
                    <w:t>,
2018-09-04,
paskelbta TAR 2018-09-04, i. k. 2018-13962        </w:t>
                  </w:r>
                </w:p>
                <w:p/>
              </w:sdtContent>
            </w:sdt>
          </w:sdtContent>
        </w:sdt>
        <w:sdt>
          <w:sdtPr>
            <w:alias w:val="skyrius"/>
            <w:tag w:val="part_d99e4a60a2894dc9ab0c2cedbc77672c"/>
            <w:lock w:val="sdtLocked"/>
            <w:richText/>
          </w:sdtPr>
          <w:sdtContent>
            <w:p>
              <w:pPr>
                <w:ind w:left="568"/>
                <w:jc w:val="center"/>
                <w:rPr>
                  <w:b/>
                  <w:szCs w:val="24"/>
                </w:rPr>
              </w:pPr>
              <w:sdt>
                <w:sdtPr>
                  <w:alias w:val="Numeris"/>
                  <w:tag w:val="nr_d99e4a60a2894dc9ab0c2cedbc77672c"/>
                  <w:lock w:val="sdtLocked"/>
                  <w:richText/>
                </w:sdtPr>
                <w:sdtContent>
                  <w:r>
                    <w:rPr>
                      <w:b/>
                      <w:szCs w:val="24"/>
                    </w:rPr>
                    <w:t>III</w:t>
                  </w:r>
                </w:sdtContent>
              </w:sdt>
              <w:r>
                <w:rPr>
                  <w:b/>
                  <w:szCs w:val="24"/>
                </w:rPr>
                <w:t xml:space="preserve">. </w:t>
              </w:r>
              <w:sdt>
                <w:sdtPr>
                  <w:alias w:val="Pavadinimas"/>
                  <w:tag w:val="title_d99e4a60a2894dc9ab0c2cedbc77672c"/>
                  <w:lock w:val="sdtLocked"/>
                  <w:richText/>
                </w:sdtPr>
                <w:sdtContent>
                  <w:r>
                    <w:rPr>
                      <w:b/>
                      <w:color w:val="000000"/>
                      <w:szCs w:val="24"/>
                    </w:rPr>
                    <w:t xml:space="preserve">JŪRININKŲ IR VIDAUS VANDENŲ TRANSPORTO SPECIALISTŲ BEI MOTORINIŲ PRAMOGINIŲ LAIVŲ IR KITŲ MOTORINIŲ PLAUKIOJIMO PRIEMONIŲ LAIVAVEDŽIŲ SVEIKATOS TIKRINIMŲ </w:t>
                  </w:r>
                  <w:r>
                    <w:rPr>
                      <w:b/>
                      <w:szCs w:val="24"/>
                    </w:rPr>
                    <w:t>PERIODIŠKUMAS</w:t>
                  </w:r>
                </w:sdtContent>
              </w:sdt>
            </w:p>
            <w:p>
              <w:pPr>
                <w:jc w:val="both"/>
                <w:rPr>
                  <w:b/>
                  <w:szCs w:val="24"/>
                </w:rPr>
              </w:pPr>
            </w:p>
            <w:sdt>
              <w:sdtPr>
                <w:alias w:val="11 pr. 23 p."/>
                <w:tag w:val="part_62c46a946159434683041306ed1c5aa3"/>
                <w:lock w:val="sdtLocked"/>
                <w:richText/>
              </w:sdtPr>
              <w:sdtContent>
                <w:p>
                  <w:pPr>
                    <w:ind w:firstLine="709"/>
                    <w:jc w:val="both"/>
                    <w:rPr>
                      <w:color w:val="000000"/>
                      <w:szCs w:val="24"/>
                    </w:rPr>
                  </w:pPr>
                  <w:sdt>
                    <w:sdtPr>
                      <w:alias w:val="Numeris"/>
                      <w:tag w:val="nr_62c46a946159434683041306ed1c5aa3"/>
                      <w:lock w:val="sdtLocked"/>
                      <w:richText/>
                    </w:sdtPr>
                    <w:sdtContent>
                      <w:r>
                        <w:rPr>
                          <w:szCs w:val="24"/>
                        </w:rPr>
                        <w:t>23</w:t>
                      </w:r>
                    </w:sdtContent>
                  </w:sdt>
                  <w:r>
                    <w:rPr>
                      <w:szCs w:val="24"/>
                    </w:rPr>
                    <w:t xml:space="preserve">. Profesinių grupių, nurodytų </w:t>
                  </w:r>
                  <w:r>
                    <w:rPr>
                      <w:color w:val="000000"/>
                      <w:szCs w:val="24"/>
                    </w:rPr>
                    <w:t>Aprašo 6 punkte, j</w:t>
                  </w:r>
                  <w:r>
                    <w:rPr>
                      <w:szCs w:val="24"/>
                    </w:rPr>
                    <w:t xml:space="preserve">ūrininkai ir vidaus vandenų transporto specialistai bei </w:t>
                  </w:r>
                  <w:r>
                    <w:rPr>
                      <w:color w:val="000000"/>
                      <w:szCs w:val="24"/>
                    </w:rPr>
                    <w:t>m</w:t>
                  </w:r>
                  <w:r>
                    <w:rPr>
                      <w:szCs w:val="24"/>
                    </w:rPr>
                    <w:t xml:space="preserve">otorinių pramoginių laivų ir kitų motorinių plaukiojimo priemonių </w:t>
                  </w:r>
                  <w:r>
                    <w:rPr>
                      <w:color w:val="000000"/>
                      <w:szCs w:val="24"/>
                    </w:rPr>
                    <w:t>laivavedžiai (toliau – darbuotojai) sveikatą privalo tikrintis:</w:t>
                  </w:r>
                </w:p>
                <w:sdt>
                  <w:sdtPr>
                    <w:alias w:val="11 pr. 23.1 pp."/>
                    <w:tag w:val="part_e9baee25ee2f4f628c37885f07ad429d"/>
                    <w:lock w:val="sdtLocked"/>
                    <w:richText/>
                  </w:sdtPr>
                  <w:sdtContent>
                    <w:p>
                      <w:pPr>
                        <w:tabs>
                          <w:tab w:val="left" w:pos="709"/>
                          <w:tab w:val="left" w:pos="851"/>
                          <w:tab w:val="left" w:pos="1134"/>
                        </w:tabs>
                        <w:ind w:firstLine="709"/>
                        <w:jc w:val="both"/>
                        <w:rPr>
                          <w:color w:val="000000"/>
                          <w:szCs w:val="24"/>
                        </w:rPr>
                      </w:pPr>
                      <w:sdt>
                        <w:sdtPr>
                          <w:alias w:val="Numeris"/>
                          <w:tag w:val="nr_e9baee25ee2f4f628c37885f07ad429d"/>
                          <w:lock w:val="sdtLocked"/>
                          <w:richText/>
                        </w:sdtPr>
                        <w:sdtContent>
                          <w:r>
                            <w:rPr>
                              <w:color w:val="000000"/>
                              <w:szCs w:val="24"/>
                            </w:rPr>
                            <w:t>23.1</w:t>
                          </w:r>
                        </w:sdtContent>
                      </w:sdt>
                      <w:r>
                        <w:rPr>
                          <w:color w:val="000000"/>
                          <w:szCs w:val="24"/>
                        </w:rPr>
                        <w:t>. I–III profesinės grupės darbuotojai iki 18 ir nuo 46 metų – 1 kartą per 1 metus;</w:t>
                      </w:r>
                    </w:p>
                  </w:sdtContent>
                </w:sdt>
                <w:sdt>
                  <w:sdtPr>
                    <w:alias w:val="11 pr. 23.2 pp."/>
                    <w:tag w:val="part_f96f4e6622564d5ea8eae7ca6266bf71"/>
                    <w:lock w:val="sdtLocked"/>
                    <w:richText/>
                  </w:sdtPr>
                  <w:sdtContent>
                    <w:p>
                      <w:pPr>
                        <w:tabs>
                          <w:tab w:val="left" w:pos="709"/>
                          <w:tab w:val="left" w:pos="851"/>
                          <w:tab w:val="left" w:pos="1134"/>
                        </w:tabs>
                        <w:ind w:firstLine="709"/>
                        <w:jc w:val="both"/>
                        <w:rPr>
                          <w:szCs w:val="24"/>
                        </w:rPr>
                      </w:pPr>
                      <w:sdt>
                        <w:sdtPr>
                          <w:alias w:val="Numeris"/>
                          <w:tag w:val="nr_f96f4e6622564d5ea8eae7ca6266bf71"/>
                          <w:lock w:val="sdtLocked"/>
                          <w:richText/>
                        </w:sdtPr>
                        <w:sdtContent>
                          <w:r>
                            <w:rPr>
                              <w:szCs w:val="24"/>
                            </w:rPr>
                            <w:t>23.2</w:t>
                          </w:r>
                        </w:sdtContent>
                      </w:sdt>
                      <w:r>
                        <w:rPr>
                          <w:szCs w:val="24"/>
                        </w:rPr>
                        <w:t xml:space="preserve">. I–III profesinės grupės </w:t>
                      </w:r>
                      <w:r>
                        <w:rPr>
                          <w:color w:val="000000"/>
                          <w:szCs w:val="24"/>
                        </w:rPr>
                        <w:t>darbuotojai</w:t>
                      </w:r>
                      <w:r>
                        <w:rPr>
                          <w:szCs w:val="24"/>
                        </w:rPr>
                        <w:t xml:space="preserve"> nuo 18 iki 45 metų – 1 kartą per 2 metus;</w:t>
                      </w:r>
                    </w:p>
                  </w:sdtContent>
                </w:sdt>
                <w:sdt>
                  <w:sdtPr>
                    <w:alias w:val="11 pr. 23.3 pp."/>
                    <w:tag w:val="part_d858041a18c74c019a482fc81f4ba896"/>
                    <w:lock w:val="sdtLocked"/>
                    <w:richText/>
                  </w:sdtPr>
                  <w:sdtContent>
                    <w:p>
                      <w:pPr>
                        <w:tabs>
                          <w:tab w:val="left" w:pos="709"/>
                          <w:tab w:val="left" w:pos="851"/>
                          <w:tab w:val="left" w:pos="1134"/>
                        </w:tabs>
                        <w:ind w:firstLine="709"/>
                        <w:jc w:val="both"/>
                        <w:rPr>
                          <w:szCs w:val="24"/>
                        </w:rPr>
                      </w:pPr>
                      <w:sdt>
                        <w:sdtPr>
                          <w:alias w:val="Numeris"/>
                          <w:tag w:val="nr_d858041a18c74c019a482fc81f4ba896"/>
                          <w:lock w:val="sdtLocked"/>
                          <w:richText/>
                        </w:sdtPr>
                        <w:sdtContent>
                          <w:r>
                            <w:rPr>
                              <w:szCs w:val="24"/>
                            </w:rPr>
                            <w:t>23.3</w:t>
                          </w:r>
                        </w:sdtContent>
                      </w:sdt>
                      <w:r>
                        <w:rPr>
                          <w:szCs w:val="24"/>
                        </w:rPr>
                        <w:t xml:space="preserve">. IV profesinės grupės </w:t>
                      </w:r>
                      <w:r>
                        <w:rPr>
                          <w:color w:val="000000"/>
                          <w:szCs w:val="24"/>
                        </w:rPr>
                        <w:t>darbuotojai</w:t>
                      </w:r>
                      <w:r>
                        <w:rPr>
                          <w:szCs w:val="24"/>
                        </w:rPr>
                        <w:t xml:space="preserve"> iki 55 metų – 1 kartą per 10 metų;</w:t>
                      </w:r>
                    </w:p>
                  </w:sdtContent>
                </w:sdt>
                <w:sdt>
                  <w:sdtPr>
                    <w:alias w:val="11 pr. 23.4 pp."/>
                    <w:tag w:val="part_205e1cff86c44a2ebfcfe8aa44acfbb7"/>
                    <w:lock w:val="sdtLocked"/>
                    <w:richText/>
                  </w:sdtPr>
                  <w:sdtContent>
                    <w:p>
                      <w:pPr>
                        <w:tabs>
                          <w:tab w:val="left" w:pos="709"/>
                          <w:tab w:val="left" w:pos="851"/>
                          <w:tab w:val="left" w:pos="1134"/>
                        </w:tabs>
                        <w:ind w:firstLine="709"/>
                        <w:jc w:val="both"/>
                        <w:rPr>
                          <w:szCs w:val="24"/>
                        </w:rPr>
                      </w:pPr>
                      <w:sdt>
                        <w:sdtPr>
                          <w:alias w:val="Numeris"/>
                          <w:tag w:val="nr_205e1cff86c44a2ebfcfe8aa44acfbb7"/>
                          <w:lock w:val="sdtLocked"/>
                          <w:richText/>
                        </w:sdtPr>
                        <w:sdtContent>
                          <w:r>
                            <w:rPr>
                              <w:szCs w:val="24"/>
                            </w:rPr>
                            <w:t>23.4</w:t>
                          </w:r>
                        </w:sdtContent>
                      </w:sdt>
                      <w:r>
                        <w:rPr>
                          <w:szCs w:val="24"/>
                        </w:rPr>
                        <w:t xml:space="preserve">. IV profesinės grupės </w:t>
                      </w:r>
                      <w:r>
                        <w:rPr>
                          <w:color w:val="000000"/>
                          <w:szCs w:val="24"/>
                        </w:rPr>
                        <w:t>darbuotojai</w:t>
                      </w:r>
                      <w:r>
                        <w:rPr>
                          <w:szCs w:val="24"/>
                        </w:rPr>
                        <w:t xml:space="preserve"> nuo 56 iki 69 metų – 1 kartą per 5 metus;</w:t>
                      </w:r>
                    </w:p>
                  </w:sdtContent>
                </w:sdt>
                <w:sdt>
                  <w:sdtPr>
                    <w:alias w:val="11 pr. 23.5 pp."/>
                    <w:tag w:val="part_e49019a24a6448fe855cb230b6bafe6e"/>
                    <w:lock w:val="sdtLocked"/>
                    <w:richText/>
                  </w:sdtPr>
                  <w:sdtContent>
                    <w:p>
                      <w:pPr>
                        <w:tabs>
                          <w:tab w:val="left" w:pos="709"/>
                          <w:tab w:val="left" w:pos="851"/>
                          <w:tab w:val="left" w:pos="1134"/>
                        </w:tabs>
                        <w:ind w:firstLine="709"/>
                        <w:jc w:val="both"/>
                        <w:rPr>
                          <w:szCs w:val="24"/>
                        </w:rPr>
                      </w:pPr>
                      <w:sdt>
                        <w:sdtPr>
                          <w:alias w:val="Numeris"/>
                          <w:tag w:val="nr_e49019a24a6448fe855cb230b6bafe6e"/>
                          <w:lock w:val="sdtLocked"/>
                          <w:richText/>
                        </w:sdtPr>
                        <w:sdtContent>
                          <w:r>
                            <w:rPr>
                              <w:szCs w:val="24"/>
                            </w:rPr>
                            <w:t>23.5</w:t>
                          </w:r>
                        </w:sdtContent>
                      </w:sdt>
                      <w:r>
                        <w:rPr>
                          <w:szCs w:val="24"/>
                        </w:rPr>
                        <w:t xml:space="preserve">. IV profesinės grupės </w:t>
                      </w:r>
                      <w:r>
                        <w:rPr>
                          <w:color w:val="000000"/>
                          <w:szCs w:val="24"/>
                        </w:rPr>
                        <w:t>darbuotojai</w:t>
                      </w:r>
                      <w:r>
                        <w:rPr>
                          <w:szCs w:val="24"/>
                        </w:rPr>
                        <w:t xml:space="preserve"> nuo 70 iki 79 metų – 1 kartą per 2 metus;</w:t>
                      </w:r>
                    </w:p>
                  </w:sdtContent>
                </w:sdt>
                <w:sdt>
                  <w:sdtPr>
                    <w:alias w:val="11 pr. 23.6 pp."/>
                    <w:tag w:val="part_f1f777d8a5cc4de297492d15c78e1a37"/>
                    <w:lock w:val="sdtLocked"/>
                    <w:richText/>
                  </w:sdtPr>
                  <w:sdtContent>
                    <w:p>
                      <w:pPr>
                        <w:tabs>
                          <w:tab w:val="left" w:pos="709"/>
                          <w:tab w:val="left" w:pos="851"/>
                          <w:tab w:val="left" w:pos="1134"/>
                        </w:tabs>
                        <w:ind w:firstLine="709"/>
                        <w:jc w:val="both"/>
                        <w:rPr>
                          <w:szCs w:val="24"/>
                        </w:rPr>
                      </w:pPr>
                      <w:sdt>
                        <w:sdtPr>
                          <w:alias w:val="Numeris"/>
                          <w:tag w:val="nr_f1f777d8a5cc4de297492d15c78e1a37"/>
                          <w:lock w:val="sdtLocked"/>
                          <w:richText/>
                        </w:sdtPr>
                        <w:sdtContent>
                          <w:r>
                            <w:rPr>
                              <w:szCs w:val="24"/>
                            </w:rPr>
                            <w:t>23.6</w:t>
                          </w:r>
                        </w:sdtContent>
                      </w:sdt>
                      <w:r>
                        <w:rPr>
                          <w:szCs w:val="24"/>
                        </w:rPr>
                        <w:t xml:space="preserve">. IV profesinės grupės </w:t>
                      </w:r>
                      <w:r>
                        <w:rPr>
                          <w:color w:val="000000"/>
                          <w:szCs w:val="24"/>
                        </w:rPr>
                        <w:t>darbuotojai</w:t>
                      </w:r>
                      <w:r>
                        <w:rPr>
                          <w:szCs w:val="24"/>
                        </w:rPr>
                        <w:t xml:space="preserve"> nuo 80 metų – 1 kartą per 1 metus.</w:t>
                      </w:r>
                    </w:p>
                  </w:sdtContent>
                </w:sdt>
              </w:sdtContent>
            </w:sdt>
            <w:sdt>
              <w:sdtPr>
                <w:alias w:val="11 pr. 24 p."/>
                <w:tag w:val="part_d98f957738484e3695db3cd48725abe4"/>
                <w:lock w:val="sdtLocked"/>
                <w:richText/>
              </w:sdtPr>
              <w:sdtContent>
                <w:p>
                  <w:pPr>
                    <w:tabs>
                      <w:tab w:val="left" w:pos="709"/>
                      <w:tab w:val="left" w:pos="851"/>
                    </w:tabs>
                    <w:ind w:firstLine="709"/>
                    <w:jc w:val="both"/>
                    <w:rPr>
                      <w:szCs w:val="24"/>
                    </w:rPr>
                  </w:pPr>
                  <w:sdt>
                    <w:sdtPr>
                      <w:alias w:val="Numeris"/>
                      <w:tag w:val="nr_d98f957738484e3695db3cd48725abe4"/>
                      <w:lock w:val="sdtLocked"/>
                      <w:richText/>
                    </w:sdtPr>
                    <w:sdtContent>
                      <w:r>
                        <w:rPr>
                          <w:szCs w:val="24"/>
                        </w:rPr>
                        <w:t>24</w:t>
                      </w:r>
                    </w:sdtContent>
                  </w:sdt>
                  <w:r>
                    <w:rPr>
                      <w:szCs w:val="24"/>
                    </w:rPr>
                    <w:t xml:space="preserve">. Komisijos pirmininkas arba GKK komisijos pirmininkas ar ASPĮ vadovo įsakymu paskirtas gydytojas sveikatos tikrinimus gali skirti dažniau, jei to reikia dėl tikrinamo </w:t>
                  </w:r>
                  <w:r>
                    <w:rPr>
                      <w:color w:val="000000"/>
                      <w:szCs w:val="24"/>
                    </w:rPr>
                    <w:t xml:space="preserve">darbuotojo </w:t>
                  </w:r>
                  <w:r>
                    <w:rPr>
                      <w:szCs w:val="24"/>
                    </w:rPr>
                    <w:t>sveikatos būklės.</w:t>
                  </w:r>
                </w:p>
              </w:sdtContent>
            </w:sdt>
            <w:sdt>
              <w:sdtPr>
                <w:alias w:val="11 pr. 25 p."/>
                <w:tag w:val="part_2073163b9cc54c4faefef829f38f7fe7"/>
                <w:lock w:val="sdtLocked"/>
                <w:richText/>
              </w:sdtPr>
              <w:sdtContent>
                <w:p>
                  <w:pPr>
                    <w:widowControl w:val="0"/>
                    <w:tabs>
                      <w:tab w:val="left" w:pos="709"/>
                      <w:tab w:val="left" w:pos="851"/>
                    </w:tabs>
                    <w:ind w:right="-1" w:firstLine="709"/>
                    <w:jc w:val="both"/>
                    <w:rPr>
                      <w:szCs w:val="24"/>
                    </w:rPr>
                  </w:pPr>
                  <w:sdt>
                    <w:sdtPr>
                      <w:alias w:val="Numeris"/>
                      <w:tag w:val="nr_2073163b9cc54c4faefef829f38f7fe7"/>
                      <w:lock w:val="sdtLocked"/>
                      <w:richText/>
                    </w:sdtPr>
                    <w:sdtContent>
                      <w:r>
                        <w:rPr>
                          <w:szCs w:val="24"/>
                        </w:rPr>
                        <w:t>25</w:t>
                      </w:r>
                    </w:sdtContent>
                  </w:sdt>
                  <w:r>
                    <w:rPr>
                      <w:szCs w:val="24"/>
                    </w:rPr>
                    <w:t>. Darbdaviui atstovaujantis ar jo įgaliotas asmuo turi teisę, raštu nurodęs priežastį, siųsti darbuotoją neeilinio sveikatos tikrinimo.</w:t>
                  </w:r>
                </w:p>
              </w:sdtContent>
            </w:sdt>
            <w:sdt>
              <w:sdtPr>
                <w:alias w:val="11 pr. 26 p."/>
                <w:tag w:val="part_b119282eeb384e05ad9c0b0dffdabcbe"/>
                <w:lock w:val="sdtLocked"/>
                <w:richText/>
              </w:sdtPr>
              <w:sdtContent>
                <w:p>
                  <w:pPr>
                    <w:widowControl w:val="0"/>
                    <w:tabs>
                      <w:tab w:val="left" w:pos="0"/>
                    </w:tabs>
                    <w:ind w:right="-1" w:firstLine="709"/>
                    <w:jc w:val="both"/>
                    <w:rPr>
                      <w:szCs w:val="24"/>
                    </w:rPr>
                  </w:pPr>
                  <w:sdt>
                    <w:sdtPr>
                      <w:alias w:val="Numeris"/>
                      <w:tag w:val="nr_b119282eeb384e05ad9c0b0dffdabcbe"/>
                      <w:lock w:val="sdtLocked"/>
                      <w:richText/>
                    </w:sdtPr>
                    <w:sdtContent>
                      <w:r>
                        <w:rPr>
                          <w:szCs w:val="24"/>
                          <w:lang w:val="pt-BR"/>
                        </w:rPr>
                        <w:t>26</w:t>
                      </w:r>
                    </w:sdtContent>
                  </w:sdt>
                  <w:r>
                    <w:rPr>
                      <w:szCs w:val="24"/>
                      <w:lang w:val="pt-BR"/>
                    </w:rPr>
                    <w:t>. Dėl tokio tikrinimo turi teisę kreiptis ir pats asmuo</w:t>
                  </w:r>
                  <w:r>
                    <w:rPr>
                      <w:color w:val="0000FF"/>
                      <w:szCs w:val="24"/>
                      <w:lang w:val="pt-BR"/>
                    </w:rPr>
                    <w:t xml:space="preserve"> </w:t>
                  </w:r>
                  <w:r>
                    <w:rPr>
                      <w:color w:val="000000"/>
                      <w:szCs w:val="24"/>
                      <w:lang w:val="pt-BR"/>
                    </w:rPr>
                    <w:t>–</w:t>
                  </w:r>
                  <w:r>
                    <w:rPr>
                      <w:color w:val="000000"/>
                      <w:szCs w:val="24"/>
                    </w:rPr>
                    <w:t xml:space="preserve"> jei</w:t>
                  </w:r>
                  <w:r>
                    <w:rPr>
                      <w:szCs w:val="24"/>
                    </w:rPr>
                    <w:t xml:space="preserve"> mano, kad dėl jo sveikatos būklės tinkamumo saugiai vykdyti nustatytas funkcijas kyla abejonių, jis tuojau pat praneša apie tai darbdaviui atstovaujančiam ar jo įgaliotam asmeniui.</w:t>
                  </w:r>
                </w:p>
                <w:p>
                  <w:pPr>
                    <w:widowControl w:val="0"/>
                    <w:tabs>
                      <w:tab w:val="left" w:pos="0"/>
                      <w:tab w:val="left" w:pos="1080"/>
                    </w:tabs>
                    <w:ind w:left="709" w:right="-1"/>
                    <w:jc w:val="both"/>
                    <w:rPr>
                      <w:b/>
                      <w:szCs w:val="24"/>
                    </w:rPr>
                  </w:pPr>
                </w:p>
              </w:sdtContent>
            </w:sdt>
          </w:sdtContent>
        </w:sdt>
        <w:sdt>
          <w:sdtPr>
            <w:alias w:val="skyrius"/>
            <w:tag w:val="part_158e39d4febf4b3da5b1c5ab40ae0b0f"/>
            <w:lock w:val="sdtLocked"/>
            <w:richText/>
          </w:sdtPr>
          <w:sdtContent>
            <w:p>
              <w:pPr>
                <w:widowControl w:val="0"/>
                <w:tabs>
                  <w:tab w:val="left" w:pos="0"/>
                  <w:tab w:val="left" w:pos="1080"/>
                </w:tabs>
                <w:ind w:left="709" w:right="-1"/>
                <w:jc w:val="center"/>
                <w:rPr>
                  <w:b/>
                  <w:szCs w:val="24"/>
                </w:rPr>
              </w:pPr>
              <w:sdt>
                <w:sdtPr>
                  <w:alias w:val="Numeris"/>
                  <w:tag w:val="nr_158e39d4febf4b3da5b1c5ab40ae0b0f"/>
                  <w:lock w:val="sdtLocked"/>
                  <w:richText/>
                </w:sdtPr>
                <w:sdtContent>
                  <w:r>
                    <w:rPr>
                      <w:b/>
                      <w:szCs w:val="24"/>
                    </w:rPr>
                    <w:t>IV</w:t>
                  </w:r>
                </w:sdtContent>
              </w:sdt>
              <w:r>
                <w:rPr>
                  <w:b/>
                  <w:szCs w:val="24"/>
                </w:rPr>
                <w:t xml:space="preserve">. </w:t>
              </w:r>
              <w:sdt>
                <w:sdtPr>
                  <w:alias w:val="Pavadinimas"/>
                  <w:tag w:val="title_158e39d4febf4b3da5b1c5ab40ae0b0f"/>
                  <w:lock w:val="sdtLocked"/>
                  <w:richText/>
                </w:sdtPr>
                <w:sdtContent>
                  <w:r>
                    <w:rPr>
                      <w:b/>
                      <w:szCs w:val="24"/>
                    </w:rPr>
                    <w:t>SVEIKATOS PAŽYMĖJIMŲ</w:t>
                  </w:r>
                  <w:r>
                    <w:rPr>
                      <w:b/>
                      <w:color w:val="000000"/>
                      <w:szCs w:val="24"/>
                    </w:rPr>
                    <w:t xml:space="preserve"> IŠDAVIMO </w:t>
                  </w:r>
                  <w:r>
                    <w:rPr>
                      <w:b/>
                      <w:szCs w:val="24"/>
                    </w:rPr>
                    <w:t xml:space="preserve">TVARKA </w:t>
                  </w:r>
                </w:sdtContent>
              </w:sdt>
            </w:p>
            <w:p>
              <w:pPr>
                <w:tabs>
                  <w:tab w:val="left" w:pos="0"/>
                </w:tabs>
                <w:ind w:firstLine="709"/>
                <w:rPr>
                  <w:b/>
                  <w:szCs w:val="24"/>
                </w:rPr>
              </w:pPr>
            </w:p>
            <w:sdt>
              <w:sdtPr>
                <w:alias w:val="11 pr. 27 p."/>
                <w:tag w:val="part_aa92bfa48e4a4148a885f2362ec2061e"/>
                <w:lock w:val="sdtLocked"/>
                <w:richText/>
              </w:sdtPr>
              <w:sdtContent>
                <w:p>
                  <w:pPr>
                    <w:ind w:firstLine="709"/>
                    <w:jc w:val="both"/>
                    <w:rPr>
                      <w:color w:val="000000"/>
                      <w:szCs w:val="24"/>
                    </w:rPr>
                  </w:pPr>
                  <w:sdt>
                    <w:sdtPr>
                      <w:alias w:val="Numeris"/>
                      <w:tag w:val="nr_aa92bfa48e4a4148a885f2362ec2061e"/>
                      <w:lock w:val="sdtLocked"/>
                      <w:richText/>
                    </w:sdtPr>
                    <w:sdtContent>
                      <w:r>
                        <w:rPr>
                          <w:color w:val="000000"/>
                          <w:szCs w:val="24"/>
                        </w:rPr>
                        <w:t>27</w:t>
                      </w:r>
                    </w:sdtContent>
                  </w:sdt>
                  <w:r>
                    <w:rPr>
                      <w:color w:val="000000"/>
                      <w:szCs w:val="24"/>
                    </w:rPr>
                    <w:t>. Galutinę išvadą, įvertinę tyrimų duomenis ir visų konsultavusių gydytojų išvadas, vadovaujantis šiuo Aprašu, į atitinkamos formos (Nr. 048-1/a ar Nr. 048-2/a) sveikatos pažymėjimą įrašo ir pasirašo:</w:t>
                  </w:r>
                </w:p>
                <w:sdt>
                  <w:sdtPr>
                    <w:alias w:val="11 pr. 27.1 pp."/>
                    <w:tag w:val="part_a29365d9188142c996720c4d2bf33669"/>
                    <w:lock w:val="sdtLocked"/>
                    <w:richText/>
                  </w:sdtPr>
                  <w:sdtContent>
                    <w:p>
                      <w:pPr>
                        <w:tabs>
                          <w:tab w:val="left" w:pos="0"/>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709"/>
                        <w:jc w:val="both"/>
                        <w:rPr>
                          <w:color w:val="000000"/>
                          <w:szCs w:val="24"/>
                        </w:rPr>
                      </w:pPr>
                      <w:sdt>
                        <w:sdtPr>
                          <w:alias w:val="Numeris"/>
                          <w:tag w:val="nr_a29365d9188142c996720c4d2bf33669"/>
                          <w:lock w:val="sdtLocked"/>
                          <w:richText/>
                        </w:sdtPr>
                        <w:sdtContent>
                          <w:r>
                            <w:rPr>
                              <w:color w:val="000000"/>
                              <w:szCs w:val="24"/>
                            </w:rPr>
                            <w:t>27.1</w:t>
                          </w:r>
                        </w:sdtContent>
                      </w:sdt>
                      <w:r>
                        <w:rPr>
                          <w:color w:val="000000"/>
                          <w:szCs w:val="24"/>
                        </w:rPr>
                        <w:t xml:space="preserve">. jūrininkams – Komisijos pirmininkas (jo nesant – </w:t>
                      </w:r>
                      <w:r>
                        <w:rPr>
                          <w:szCs w:val="24"/>
                        </w:rPr>
                        <w:t xml:space="preserve">Komisijos pirmininko pavaduotojas), </w:t>
                      </w:r>
                      <w:r>
                        <w:rPr>
                          <w:color w:val="000000"/>
                          <w:szCs w:val="24"/>
                        </w:rPr>
                        <w:t>vadovaudamasis ASPĮ vadovo patvirtintu Komisijos darbo reglamentu, ir patvirtina savo gydytojo spaudu bei ASPĮ antspaudu</w:t>
                      </w:r>
                      <w:r>
                        <w:rPr>
                          <w:color w:val="000000"/>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401b00a81711ebbcbbc2971cdac3cb">
                        <w:r w:rsidRPr="00532B9F">
                          <w:rPr>
                            <w:rFonts w:ascii="Times New Roman" w:eastAsia="MS Mincho" w:hAnsi="Times New Roman"/>
                            <w:sz w:val="20"/>
                            <w:i/>
                            <w:iCs/>
                            <w:color w:val="0000FF" w:themeColor="hyperlink"/>
                            <w:u w:val="single"/>
                          </w:rPr>
                          <w:t>V-967</w:t>
                        </w:r>
                      </w:fldSimple>
                      <w:r>
                        <w:rPr>
                          <w:rFonts w:ascii="Times New Roman" w:eastAsia="MS Mincho" w:hAnsi="Times New Roman"/>
                          <w:sz w:val="20"/>
                          <w:i/>
                          <w:iCs/>
                        </w:rPr>
                        <w:t>,
2021-04-28,
paskelbta TAR 2021-04-28, i. k. 2021-08887            </w:t>
                      </w:r>
                    </w:p>
                    <w:p/>
                  </w:sdtContent>
                </w:sdt>
                <w:sdt>
                  <w:sdtPr>
                    <w:alias w:val="11 pr. 27.2 pp."/>
                    <w:tag w:val="part_079a030b70394a2e94848e1fed0a07c8"/>
                    <w:lock w:val="sdtLocked"/>
                    <w:richText/>
                  </w:sdtPr>
                  <w:sdtContent>
                    <w:p>
                      <w:pPr>
                        <w:ind w:firstLine="709"/>
                        <w:jc w:val="both"/>
                        <w:rPr>
                          <w:color w:val="000000"/>
                          <w:szCs w:val="24"/>
                        </w:rPr>
                      </w:pPr>
                      <w:sdt>
                        <w:sdtPr>
                          <w:alias w:val="Numeris"/>
                          <w:tag w:val="nr_079a030b70394a2e94848e1fed0a07c8"/>
                          <w:lock w:val="sdtLocked"/>
                          <w:richText/>
                        </w:sdtPr>
                        <w:sdtContent>
                          <w:r>
                            <w:rPr>
                              <w:color w:val="000000"/>
                              <w:szCs w:val="24"/>
                            </w:rPr>
                            <w:t>27.2</w:t>
                          </w:r>
                        </w:sdtContent>
                      </w:sdt>
                      <w:r>
                        <w:rPr>
                          <w:color w:val="000000"/>
                          <w:szCs w:val="24"/>
                        </w:rPr>
                        <w:t xml:space="preserve">. vidaus vandenų transporto specialistams bei motorinių pramoginių laivų ir kitų motorinių plaukiojimo priemonių laivavedžiams – ASPĮ vadovo įsakymu patvirtintas gydytojas arba GKK pirmininkas, atitinkamai vadovaudamasis ASPĮ vadovo patvirtintu įsakymu arba Lietuvos nacionalinės sveikatos sistemos sveikatos priežiūros įstaigos GKK nuostatais, patvirtintais Lietuvos Respublikos sveikatos apsaugos ministro 2004 m. kovo 31 d. įsakymu Nr. V-172, ir patvirtina savo gydytojo spaudu bei atitinkamai ASPĮ arba GKK antspaudu. </w:t>
                      </w:r>
                    </w:p>
                  </w:sdtContent>
                </w:sdt>
              </w:sdtContent>
            </w:sdt>
            <w:sdt>
              <w:sdtPr>
                <w:alias w:val="11 pr. 28 p."/>
                <w:tag w:val="part_8a79358e791542adb73d0912b50ee3a5"/>
                <w:lock w:val="sdtLocked"/>
                <w:richText/>
              </w:sdtPr>
              <w:sdtContent>
                <w:p>
                  <w:pPr>
                    <w:tabs>
                      <w:tab w:val="left" w:pos="0"/>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709"/>
                    <w:jc w:val="both"/>
                    <w:rPr>
                      <w:szCs w:val="24"/>
                    </w:rPr>
                  </w:pPr>
                  <w:sdt>
                    <w:sdtPr>
                      <w:alias w:val="Numeris"/>
                      <w:tag w:val="nr_8a79358e791542adb73d0912b50ee3a5"/>
                      <w:lock w:val="sdtLocked"/>
                      <w:richText/>
                    </w:sdtPr>
                    <w:sdtContent>
                      <w:r>
                        <w:rPr>
                          <w:color w:val="000000"/>
                          <w:szCs w:val="24"/>
                        </w:rPr>
                        <w:t>28</w:t>
                      </w:r>
                    </w:sdtContent>
                  </w:sdt>
                  <w:r>
                    <w:rPr>
                      <w:color w:val="000000"/>
                      <w:szCs w:val="24"/>
                    </w:rPr>
                    <w:t>. Sudėtingais ir ginčytinais (kai dėl išvados reikia spręsti individualiai</w:t>
                  </w:r>
                  <w:r>
                    <w:rPr>
                      <w:szCs w:val="24"/>
                    </w:rPr>
                    <w:t xml:space="preserve">) atvejais apie tinkamumą dirbti sprendžia ASPĮ GKK.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401b00a81711ebbcbbc2971cdac3cb">
                    <w:r w:rsidRPr="00532B9F">
                      <w:rPr>
                        <w:rFonts w:ascii="Times New Roman" w:eastAsia="MS Mincho" w:hAnsi="Times New Roman"/>
                        <w:sz w:val="20"/>
                        <w:i/>
                        <w:iCs/>
                        <w:color w:val="0000FF" w:themeColor="hyperlink"/>
                        <w:u w:val="single"/>
                      </w:rPr>
                      <w:t>V-967</w:t>
                    </w:r>
                  </w:fldSimple>
                  <w:r>
                    <w:rPr>
                      <w:rFonts w:ascii="Times New Roman" w:eastAsia="MS Mincho" w:hAnsi="Times New Roman"/>
                      <w:sz w:val="20"/>
                      <w:i/>
                      <w:iCs/>
                    </w:rPr>
                    <w:t>,
2021-04-28,
paskelbta TAR 2021-04-28, i. k. 2021-08887            </w:t>
                  </w:r>
                </w:p>
                <w:p/>
              </w:sdtContent>
            </w:sdt>
            <w:sdt>
              <w:sdtPr>
                <w:alias w:val="11 pr. 29 p."/>
                <w:tag w:val="part_4bd1c57578874f28836b10f2d34ff6ef"/>
                <w:lock w:val="sdtLocked"/>
                <w:richText/>
              </w:sdtPr>
              <w:sdtContent>
                <w:p>
                  <w:pPr>
                    <w:tabs>
                      <w:tab w:val="left" w:pos="851"/>
                    </w:tabs>
                    <w:ind w:firstLine="709"/>
                    <w:jc w:val="both"/>
                    <w:rPr>
                      <w:szCs w:val="24"/>
                    </w:rPr>
                  </w:pPr>
                  <w:sdt>
                    <w:sdtPr>
                      <w:alias w:val="Numeris"/>
                      <w:tag w:val="nr_4bd1c57578874f28836b10f2d34ff6ef"/>
                      <w:lock w:val="sdtLocked"/>
                      <w:richText/>
                    </w:sdtPr>
                    <w:sdtContent>
                      <w:r>
                        <w:rPr>
                          <w:szCs w:val="24"/>
                        </w:rPr>
                        <w:t>29</w:t>
                      </w:r>
                    </w:sdtContent>
                  </w:sdt>
                  <w:r>
                    <w:rPr>
                      <w:szCs w:val="24"/>
                    </w:rPr>
                    <w:t xml:space="preserve">. Sveikatos tikrinimo </w:t>
                  </w:r>
                  <w:r>
                    <w:rPr>
                      <w:color w:val="000000"/>
                      <w:szCs w:val="24"/>
                    </w:rPr>
                    <w:t>išvada registruojama atitinkamai Ambulatorinių ligonių registravimo žurnale (forma Nr. 074/a) (toliau – forma Nr. 074/a) arba Gydytojų konsultacinės komisijos išvadų registravimo žurnale (forma Nr. 035/a (toliau – forma Nr. 035/a).</w:t>
                  </w:r>
                </w:p>
              </w:sdtContent>
            </w:sdt>
            <w:sdt>
              <w:sdtPr>
                <w:alias w:val="11 pr. 30 p."/>
                <w:tag w:val="part_5e0d7fd257ec4134883dbbc2f186babf"/>
                <w:lock w:val="sdtLocked"/>
                <w:richText/>
              </w:sdtPr>
              <w:sdtContent>
                <w:p>
                  <w:pPr>
                    <w:tabs>
                      <w:tab w:val="left" w:pos="851"/>
                    </w:tabs>
                    <w:ind w:firstLine="709"/>
                    <w:jc w:val="both"/>
                    <w:rPr>
                      <w:szCs w:val="24"/>
                    </w:rPr>
                  </w:pPr>
                  <w:sdt>
                    <w:sdtPr>
                      <w:alias w:val="Numeris"/>
                      <w:tag w:val="nr_5e0d7fd257ec4134883dbbc2f186babf"/>
                      <w:lock w:val="sdtLocked"/>
                      <w:richText/>
                    </w:sdtPr>
                    <w:sdtContent>
                      <w:r>
                        <w:rPr>
                          <w:szCs w:val="24"/>
                        </w:rPr>
                        <w:t>30</w:t>
                      </w:r>
                    </w:sdtContent>
                  </w:sdt>
                  <w:r>
                    <w:rPr>
                      <w:szCs w:val="24"/>
                    </w:rPr>
                    <w:t xml:space="preserve">. </w:t>
                  </w:r>
                  <w:r>
                    <w:rPr>
                      <w:color w:val="000000"/>
                      <w:szCs w:val="24"/>
                    </w:rPr>
                    <w:t>Išvada priimama, įrašoma ir išrašomas atitinkamas pažymėjimas, kurio numeris atitinka registracijos numerį, atitinkamame</w:t>
                  </w:r>
                  <w:r>
                    <w:rPr>
                      <w:szCs w:val="24"/>
                    </w:rPr>
                    <w:t xml:space="preserve"> žurnale (formoje Nr. 074/a ar formoje Nr. 035/a). </w:t>
                  </w:r>
                </w:p>
              </w:sdtContent>
            </w:sdt>
            <w:sdt>
              <w:sdtPr>
                <w:alias w:val="11 pr. 31 p."/>
                <w:tag w:val="part_22d3fd5784d046668eaaeb9196f8f9b2"/>
                <w:lock w:val="sdtLocked"/>
                <w:richText/>
              </w:sdtPr>
              <w:sdtContent>
                <w:p>
                  <w:pPr>
                    <w:ind w:firstLine="709"/>
                    <w:jc w:val="both"/>
                    <w:rPr>
                      <w:szCs w:val="24"/>
                    </w:rPr>
                  </w:pPr>
                  <w:sdt>
                    <w:sdtPr>
                      <w:alias w:val="Numeris"/>
                      <w:tag w:val="nr_22d3fd5784d046668eaaeb9196f8f9b2"/>
                      <w:lock w:val="sdtLocked"/>
                      <w:richText/>
                    </w:sdtPr>
                    <w:sdtContent>
                      <w:r>
                        <w:rPr>
                          <w:szCs w:val="24"/>
                        </w:rPr>
                        <w:t>31</w:t>
                      </w:r>
                    </w:sdtContent>
                  </w:sdt>
                  <w:r>
                    <w:rPr>
                      <w:szCs w:val="24"/>
                    </w:rPr>
                    <w:t>. Asmenims, atitinkantiems sveikatos būklės reikalavimus, yra išduodami tai patvirtinantys atitinkamai formos Nr. 048-1/a arba formos Nr. 048-2/a sveikatos pažymėjimai.</w:t>
                  </w:r>
                </w:p>
              </w:sdtContent>
            </w:sdt>
            <w:sdt>
              <w:sdtPr>
                <w:alias w:val="11 pr. 32 p."/>
                <w:tag w:val="part_e695d4d5b641437cbf8d7fe87a607037"/>
                <w:lock w:val="sdtLocked"/>
                <w:richText/>
              </w:sdtPr>
              <w:sdtContent>
                <w:p>
                  <w:pPr>
                    <w:tabs>
                      <w:tab w:val="left" w:pos="0"/>
                    </w:tabs>
                    <w:ind w:firstLine="709"/>
                    <w:jc w:val="both"/>
                    <w:rPr>
                      <w:szCs w:val="24"/>
                    </w:rPr>
                  </w:pPr>
                  <w:sdt>
                    <w:sdtPr>
                      <w:alias w:val="Numeris"/>
                      <w:tag w:val="nr_e695d4d5b641437cbf8d7fe87a607037"/>
                      <w:lock w:val="sdtLocked"/>
                      <w:richText/>
                    </w:sdtPr>
                    <w:sdtContent>
                      <w:r>
                        <w:rPr>
                          <w:szCs w:val="24"/>
                        </w:rPr>
                        <w:t>32</w:t>
                      </w:r>
                    </w:sdtContent>
                  </w:sdt>
                  <w:r>
                    <w:rPr>
                      <w:szCs w:val="24"/>
                    </w:rPr>
                    <w:t>. Atitinkamų grupių, nurodytų</w:t>
                  </w:r>
                  <w:r>
                    <w:rPr>
                      <w:color w:val="000000"/>
                      <w:szCs w:val="24"/>
                    </w:rPr>
                    <w:t xml:space="preserve"> Aprašo 6 punkte, </w:t>
                  </w:r>
                  <w:r>
                    <w:rPr>
                      <w:szCs w:val="24"/>
                    </w:rPr>
                    <w:t xml:space="preserve">jūrininkų ir vidaus vandenų transporto specialistų bei </w:t>
                  </w:r>
                  <w:r>
                    <w:rPr>
                      <w:color w:val="000000"/>
                      <w:szCs w:val="24"/>
                    </w:rPr>
                    <w:t>motorinių pramoginių laivų ir kitų motorinių plaukiojimo priemonių</w:t>
                  </w:r>
                  <w:r>
                    <w:rPr>
                      <w:szCs w:val="24"/>
                    </w:rPr>
                    <w:t xml:space="preserve"> laivavedžių sveikatos pažymėjimo (toliau – sveikatos pažymėjimas) galiojimo terminas nuo sveikatos tikrinimo datos yra ne ilgesnis kaip:</w:t>
                  </w:r>
                </w:p>
                <w:sdt>
                  <w:sdtPr>
                    <w:alias w:val="11 pr. 32.1 pp."/>
                    <w:tag w:val="part_00e43b9c755d4cccb46d618e5e70865c"/>
                    <w:lock w:val="sdtLocked"/>
                    <w:richText/>
                  </w:sdtPr>
                  <w:sdtContent>
                    <w:p>
                      <w:pPr>
                        <w:tabs>
                          <w:tab w:val="left" w:pos="0"/>
                          <w:tab w:val="left" w:pos="1134"/>
                        </w:tabs>
                        <w:ind w:left="709"/>
                        <w:jc w:val="both"/>
                        <w:rPr>
                          <w:szCs w:val="24"/>
                        </w:rPr>
                      </w:pPr>
                      <w:sdt>
                        <w:sdtPr>
                          <w:alias w:val="Numeris"/>
                          <w:tag w:val="nr_00e43b9c755d4cccb46d618e5e70865c"/>
                          <w:lock w:val="sdtLocked"/>
                          <w:richText/>
                        </w:sdtPr>
                        <w:sdtContent>
                          <w:r>
                            <w:rPr>
                              <w:szCs w:val="24"/>
                            </w:rPr>
                            <w:t>32.1</w:t>
                          </w:r>
                        </w:sdtContent>
                      </w:sdt>
                      <w:r>
                        <w:rPr>
                          <w:szCs w:val="24"/>
                        </w:rPr>
                        <w:t>. I–III profesinės grupės darbuotojams iki 18 metų ir nuo 4</w:t>
                      </w:r>
                      <w:r>
                        <w:rPr>
                          <w:szCs w:val="24"/>
                          <w:lang w:val="en-US"/>
                        </w:rPr>
                        <w:t>6</w:t>
                      </w:r>
                      <w:r>
                        <w:rPr>
                          <w:szCs w:val="24"/>
                        </w:rPr>
                        <w:t xml:space="preserve"> metų – 1 metai;</w:t>
                      </w:r>
                    </w:p>
                  </w:sdtContent>
                </w:sdt>
                <w:sdt>
                  <w:sdtPr>
                    <w:alias w:val="11 pr. 32.2 pp."/>
                    <w:tag w:val="part_49cafaefdebe40ca82f906c2a6fea444"/>
                    <w:lock w:val="sdtLocked"/>
                    <w:richText/>
                  </w:sdtPr>
                  <w:sdtContent>
                    <w:p>
                      <w:pPr>
                        <w:tabs>
                          <w:tab w:val="left" w:pos="0"/>
                          <w:tab w:val="left" w:pos="1134"/>
                        </w:tabs>
                        <w:ind w:left="709"/>
                        <w:jc w:val="both"/>
                        <w:rPr>
                          <w:szCs w:val="24"/>
                        </w:rPr>
                      </w:pPr>
                      <w:sdt>
                        <w:sdtPr>
                          <w:alias w:val="Numeris"/>
                          <w:tag w:val="nr_49cafaefdebe40ca82f906c2a6fea444"/>
                          <w:lock w:val="sdtLocked"/>
                          <w:richText/>
                        </w:sdtPr>
                        <w:sdtContent>
                          <w:r>
                            <w:rPr>
                              <w:szCs w:val="24"/>
                            </w:rPr>
                            <w:t>32.2</w:t>
                          </w:r>
                        </w:sdtContent>
                      </w:sdt>
                      <w:r>
                        <w:rPr>
                          <w:szCs w:val="24"/>
                        </w:rPr>
                        <w:t>. I–III profesinės grupės darbuotojams nuo 18 metų iki 45 metų – 2 metai;</w:t>
                      </w:r>
                    </w:p>
                  </w:sdtContent>
                </w:sdt>
                <w:sdt>
                  <w:sdtPr>
                    <w:alias w:val="11 pr. 32.3 pp."/>
                    <w:tag w:val="part_4d6a9134ca1e4b0791d365ea56997d82"/>
                    <w:lock w:val="sdtLocked"/>
                    <w:richText/>
                  </w:sdtPr>
                  <w:sdtContent>
                    <w:p>
                      <w:pPr>
                        <w:tabs>
                          <w:tab w:val="left" w:pos="0"/>
                          <w:tab w:val="left" w:pos="1134"/>
                        </w:tabs>
                        <w:ind w:left="709"/>
                        <w:jc w:val="both"/>
                        <w:rPr>
                          <w:szCs w:val="24"/>
                        </w:rPr>
                      </w:pPr>
                      <w:sdt>
                        <w:sdtPr>
                          <w:alias w:val="Numeris"/>
                          <w:tag w:val="nr_4d6a9134ca1e4b0791d365ea56997d82"/>
                          <w:lock w:val="sdtLocked"/>
                          <w:richText/>
                        </w:sdtPr>
                        <w:sdtContent>
                          <w:r>
                            <w:rPr>
                              <w:szCs w:val="24"/>
                            </w:rPr>
                            <w:t>32.3</w:t>
                          </w:r>
                        </w:sdtContent>
                      </w:sdt>
                      <w:r>
                        <w:rPr>
                          <w:szCs w:val="24"/>
                        </w:rPr>
                        <w:t>. IV profesinės grupės darbuotojams iki 55 metų – 10 metų;</w:t>
                      </w:r>
                    </w:p>
                  </w:sdtContent>
                </w:sdt>
                <w:sdt>
                  <w:sdtPr>
                    <w:alias w:val="11 pr. 32.4 pp."/>
                    <w:tag w:val="part_06f29c2ce4c44b42ae55fbdde5e256e0"/>
                    <w:lock w:val="sdtLocked"/>
                    <w:richText/>
                  </w:sdtPr>
                  <w:sdtContent>
                    <w:p>
                      <w:pPr>
                        <w:tabs>
                          <w:tab w:val="left" w:pos="0"/>
                        </w:tabs>
                        <w:ind w:left="709"/>
                        <w:jc w:val="both"/>
                        <w:rPr>
                          <w:szCs w:val="24"/>
                        </w:rPr>
                      </w:pPr>
                      <w:sdt>
                        <w:sdtPr>
                          <w:alias w:val="Numeris"/>
                          <w:tag w:val="nr_06f29c2ce4c44b42ae55fbdde5e256e0"/>
                          <w:lock w:val="sdtLocked"/>
                          <w:richText/>
                        </w:sdtPr>
                        <w:sdtContent>
                          <w:r>
                            <w:rPr>
                              <w:szCs w:val="24"/>
                            </w:rPr>
                            <w:t>32.4</w:t>
                          </w:r>
                        </w:sdtContent>
                      </w:sdt>
                      <w:r>
                        <w:rPr>
                          <w:szCs w:val="24"/>
                        </w:rPr>
                        <w:t xml:space="preserve">. </w:t>
                      </w:r>
                      <w:r>
                        <w:rPr>
                          <w:szCs w:val="24"/>
                          <w:lang w:val="en-US"/>
                        </w:rPr>
                        <w:t xml:space="preserve">IV </w:t>
                      </w:r>
                      <w:r>
                        <w:rPr>
                          <w:szCs w:val="24"/>
                        </w:rPr>
                        <w:t>profesinės grupės darbuotojams nuo 56 iki 69 metų –</w:t>
                      </w:r>
                      <w:r>
                        <w:rPr>
                          <w:szCs w:val="24"/>
                          <w:lang w:val="en-US"/>
                        </w:rPr>
                        <w:t xml:space="preserve"> 5 metai;</w:t>
                      </w:r>
                    </w:p>
                  </w:sdtContent>
                </w:sdt>
                <w:sdt>
                  <w:sdtPr>
                    <w:alias w:val="11 pr. 32.5 pp."/>
                    <w:tag w:val="part_4374fdb3cf2948c6a7f5e601e5380ac7"/>
                    <w:lock w:val="sdtLocked"/>
                    <w:richText/>
                  </w:sdtPr>
                  <w:sdtContent>
                    <w:p>
                      <w:pPr>
                        <w:tabs>
                          <w:tab w:val="left" w:pos="0"/>
                          <w:tab w:val="left" w:pos="1134"/>
                        </w:tabs>
                        <w:ind w:left="709"/>
                        <w:jc w:val="both"/>
                        <w:rPr>
                          <w:szCs w:val="24"/>
                        </w:rPr>
                      </w:pPr>
                      <w:sdt>
                        <w:sdtPr>
                          <w:alias w:val="Numeris"/>
                          <w:tag w:val="nr_4374fdb3cf2948c6a7f5e601e5380ac7"/>
                          <w:lock w:val="sdtLocked"/>
                          <w:richText/>
                        </w:sdtPr>
                        <w:sdtContent>
                          <w:r>
                            <w:rPr>
                              <w:szCs w:val="24"/>
                            </w:rPr>
                            <w:t>32</w:t>
                          </w:r>
                          <w:r>
                            <w:rPr>
                              <w:szCs w:val="24"/>
                              <w:lang w:val="en-US"/>
                            </w:rPr>
                            <w:t>.5</w:t>
                          </w:r>
                        </w:sdtContent>
                      </w:sdt>
                      <w:r>
                        <w:rPr>
                          <w:szCs w:val="24"/>
                          <w:lang w:val="en-US"/>
                        </w:rPr>
                        <w:t xml:space="preserve">. IV </w:t>
                      </w:r>
                      <w:r>
                        <w:rPr>
                          <w:szCs w:val="24"/>
                        </w:rPr>
                        <w:t>profesinės grupės darbuotojams nuo 70 iki 79 metų –</w:t>
                      </w:r>
                      <w:r>
                        <w:rPr>
                          <w:szCs w:val="24"/>
                          <w:lang w:val="en-US"/>
                        </w:rPr>
                        <w:t xml:space="preserve"> 2 metai;</w:t>
                      </w:r>
                    </w:p>
                  </w:sdtContent>
                </w:sdt>
                <w:sdt>
                  <w:sdtPr>
                    <w:alias w:val="11 pr. 32.6 pp."/>
                    <w:tag w:val="part_168241fa41314e8ca3b86ef82dab9fb4"/>
                    <w:lock w:val="sdtLocked"/>
                    <w:richText/>
                  </w:sdtPr>
                  <w:sdtContent>
                    <w:p>
                      <w:pPr>
                        <w:tabs>
                          <w:tab w:val="left" w:pos="0"/>
                          <w:tab w:val="left" w:pos="1134"/>
                        </w:tabs>
                        <w:ind w:left="709"/>
                        <w:jc w:val="both"/>
                        <w:rPr>
                          <w:szCs w:val="24"/>
                        </w:rPr>
                      </w:pPr>
                      <w:sdt>
                        <w:sdtPr>
                          <w:alias w:val="Numeris"/>
                          <w:tag w:val="nr_168241fa41314e8ca3b86ef82dab9fb4"/>
                          <w:lock w:val="sdtLocked"/>
                          <w:richText/>
                        </w:sdtPr>
                        <w:sdtContent>
                          <w:r>
                            <w:rPr>
                              <w:szCs w:val="24"/>
                            </w:rPr>
                            <w:t>32.6</w:t>
                          </w:r>
                        </w:sdtContent>
                      </w:sdt>
                      <w:r>
                        <w:rPr>
                          <w:szCs w:val="24"/>
                        </w:rPr>
                        <w:t xml:space="preserve">. </w:t>
                      </w:r>
                      <w:r>
                        <w:rPr>
                          <w:szCs w:val="24"/>
                          <w:lang w:val="en-US"/>
                        </w:rPr>
                        <w:t>IV profesin</w:t>
                      </w:r>
                      <w:r>
                        <w:rPr>
                          <w:szCs w:val="24"/>
                        </w:rPr>
                        <w:t>ės grupės darbuotojams nuo 80 metų –</w:t>
                      </w:r>
                      <w:r>
                        <w:rPr>
                          <w:szCs w:val="24"/>
                          <w:lang w:val="en-US"/>
                        </w:rPr>
                        <w:t xml:space="preserve"> 1 metai.</w:t>
                      </w:r>
                    </w:p>
                  </w:sdtContent>
                </w:sdt>
              </w:sdtContent>
            </w:sdt>
            <w:sdt>
              <w:sdtPr>
                <w:alias w:val="11 pr. 33 p."/>
                <w:tag w:val="part_272124d43b674bbba0d1b0ce466e7d9c"/>
                <w:lock w:val="sdtLocked"/>
                <w:richText/>
              </w:sdtPr>
              <w:sdtContent>
                <w:p>
                  <w:pPr>
                    <w:tabs>
                      <w:tab w:val="left" w:pos="0"/>
                    </w:tabs>
                    <w:ind w:firstLine="709"/>
                    <w:jc w:val="both"/>
                    <w:rPr>
                      <w:szCs w:val="24"/>
                      <w:lang w:eastAsia="x-none"/>
                    </w:rPr>
                  </w:pPr>
                  <w:sdt>
                    <w:sdtPr>
                      <w:alias w:val="Numeris"/>
                      <w:tag w:val="nr_272124d43b674bbba0d1b0ce466e7d9c"/>
                      <w:lock w:val="sdtLocked"/>
                      <w:richText/>
                    </w:sdtPr>
                    <w:sdtContent>
                      <w:r>
                        <w:rPr>
                          <w:szCs w:val="24"/>
                          <w:lang w:eastAsia="x-none"/>
                        </w:rPr>
                        <w:t>33</w:t>
                      </w:r>
                    </w:sdtContent>
                  </w:sdt>
                  <w:r>
                    <w:rPr>
                      <w:szCs w:val="24"/>
                      <w:lang w:eastAsia="x-none"/>
                    </w:rPr>
                    <w:t>. Esant 24 punkte numatytoms aplinkybėms, sveikatos pažymėjimas gali būti išduotas trumpesniam laikotarpiui, nei nurodyta 32 punkte.</w:t>
                  </w:r>
                </w:p>
              </w:sdtContent>
            </w:sdt>
            <w:sdt>
              <w:sdtPr>
                <w:alias w:val="11 pr. 34 p."/>
                <w:tag w:val="part_de20ce18618a4bbfa9442f133d3c87c5"/>
                <w:lock w:val="sdtLocked"/>
                <w:richText/>
              </w:sdtPr>
              <w:sdtContent>
                <w:p>
                  <w:pPr>
                    <w:ind w:firstLine="709"/>
                    <w:jc w:val="both"/>
                    <w:rPr>
                      <w:strike/>
                      <w:color w:val="000000"/>
                      <w:szCs w:val="24"/>
                      <w:lang w:eastAsia="x-none"/>
                    </w:rPr>
                  </w:pPr>
                  <w:sdt>
                    <w:sdtPr>
                      <w:alias w:val="Numeris"/>
                      <w:tag w:val="nr_de20ce18618a4bbfa9442f133d3c87c5"/>
                      <w:lock w:val="sdtLocked"/>
                      <w:richText/>
                    </w:sdtPr>
                    <w:sdtContent>
                      <w:r>
                        <w:rPr>
                          <w:color w:val="000000"/>
                          <w:szCs w:val="24"/>
                          <w:lang w:eastAsia="x-none"/>
                        </w:rPr>
                        <w:t>34</w:t>
                      </w:r>
                    </w:sdtContent>
                  </w:sdt>
                  <w:r>
                    <w:rPr>
                      <w:color w:val="000000"/>
                      <w:szCs w:val="24"/>
                      <w:lang w:eastAsia="x-none"/>
                    </w:rPr>
                    <w:t xml:space="preserve">. Jei sveikatos pažymėjimo galiojimas baigiasi laivo reiso metu, jūrininko sveikatos pažymėjimas toliau galioja iki kito uosto, kuriame kvalifikuotas praktikuojantis gydytojas jam galėtų išduoti jūrininko sveikatos pažymėjimą, bet ne ilgiau kaip tris mėnesius nuo jūrininko sveikatos pažymėjimo galiojimo pasibaigimo datos. </w:t>
                  </w:r>
                </w:p>
              </w:sdtContent>
            </w:sdt>
            <w:sdt>
              <w:sdtPr>
                <w:alias w:val="11 pr. 35 p."/>
                <w:tag w:val="part_5a5f6077afe440e29f0343a5aa3f5852"/>
                <w:lock w:val="sdtLocked"/>
                <w:richText/>
              </w:sdtPr>
              <w:sdtContent>
                <w:p>
                  <w:pPr>
                    <w:tabs>
                      <w:tab w:val="left" w:pos="0"/>
                      <w:tab w:val="left" w:pos="426"/>
                    </w:tabs>
                    <w:ind w:left="709"/>
                    <w:jc w:val="both"/>
                    <w:rPr>
                      <w:szCs w:val="24"/>
                      <w:lang w:eastAsia="x-none"/>
                    </w:rPr>
                  </w:pPr>
                  <w:sdt>
                    <w:sdtPr>
                      <w:alias w:val="Numeris"/>
                      <w:tag w:val="nr_5a5f6077afe440e29f0343a5aa3f5852"/>
                      <w:lock w:val="sdtLocked"/>
                      <w:richText/>
                    </w:sdtPr>
                    <w:sdtContent>
                      <w:r>
                        <w:rPr>
                          <w:color w:val="000000"/>
                          <w:szCs w:val="24"/>
                          <w:lang w:eastAsia="x-none"/>
                        </w:rPr>
                        <w:t>35</w:t>
                      </w:r>
                    </w:sdtContent>
                  </w:sdt>
                  <w:r>
                    <w:rPr>
                      <w:color w:val="000000"/>
                      <w:szCs w:val="24"/>
                      <w:lang w:eastAsia="x-none"/>
                    </w:rPr>
                    <w:t>. Sveikatos pažymėjimas</w:t>
                  </w:r>
                  <w:r>
                    <w:rPr>
                      <w:szCs w:val="24"/>
                      <w:lang w:eastAsia="x-none"/>
                    </w:rPr>
                    <w:t xml:space="preserve"> išrašomas lietuvių ir anglų kalbomis.</w:t>
                  </w:r>
                </w:p>
              </w:sdtContent>
            </w:sdt>
            <w:sdt>
              <w:sdtPr>
                <w:alias w:val="11 pr. 36 p."/>
                <w:tag w:val="part_c0a9d9d7742a4b439e5c3700e181c32b"/>
                <w:lock w:val="sdtLocked"/>
                <w:richText/>
              </w:sdtPr>
              <w:sdtContent>
                <w:p>
                  <w:pPr>
                    <w:ind w:firstLine="709"/>
                    <w:jc w:val="both"/>
                    <w:rPr>
                      <w:color w:val="000000"/>
                      <w:szCs w:val="24"/>
                      <w:lang w:eastAsia="x-none"/>
                    </w:rPr>
                  </w:pPr>
                  <w:sdt>
                    <w:sdtPr>
                      <w:alias w:val="Numeris"/>
                      <w:tag w:val="nr_c0a9d9d7742a4b439e5c3700e181c32b"/>
                      <w:lock w:val="sdtLocked"/>
                      <w:richText/>
                    </w:sdtPr>
                    <w:sdtContent>
                      <w:r>
                        <w:rPr>
                          <w:szCs w:val="24"/>
                          <w:lang w:eastAsia="x-none"/>
                        </w:rPr>
                        <w:t>36</w:t>
                      </w:r>
                    </w:sdtContent>
                  </w:sdt>
                  <w:r>
                    <w:rPr>
                      <w:szCs w:val="24"/>
                      <w:lang w:eastAsia="x-none"/>
                    </w:rPr>
                    <w:t>. Jūrininko sveikatos pažymėjimas yra pripažįstamas tinkamu V</w:t>
                  </w:r>
                  <w:r>
                    <w:rPr>
                      <w:color w:val="000000"/>
                      <w:szCs w:val="24"/>
                      <w:lang w:eastAsia="x-none"/>
                    </w:rPr>
                    <w:t xml:space="preserve">idaus vandenų transporto specialisto bei </w:t>
                  </w:r>
                  <w:r>
                    <w:rPr>
                      <w:color w:val="000000"/>
                      <w:szCs w:val="24"/>
                      <w:lang w:val="en-AU" w:eastAsia="x-none"/>
                    </w:rPr>
                    <w:t>motorinių pramoginių laivų ir kitų motorinių plaukiojimo priemonių</w:t>
                  </w:r>
                  <w:r>
                    <w:rPr>
                      <w:color w:val="000000"/>
                      <w:szCs w:val="24"/>
                      <w:lang w:eastAsia="x-none"/>
                    </w:rPr>
                    <w:t xml:space="preserve"> laivavedžio sveikatos pažymėjimo atitikmeniu.</w:t>
                  </w:r>
                </w:p>
              </w:sdtContent>
            </w:sdt>
            <w:sdt>
              <w:sdtPr>
                <w:alias w:val="11 pr. 37 p."/>
                <w:tag w:val="part_377d764ef6e54556962b6d1a025fe512"/>
                <w:lock w:val="sdtLocked"/>
                <w:richText/>
              </w:sdtPr>
              <w:sdtContent>
                <w:p>
                  <w:pPr>
                    <w:ind w:firstLine="709"/>
                    <w:jc w:val="both"/>
                    <w:rPr>
                      <w:szCs w:val="24"/>
                    </w:rPr>
                  </w:pPr>
                  <w:sdt>
                    <w:sdtPr>
                      <w:alias w:val="Numeris"/>
                      <w:tag w:val="nr_377d764ef6e54556962b6d1a025fe512"/>
                      <w:lock w:val="sdtLocked"/>
                      <w:richText/>
                    </w:sdtPr>
                    <w:sdtContent>
                      <w:r>
                        <w:rPr>
                          <w:color w:val="000000"/>
                          <w:szCs w:val="24"/>
                        </w:rPr>
                        <w:t>37</w:t>
                      </w:r>
                    </w:sdtContent>
                  </w:sdt>
                  <w:r>
                    <w:rPr>
                      <w:color w:val="000000"/>
                      <w:szCs w:val="24"/>
                    </w:rPr>
                    <w:t>. Įrašai sveikatos pažymėjime turi</w:t>
                  </w:r>
                  <w:r>
                    <w:rPr>
                      <w:szCs w:val="24"/>
                    </w:rPr>
                    <w:t xml:space="preserve"> būti įskaitomi, atitikti įrašus asmens tapatybės dokumente, jų negalima taisyti.</w:t>
                  </w:r>
                </w:p>
              </w:sdtContent>
            </w:sdt>
            <w:sdt>
              <w:sdtPr>
                <w:alias w:val="11 pr. 38 p."/>
                <w:tag w:val="part_eea916fcb2d64774891608e4df56703a"/>
                <w:lock w:val="sdtLocked"/>
                <w:richText/>
              </w:sdtPr>
              <w:sdtContent>
                <w:p>
                  <w:pPr>
                    <w:ind w:firstLine="709"/>
                    <w:jc w:val="both"/>
                    <w:rPr>
                      <w:color w:val="000000"/>
                      <w:szCs w:val="24"/>
                    </w:rPr>
                  </w:pPr>
                  <w:sdt>
                    <w:sdtPr>
                      <w:alias w:val="Numeris"/>
                      <w:tag w:val="nr_eea916fcb2d64774891608e4df56703a"/>
                      <w:lock w:val="sdtLocked"/>
                      <w:richText/>
                    </w:sdtPr>
                    <w:sdtContent>
                      <w:r>
                        <w:rPr>
                          <w:szCs w:val="24"/>
                        </w:rPr>
                        <w:t>38</w:t>
                      </w:r>
                    </w:sdtContent>
                  </w:sdt>
                  <w:r>
                    <w:rPr>
                      <w:szCs w:val="24"/>
                    </w:rPr>
                    <w:t xml:space="preserve">. Pildant elektroninę sveikatos pažymėjimo formą Nr. 048-1/a ar formą Nr. 048-2/a, duomenys įrašomi laužtiniuose skliaustuose. </w:t>
                  </w:r>
                </w:p>
              </w:sdtContent>
            </w:sdt>
            <w:sdt>
              <w:sdtPr>
                <w:alias w:val="11 pr. 39 p."/>
                <w:tag w:val="part_a274cb37eb5c4a75a57bdc266a02a56f"/>
                <w:lock w:val="sdtLocked"/>
                <w:richText/>
              </w:sdtPr>
              <w:sdtContent>
                <w:p>
                  <w:pPr>
                    <w:keepNext/>
                    <w:tabs>
                      <w:tab w:val="left" w:pos="0"/>
                      <w:tab w:val="left" w:pos="709"/>
                    </w:tabs>
                    <w:ind w:firstLine="709"/>
                    <w:outlineLvl w:val="5"/>
                    <w:rPr>
                      <w:color w:val="000000"/>
                      <w:szCs w:val="24"/>
                    </w:rPr>
                  </w:pPr>
                  <w:sdt>
                    <w:sdtPr>
                      <w:alias w:val="Numeris"/>
                      <w:tag w:val="nr_a274cb37eb5c4a75a57bdc266a02a56f"/>
                      <w:lock w:val="sdtLocked"/>
                      <w:richText/>
                    </w:sdtPr>
                    <w:sdtContent>
                      <w:r>
                        <w:rPr>
                          <w:color w:val="000000"/>
                          <w:szCs w:val="24"/>
                        </w:rPr>
                        <w:t>39</w:t>
                      </w:r>
                    </w:sdtContent>
                  </w:sdt>
                  <w:r>
                    <w:rPr>
                      <w:color w:val="000000"/>
                      <w:szCs w:val="24"/>
                    </w:rPr>
                    <w:t xml:space="preserve">. Elektroninė </w:t>
                  </w:r>
                  <w:r>
                    <w:rPr>
                      <w:szCs w:val="24"/>
                    </w:rPr>
                    <w:t>sveikatos</w:t>
                  </w:r>
                  <w:r>
                    <w:rPr>
                      <w:color w:val="000000"/>
                      <w:szCs w:val="24"/>
                    </w:rPr>
                    <w:t xml:space="preserve"> pažymėjimo forma išduodama ir registruojama teisės aktų nustatyta tvarka.</w:t>
                  </w:r>
                </w:p>
                <w:p>
                  <w:pPr>
                    <w:rPr>
                      <w:sz w:val="20"/>
                    </w:rPr>
                  </w:pPr>
                </w:p>
              </w:sdtContent>
            </w:sdt>
          </w:sdtContent>
        </w:sdt>
        <w:sdt>
          <w:sdtPr>
            <w:alias w:val="skyrius"/>
            <w:tag w:val="part_03fb52190de14fd6b508d83d35f16cf6"/>
            <w:lock w:val="sdtLocked"/>
            <w:richText/>
          </w:sdtPr>
          <w:sdtContent>
            <w:p>
              <w:pPr>
                <w:keepNext/>
                <w:tabs>
                  <w:tab w:val="left" w:pos="0"/>
                </w:tabs>
                <w:ind w:firstLine="709"/>
                <w:jc w:val="center"/>
                <w:outlineLvl w:val="5"/>
                <w:rPr>
                  <w:b/>
                </w:rPr>
              </w:pPr>
              <w:sdt>
                <w:sdtPr>
                  <w:alias w:val="Numeris"/>
                  <w:tag w:val="nr_03fb52190de14fd6b508d83d35f16cf6"/>
                  <w:lock w:val="sdtLocked"/>
                  <w:richText/>
                </w:sdtPr>
                <w:sdtContent>
                  <w:r>
                    <w:rPr>
                      <w:b/>
                    </w:rPr>
                    <w:t>V</w:t>
                  </w:r>
                </w:sdtContent>
              </w:sdt>
              <w:r>
                <w:rPr>
                  <w:b/>
                </w:rPr>
                <w:t xml:space="preserve">. </w:t>
              </w:r>
              <w:sdt>
                <w:sdtPr>
                  <w:alias w:val="Pavadinimas"/>
                  <w:tag w:val="title_03fb52190de14fd6b508d83d35f16cf6"/>
                  <w:lock w:val="sdtLocked"/>
                  <w:richText/>
                </w:sdtPr>
                <w:sdtContent>
                  <w:r>
                    <w:rPr>
                      <w:b/>
                    </w:rPr>
                    <w:t>BAIGIAMOSIOS NUOSTATOS</w:t>
                  </w:r>
                </w:sdtContent>
              </w:sdt>
            </w:p>
            <w:p>
              <w:pPr>
                <w:tabs>
                  <w:tab w:val="left" w:pos="0"/>
                </w:tabs>
                <w:ind w:firstLine="709"/>
                <w:rPr>
                  <w:sz w:val="20"/>
                </w:rPr>
              </w:pPr>
            </w:p>
            <w:sdt>
              <w:sdtPr>
                <w:alias w:val="11 pr. 40 p."/>
                <w:tag w:val="part_7fb996fb2def4826af923b43cb3c19ec"/>
                <w:lock w:val="sdtLocked"/>
                <w:richText/>
              </w:sdtPr>
              <w:sdtContent>
                <w:p>
                  <w:pPr>
                    <w:tabs>
                      <w:tab w:val="left" w:pos="0"/>
                    </w:tabs>
                    <w:ind w:firstLine="709"/>
                    <w:jc w:val="both"/>
                    <w:rPr>
                      <w:lang w:eastAsia="x-none"/>
                    </w:rPr>
                  </w:pPr>
                  <w:sdt>
                    <w:sdtPr>
                      <w:alias w:val="Numeris"/>
                      <w:tag w:val="nr_7fb996fb2def4826af923b43cb3c19ec"/>
                      <w:lock w:val="sdtLocked"/>
                      <w:richText/>
                    </w:sdtPr>
                    <w:sdtContent>
                      <w:r>
                        <w:rPr>
                          <w:color w:val="000000"/>
                          <w:szCs w:val="24"/>
                          <w:lang w:eastAsia="x-none"/>
                        </w:rPr>
                        <w:t>40</w:t>
                      </w:r>
                    </w:sdtContent>
                  </w:sdt>
                  <w:r>
                    <w:rPr>
                      <w:color w:val="000000"/>
                      <w:szCs w:val="24"/>
                      <w:lang w:eastAsia="x-none"/>
                    </w:rPr>
                    <w:t xml:space="preserve">. Atlikus sveikatos tikrinimą, atitinkamas sveikatos pažymėjimas išduodamas pasitikrinusiam asmeniui, kuris pasirašo jame ir </w:t>
                  </w:r>
                  <w:r>
                    <w:rPr>
                      <w:szCs w:val="24"/>
                      <w:lang w:eastAsia="x-none"/>
                    </w:rPr>
                    <w:t>formoje Nr. 074/a ar formoje Nr. 035/a.</w:t>
                  </w:r>
                  <w:r>
                    <w:rPr>
                      <w:lang w:eastAsia="x-none"/>
                    </w:rPr>
                    <w:t xml:space="preserve"> </w:t>
                  </w:r>
                </w:p>
              </w:sdtContent>
            </w:sdt>
            <w:sdt>
              <w:sdtPr>
                <w:alias w:val="11 pr. 41 p."/>
                <w:tag w:val="part_a8e4e13935ae4671aeafa5caade6edf2"/>
                <w:lock w:val="sdtLocked"/>
                <w:richText/>
              </w:sdtPr>
              <w:sdtContent>
                <w:p>
                  <w:pPr>
                    <w:tabs>
                      <w:tab w:val="left" w:pos="0"/>
                    </w:tabs>
                    <w:ind w:firstLine="709"/>
                    <w:jc w:val="both"/>
                    <w:rPr>
                      <w:lang w:eastAsia="x-none"/>
                    </w:rPr>
                  </w:pPr>
                  <w:sdt>
                    <w:sdtPr>
                      <w:alias w:val="Numeris"/>
                      <w:tag w:val="nr_a8e4e13935ae4671aeafa5caade6edf2"/>
                      <w:lock w:val="sdtLocked"/>
                      <w:richText/>
                    </w:sdtPr>
                    <w:sdtContent>
                      <w:r>
                        <w:rPr>
                          <w:lang w:eastAsia="x-none"/>
                        </w:rPr>
                        <w:t>41</w:t>
                      </w:r>
                    </w:sdtContent>
                  </w:sdt>
                  <w:r>
                    <w:rPr>
                      <w:lang w:eastAsia="x-none"/>
                    </w:rPr>
                    <w:t>. Asmuo, nesutinkantis su privalomo sveikatos tikrinimo išvadomis, gali jas apskųsti Lietuvos Respublikos teisės aktų nustatyta tvarka.</w:t>
                  </w:r>
                </w:p>
                <w:p>
                  <w:pPr>
                    <w:tabs>
                      <w:tab w:val="left" w:pos="0"/>
                    </w:tabs>
                    <w:ind w:firstLine="709"/>
                    <w:jc w:val="center"/>
                    <w:rPr>
                      <w:lang w:eastAsia="x-none"/>
                    </w:rPr>
                  </w:pPr>
                  <w:r>
                    <w:rPr>
                      <w:lang w:eastAsia="x-none"/>
                    </w:rPr>
                    <w:t>___________________________</w:t>
                  </w:r>
                </w:p>
                <w:p/>
              </w:sdtContent>
            </w:sdt>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fd07d0a53f11e3aeb49a67165e3ad3">
            <w:r w:rsidRPr="00532B9F">
              <w:rPr>
                <w:rFonts w:ascii="Times New Roman" w:eastAsia="MS Mincho" w:hAnsi="Times New Roman"/>
                <w:sz w:val="20"/>
                <w:i/>
                <w:iCs/>
                <w:color w:val="0000FF" w:themeColor="hyperlink"/>
                <w:u w:val="single"/>
              </w:rPr>
              <w:t>V-320</w:t>
            </w:r>
          </w:fldSimple>
          <w:r>
            <w:rPr>
              <w:rFonts w:ascii="Times New Roman" w:eastAsia="MS Mincho" w:hAnsi="Times New Roman"/>
              <w:sz w:val="20"/>
              <w:i/>
              <w:iCs/>
            </w:rPr>
            <w:t>,
2014-03-05,
paskelbta TAR 2014-03-06, i. k. 2014-02740            </w:t>
          </w:r>
        </w:p>
        <w:p/>
      </w:sdtContent>
    </w:sdt>
    <w:sdt>
      <w:sdtPr>
        <w:alias w:val="1 pr."/>
        <w:tag w:val="part_852c5890e49a4652a71c1ec7070e4f4a"/>
        <w:lock w:val="sdtLocked"/>
        <w:richText/>
      </w:sdtPr>
      <w:sdtContent>
        <w:p>
          <w:pPr>
            <w:ind w:left="720" w:hanging="11"/>
            <w:jc w:val="center"/>
            <w:rPr>
              <w:szCs w:val="24"/>
            </w:rPr>
          </w:pPr>
        </w:p>
        <w:p>
          <w:pPr>
            <w:ind w:right="27"/>
            <w:jc w:val="both"/>
            <w:rPr>
              <w:sz w:val="20"/>
              <w:szCs w:val="24"/>
            </w:rPr>
            <w:sectPr>
              <w:headerReference w:type="even" r:id="rId80"/>
              <w:headerReference w:type="default" r:id="rId81"/>
              <w:pgSz w:w="11906" w:h="16838"/>
              <w:pgMar w:top="1276" w:right="567" w:bottom="851" w:left="1134" w:header="720" w:footer="720" w:gutter="0"/>
              <w:pgNumType w:start="1"/>
              <w:cols w:space="720"/>
              <w:titlePg/>
            </w:sectPr>
          </w:pPr>
        </w:p>
        <w:p>
          <w:pPr>
            <w:spacing w:line="276" w:lineRule="auto"/>
            <w:ind w:left="7788"/>
            <w:jc w:val="both"/>
            <w:rPr>
              <w:rFonts w:eastAsia="Calibri"/>
              <w:color w:val="000000"/>
              <w:szCs w:val="24"/>
            </w:rPr>
          </w:pPr>
          <w:r>
            <w:rPr>
              <w:rFonts w:eastAsia="Calibri"/>
              <w:color w:val="000000"/>
              <w:szCs w:val="24"/>
            </w:rPr>
            <w:t>Jūrininkų ir vidaus vandenų transporto</w:t>
          </w:r>
        </w:p>
        <w:p>
          <w:pPr>
            <w:spacing w:line="276" w:lineRule="auto"/>
            <w:ind w:left="7788"/>
            <w:jc w:val="both"/>
            <w:rPr>
              <w:rFonts w:eastAsia="Calibri"/>
              <w:color w:val="000000"/>
              <w:szCs w:val="24"/>
            </w:rPr>
          </w:pPr>
          <w:r>
            <w:rPr>
              <w:rFonts w:eastAsia="Calibri"/>
              <w:color w:val="000000"/>
              <w:szCs w:val="24"/>
            </w:rPr>
            <w:t xml:space="preserve">specialistų bei motorinių pramoginių laivų ir </w:t>
          </w:r>
        </w:p>
        <w:p>
          <w:pPr>
            <w:spacing w:line="276" w:lineRule="auto"/>
            <w:ind w:left="7788"/>
            <w:jc w:val="both"/>
            <w:rPr>
              <w:rFonts w:eastAsia="Calibri"/>
              <w:color w:val="000000"/>
              <w:szCs w:val="24"/>
            </w:rPr>
          </w:pPr>
          <w:r>
            <w:rPr>
              <w:rFonts w:eastAsia="Calibri"/>
              <w:color w:val="000000"/>
              <w:szCs w:val="24"/>
            </w:rPr>
            <w:t xml:space="preserve">kitų motorinių plaukiojimo priemonių </w:t>
          </w:r>
        </w:p>
        <w:p>
          <w:pPr>
            <w:spacing w:line="276" w:lineRule="auto"/>
            <w:ind w:left="7788"/>
            <w:jc w:val="both"/>
            <w:rPr>
              <w:rFonts w:eastAsia="Calibri"/>
              <w:color w:val="000000"/>
              <w:szCs w:val="24"/>
            </w:rPr>
          </w:pPr>
          <w:r>
            <w:rPr>
              <w:rFonts w:eastAsia="Calibri"/>
              <w:color w:val="000000"/>
              <w:szCs w:val="24"/>
            </w:rPr>
            <w:t>laivavedžių sveikatos tikrinimo tvarkos aprašo</w:t>
          </w:r>
          <w:r>
            <w:rPr>
              <w:rFonts w:eastAsia="Calibri"/>
              <w:b/>
              <w:color w:val="000000"/>
              <w:szCs w:val="24"/>
            </w:rPr>
            <w:t xml:space="preserve"> </w:t>
          </w:r>
        </w:p>
        <w:p>
          <w:pPr>
            <w:spacing w:line="276" w:lineRule="auto"/>
            <w:ind w:left="7788"/>
            <w:jc w:val="both"/>
            <w:rPr>
              <w:rFonts w:eastAsia="Calibri"/>
              <w:szCs w:val="24"/>
            </w:rPr>
          </w:pPr>
          <w:r>
            <w:rPr>
              <w:rFonts w:eastAsia="Calibri"/>
              <w:szCs w:val="24"/>
            </w:rPr>
            <w:t>1 priedas</w:t>
          </w:r>
        </w:p>
        <w:p>
          <w:pPr>
            <w:spacing w:line="276" w:lineRule="auto"/>
            <w:jc w:val="both"/>
            <w:rPr>
              <w:rFonts w:eastAsia="Calibri"/>
              <w:b/>
              <w:szCs w:val="24"/>
            </w:rPr>
          </w:pPr>
        </w:p>
        <w:sdt>
          <w:sdtPr>
            <w:alias w:val="Pavadinimas"/>
            <w:tag w:val="title_852c5890e49a4652a71c1ec7070e4f4a"/>
            <w:lock w:val="sdtLocked"/>
            <w:richText/>
          </w:sdtPr>
          <w:sdtContent>
            <w:p>
              <w:pPr>
                <w:spacing w:line="276" w:lineRule="auto"/>
                <w:jc w:val="center"/>
                <w:rPr>
                  <w:rFonts w:eastAsia="Calibri"/>
                  <w:b/>
                  <w:color w:val="000000"/>
                  <w:szCs w:val="24"/>
                </w:rPr>
              </w:pPr>
              <w:r>
                <w:rPr>
                  <w:rFonts w:eastAsia="Calibri"/>
                  <w:b/>
                  <w:color w:val="000000"/>
                  <w:szCs w:val="24"/>
                </w:rPr>
                <w:t>MINIMALŪS SVEIKATOS BŪKLĖS REIKALAVIMAI, TAIKOMI JŪRININKAMS IR VIDAUS VANDENŲ TRANSPORTO SPECIALISTAMS BEI MOTORINIŲ PRAMOGINIŲ LAIVŲ IR KITŲ MOTORINIŲ PLAUKIOJIMO PRIEMONIŲ LAIVAVEDŽIAMS</w:t>
              </w:r>
            </w:p>
          </w:sdtContent>
        </w:sdt>
        <w:p>
          <w:pPr>
            <w:spacing w:line="276" w:lineRule="auto"/>
            <w:jc w:val="center"/>
            <w:rPr>
              <w:rFonts w:eastAsia="Calibri"/>
              <w:b/>
              <w:color w:val="000000"/>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6"/>
            <w:gridCol w:w="2977"/>
            <w:gridCol w:w="4110"/>
            <w:gridCol w:w="4252"/>
            <w:gridCol w:w="2801"/>
          </w:tblGrid>
          <w:tr>
            <w:trPr>
              <w:trHeight w:val="2359"/>
            </w:trPr>
            <w:tc>
              <w:tcPr>
                <w:tcW w:w="816" w:type="dxa"/>
              </w:tcPr>
              <w:p>
                <w:pPr>
                  <w:jc w:val="center"/>
                  <w:rPr>
                    <w:rFonts w:eastAsia="Calibri"/>
                    <w:b/>
                    <w:color w:val="000000"/>
                    <w:szCs w:val="24"/>
                  </w:rPr>
                </w:pPr>
                <w:r>
                  <w:rPr>
                    <w:rFonts w:eastAsia="Calibri"/>
                    <w:b/>
                    <w:color w:val="000000"/>
                    <w:szCs w:val="24"/>
                  </w:rPr>
                  <w:t>Eil.</w:t>
                </w:r>
              </w:p>
              <w:p>
                <w:pPr>
                  <w:jc w:val="center"/>
                  <w:rPr>
                    <w:rFonts w:eastAsia="Calibri"/>
                    <w:b/>
                    <w:color w:val="000000"/>
                    <w:szCs w:val="24"/>
                  </w:rPr>
                </w:pPr>
                <w:r>
                  <w:rPr>
                    <w:rFonts w:eastAsia="Calibri"/>
                    <w:b/>
                    <w:color w:val="000000"/>
                    <w:szCs w:val="24"/>
                  </w:rPr>
                  <w:t>Nr.</w:t>
                </w:r>
              </w:p>
            </w:tc>
            <w:tc>
              <w:tcPr>
                <w:tcW w:w="2977" w:type="dxa"/>
              </w:tcPr>
              <w:p>
                <w:pPr>
                  <w:jc w:val="center"/>
                  <w:rPr>
                    <w:b/>
                    <w:color w:val="000000"/>
                    <w:szCs w:val="24"/>
                    <w:lang w:val="en-AU" w:eastAsia="x-none"/>
                  </w:rPr>
                </w:pPr>
                <w:r>
                  <w:rPr>
                    <w:b/>
                    <w:color w:val="000000"/>
                    <w:szCs w:val="24"/>
                    <w:lang w:eastAsia="x-none"/>
                  </w:rPr>
                  <w:t xml:space="preserve">Ligos ir sveikatos sutrikimai, dėl kurių ribojama teisė dirbti jūrininkais ir (ar) vidaus vandenų transporto specialistais bei motorinių pramoginių laivų ir kitų motorinių plaukiojimo priemonių laivavedžiais </w:t>
                </w:r>
              </w:p>
            </w:tc>
            <w:tc>
              <w:tcPr>
                <w:tcW w:w="4110" w:type="dxa"/>
              </w:tcPr>
              <w:p>
                <w:pPr>
                  <w:jc w:val="center"/>
                  <w:rPr>
                    <w:rFonts w:eastAsia="Calibri"/>
                    <w:b/>
                    <w:color w:val="000000"/>
                    <w:szCs w:val="24"/>
                  </w:rPr>
                </w:pPr>
                <w:r>
                  <w:rPr>
                    <w:rFonts w:eastAsia="Calibri"/>
                    <w:b/>
                    <w:color w:val="000000"/>
                    <w:szCs w:val="24"/>
                  </w:rPr>
                  <w:t>Jūrininkų sveikatos būklės reikalavimai pagal profesines grupes</w:t>
                </w:r>
              </w:p>
            </w:tc>
            <w:tc>
              <w:tcPr>
                <w:tcW w:w="4252" w:type="dxa"/>
              </w:tcPr>
              <w:p>
                <w:pPr>
                  <w:jc w:val="center"/>
                  <w:rPr>
                    <w:rFonts w:eastAsia="Calibri"/>
                    <w:b/>
                    <w:color w:val="000000"/>
                    <w:szCs w:val="24"/>
                  </w:rPr>
                </w:pPr>
                <w:r>
                  <w:rPr>
                    <w:rFonts w:eastAsia="Calibri"/>
                    <w:b/>
                    <w:color w:val="000000"/>
                    <w:szCs w:val="24"/>
                  </w:rPr>
                  <w:t>Vidaus vandenų transporto specialistų bei motorinių pramoginių laivų ir kitų motorinių plaukiojimo priemonių laivavedžių sveikatos būklės reikalavimai pagal profesines grupes</w:t>
                </w:r>
              </w:p>
            </w:tc>
            <w:tc>
              <w:tcPr>
                <w:tcW w:w="2801" w:type="dxa"/>
              </w:tcPr>
              <w:p>
                <w:pPr>
                  <w:jc w:val="center"/>
                  <w:rPr>
                    <w:rFonts w:eastAsia="Calibri"/>
                    <w:b/>
                    <w:color w:val="000000"/>
                    <w:szCs w:val="24"/>
                  </w:rPr>
                </w:pPr>
                <w:r>
                  <w:rPr>
                    <w:rFonts w:eastAsia="Calibri"/>
                    <w:b/>
                    <w:color w:val="000000"/>
                    <w:szCs w:val="24"/>
                  </w:rPr>
                  <w:t>Pastabos</w:t>
                </w:r>
              </w:p>
            </w:tc>
          </w:tr>
          <w:tr>
            <w:tc>
              <w:tcPr>
                <w:tcW w:w="816" w:type="dxa"/>
              </w:tcPr>
              <w:p>
                <w:pPr>
                  <w:spacing w:line="276" w:lineRule="auto"/>
                  <w:jc w:val="center"/>
                  <w:rPr>
                    <w:rFonts w:eastAsia="Calibri"/>
                    <w:szCs w:val="24"/>
                  </w:rPr>
                </w:pPr>
                <w:r>
                  <w:rPr>
                    <w:rFonts w:eastAsia="Calibri"/>
                    <w:szCs w:val="24"/>
                  </w:rPr>
                  <w:t>1</w:t>
                </w:r>
              </w:p>
            </w:tc>
            <w:tc>
              <w:tcPr>
                <w:tcW w:w="2977" w:type="dxa"/>
              </w:tcPr>
              <w:p>
                <w:pPr>
                  <w:spacing w:line="276" w:lineRule="auto"/>
                  <w:jc w:val="center"/>
                  <w:rPr>
                    <w:rFonts w:eastAsia="Calibri"/>
                    <w:szCs w:val="24"/>
                  </w:rPr>
                </w:pPr>
                <w:r>
                  <w:rPr>
                    <w:rFonts w:eastAsia="Calibri"/>
                    <w:szCs w:val="24"/>
                  </w:rPr>
                  <w:t>2</w:t>
                </w:r>
              </w:p>
            </w:tc>
            <w:tc>
              <w:tcPr>
                <w:tcW w:w="4110" w:type="dxa"/>
              </w:tcPr>
              <w:p>
                <w:pPr>
                  <w:spacing w:line="276" w:lineRule="auto"/>
                  <w:jc w:val="center"/>
                  <w:rPr>
                    <w:rFonts w:eastAsia="Calibri"/>
                    <w:szCs w:val="24"/>
                  </w:rPr>
                </w:pPr>
                <w:r>
                  <w:rPr>
                    <w:rFonts w:eastAsia="Calibri"/>
                    <w:szCs w:val="24"/>
                  </w:rPr>
                  <w:t>3</w:t>
                </w:r>
              </w:p>
            </w:tc>
            <w:tc>
              <w:tcPr>
                <w:tcW w:w="4252" w:type="dxa"/>
              </w:tcPr>
              <w:p>
                <w:pPr>
                  <w:spacing w:line="276" w:lineRule="auto"/>
                  <w:jc w:val="center"/>
                  <w:rPr>
                    <w:rFonts w:eastAsia="Calibri"/>
                    <w:szCs w:val="24"/>
                  </w:rPr>
                </w:pPr>
                <w:r>
                  <w:rPr>
                    <w:rFonts w:eastAsia="Calibri"/>
                    <w:szCs w:val="24"/>
                  </w:rPr>
                  <w:t>4</w:t>
                </w:r>
              </w:p>
            </w:tc>
            <w:tc>
              <w:tcPr>
                <w:tcW w:w="2801" w:type="dxa"/>
              </w:tcPr>
              <w:p>
                <w:pPr>
                  <w:spacing w:line="276" w:lineRule="auto"/>
                  <w:jc w:val="center"/>
                  <w:rPr>
                    <w:rFonts w:eastAsia="Calibri"/>
                    <w:szCs w:val="24"/>
                  </w:rPr>
                </w:pPr>
                <w:r>
                  <w:rPr>
                    <w:rFonts w:eastAsia="Calibri"/>
                    <w:szCs w:val="24"/>
                  </w:rPr>
                  <w:t>5</w:t>
                </w:r>
              </w:p>
            </w:tc>
          </w:tr>
          <w:tr>
            <w:tc>
              <w:tcPr>
                <w:tcW w:w="816" w:type="dxa"/>
              </w:tcPr>
              <w:p>
                <w:pPr>
                  <w:spacing w:line="276" w:lineRule="auto"/>
                  <w:rPr>
                    <w:rFonts w:eastAsia="Calibri"/>
                    <w:szCs w:val="24"/>
                  </w:rPr>
                </w:pPr>
                <w:r>
                  <w:rPr>
                    <w:rFonts w:eastAsia="Calibri"/>
                    <w:szCs w:val="24"/>
                  </w:rPr>
                  <w:t xml:space="preserve">1. </w:t>
                </w:r>
              </w:p>
            </w:tc>
            <w:tc>
              <w:tcPr>
                <w:tcW w:w="14140" w:type="dxa"/>
                <w:gridSpan w:val="4"/>
              </w:tcPr>
              <w:p>
                <w:pPr>
                  <w:spacing w:line="276" w:lineRule="auto"/>
                  <w:jc w:val="center"/>
                  <w:rPr>
                    <w:rFonts w:eastAsia="Calibri"/>
                    <w:szCs w:val="24"/>
                  </w:rPr>
                </w:pPr>
                <w:r>
                  <w:rPr>
                    <w:rFonts w:eastAsia="Calibri"/>
                    <w:b/>
                    <w:color w:val="000000"/>
                    <w:szCs w:val="24"/>
                  </w:rPr>
                  <w:t>REGA BEI AKIES IR JOS PRIEDINIŲ ORGANŲ LIGOS</w:t>
                </w:r>
              </w:p>
            </w:tc>
          </w:tr>
          <w:tr>
            <w:trPr>
              <w:trHeight w:val="2427"/>
            </w:trPr>
            <w:tc>
              <w:tcPr>
                <w:tcW w:w="816" w:type="dxa"/>
              </w:tcPr>
              <w:p>
                <w:pPr>
                  <w:spacing w:line="276" w:lineRule="auto"/>
                  <w:jc w:val="both"/>
                  <w:rPr>
                    <w:rFonts w:eastAsia="Calibri"/>
                    <w:color w:val="000000"/>
                    <w:szCs w:val="24"/>
                  </w:rPr>
                </w:pPr>
                <w:r>
                  <w:rPr>
                    <w:rFonts w:eastAsia="Calibri"/>
                    <w:color w:val="000000"/>
                    <w:szCs w:val="24"/>
                  </w:rPr>
                  <w:t>1.1.</w:t>
                </w:r>
              </w:p>
            </w:tc>
            <w:tc>
              <w:tcPr>
                <w:tcW w:w="2977" w:type="dxa"/>
              </w:tcPr>
              <w:p>
                <w:pPr>
                  <w:spacing w:line="276" w:lineRule="auto"/>
                  <w:rPr>
                    <w:rFonts w:eastAsia="Calibri"/>
                    <w:b/>
                    <w:color w:val="000000"/>
                    <w:szCs w:val="24"/>
                  </w:rPr>
                </w:pPr>
              </w:p>
            </w:tc>
            <w:tc>
              <w:tcPr>
                <w:tcW w:w="4110" w:type="dxa"/>
              </w:tcPr>
              <w:p>
                <w:pPr>
                  <w:spacing w:line="276" w:lineRule="auto"/>
                  <w:rPr>
                    <w:rFonts w:eastAsia="Calibri"/>
                    <w:b/>
                    <w:i/>
                    <w:szCs w:val="24"/>
                  </w:rPr>
                </w:pPr>
                <w:r>
                  <w:rPr>
                    <w:rFonts w:eastAsia="Calibri"/>
                    <w:b/>
                    <w:i/>
                    <w:szCs w:val="24"/>
                  </w:rPr>
                  <w:t>Denio tarnyba ir pramoginių laivų laivavedžiai</w:t>
                </w:r>
              </w:p>
              <w:p>
                <w:pPr>
                  <w:spacing w:line="276" w:lineRule="auto"/>
                  <w:rPr>
                    <w:rFonts w:eastAsia="Calibri"/>
                    <w:szCs w:val="24"/>
                  </w:rPr>
                </w:pPr>
                <w:r>
                  <w:rPr>
                    <w:rFonts w:eastAsia="Calibri"/>
                    <w:szCs w:val="24"/>
                  </w:rPr>
                  <w:t>Nekoreguotas regėjimas į tolį viena akimi 0.1 ar daugiau, kita akimi 0.1 ar daugiau.</w:t>
                </w:r>
              </w:p>
              <w:p>
                <w:pPr>
                  <w:spacing w:line="276" w:lineRule="auto"/>
                  <w:rPr>
                    <w:rFonts w:eastAsia="Calibri"/>
                    <w:szCs w:val="24"/>
                  </w:rPr>
                </w:pPr>
                <w:r>
                  <w:rPr>
                    <w:rFonts w:eastAsia="Calibri"/>
                    <w:szCs w:val="24"/>
                  </w:rPr>
                  <w:t>Koreguotas (kontaktiniai lęšiai ar akiniai) regėjimas į tolį viena akimi 0.5 ar daugiau, kita akimi 0.5 ar daugiau.</w:t>
                </w:r>
              </w:p>
              <w:p>
                <w:pPr>
                  <w:spacing w:line="276" w:lineRule="auto"/>
                  <w:rPr>
                    <w:rFonts w:eastAsia="Calibri"/>
                    <w:szCs w:val="24"/>
                  </w:rPr>
                </w:pPr>
                <w:r>
                  <w:rPr>
                    <w:rFonts w:eastAsia="Calibri"/>
                    <w:szCs w:val="24"/>
                  </w:rPr>
                  <w:t>Spalvų juslė – norma.</w:t>
                </w:r>
              </w:p>
              <w:p>
                <w:pPr>
                  <w:spacing w:line="276" w:lineRule="auto"/>
                  <w:rPr>
                    <w:rFonts w:eastAsia="Calibri"/>
                    <w:color w:val="000000"/>
                    <w:szCs w:val="24"/>
                  </w:rPr>
                </w:pPr>
                <w:r>
                  <w:rPr>
                    <w:rFonts w:eastAsia="Calibri"/>
                    <w:szCs w:val="24"/>
                  </w:rPr>
                  <w:t xml:space="preserve">Akiplotis – normalus regėjimo laukas. </w:t>
                </w:r>
              </w:p>
            </w:tc>
            <w:tc>
              <w:tcPr>
                <w:tcW w:w="4252" w:type="dxa"/>
              </w:tcPr>
              <w:p>
                <w:pPr>
                  <w:spacing w:line="276" w:lineRule="auto"/>
                  <w:rPr>
                    <w:rFonts w:eastAsia="Calibri"/>
                    <w:b/>
                    <w:i/>
                    <w:szCs w:val="24"/>
                  </w:rPr>
                </w:pPr>
                <w:r>
                  <w:rPr>
                    <w:rFonts w:eastAsia="Calibri"/>
                    <w:b/>
                    <w:i/>
                    <w:szCs w:val="24"/>
                  </w:rPr>
                  <w:t>Denio tarnyba ir pramoginių laivų laivavedžiai</w:t>
                </w:r>
              </w:p>
              <w:p>
                <w:pPr>
                  <w:spacing w:line="276" w:lineRule="auto"/>
                  <w:rPr>
                    <w:rFonts w:eastAsia="Calibri"/>
                    <w:szCs w:val="24"/>
                  </w:rPr>
                </w:pPr>
                <w:r>
                  <w:rPr>
                    <w:rFonts w:eastAsia="Calibri"/>
                    <w:szCs w:val="24"/>
                  </w:rPr>
                  <w:t>Nekoreguotas regėjimas į tolį viena akimi 0.1 ar daugiau, kita akimi 0.1 ar daugiau.</w:t>
                </w:r>
              </w:p>
              <w:p>
                <w:pPr>
                  <w:spacing w:line="276" w:lineRule="auto"/>
                  <w:rPr>
                    <w:rFonts w:eastAsia="Calibri"/>
                    <w:szCs w:val="24"/>
                  </w:rPr>
                </w:pPr>
                <w:r>
                  <w:rPr>
                    <w:rFonts w:eastAsia="Calibri"/>
                    <w:szCs w:val="24"/>
                  </w:rPr>
                  <w:t>Koreguotas (kontaktiniai lęšiai ar akiniai) regėjimas į tolį viena akimi 0.5 ar daugiau, kita akimi 0.5 ar daugiau.</w:t>
                </w:r>
              </w:p>
              <w:p>
                <w:pPr>
                  <w:spacing w:line="276" w:lineRule="auto"/>
                  <w:rPr>
                    <w:rFonts w:eastAsia="Calibri"/>
                    <w:szCs w:val="24"/>
                  </w:rPr>
                </w:pPr>
                <w:r>
                  <w:rPr>
                    <w:rFonts w:eastAsia="Calibri"/>
                    <w:szCs w:val="24"/>
                  </w:rPr>
                  <w:t>Spalvų juslė – norma.</w:t>
                </w:r>
              </w:p>
              <w:p>
                <w:pPr>
                  <w:spacing w:line="276" w:lineRule="auto"/>
                  <w:rPr>
                    <w:rFonts w:eastAsia="Calibri"/>
                    <w:szCs w:val="24"/>
                  </w:rPr>
                </w:pPr>
                <w:r>
                  <w:rPr>
                    <w:rFonts w:eastAsia="Calibri"/>
                    <w:szCs w:val="24"/>
                  </w:rPr>
                  <w:t>Akiplotis – normalus regėjimo laukas.</w:t>
                </w:r>
              </w:p>
              <w:p>
                <w:pPr>
                  <w:spacing w:line="276" w:lineRule="auto"/>
                  <w:jc w:val="both"/>
                  <w:rPr>
                    <w:rFonts w:eastAsia="Calibri"/>
                    <w:color w:val="000000"/>
                    <w:szCs w:val="24"/>
                  </w:rPr>
                </w:pPr>
              </w:p>
            </w:tc>
            <w:tc>
              <w:tcPr>
                <w:tcW w:w="2801" w:type="dxa"/>
              </w:tcPr>
              <w:p>
                <w:pPr>
                  <w:spacing w:line="276" w:lineRule="auto"/>
                  <w:rPr>
                    <w:rFonts w:eastAsia="Calibri"/>
                    <w:color w:val="000000"/>
                    <w:szCs w:val="24"/>
                  </w:rPr>
                </w:pPr>
                <w:r>
                  <w:rPr>
                    <w:rFonts w:eastAsia="Calibri"/>
                    <w:color w:val="000000"/>
                    <w:szCs w:val="24"/>
                  </w:rPr>
                  <w:t>Tikrina gydytojas oftalmologas. Vertinamas regėjimo aštrumas, spalvinė rega, akispūdis, akiplotis ir progresuojančios akių ligos.</w:t>
                </w:r>
              </w:p>
            </w:tc>
          </w:tr>
          <w:tr>
            <w:tc>
              <w:tcPr>
                <w:tcW w:w="816" w:type="dxa"/>
              </w:tcPr>
              <w:p>
                <w:pPr>
                  <w:spacing w:line="276" w:lineRule="auto"/>
                  <w:jc w:val="both"/>
                  <w:rPr>
                    <w:rFonts w:eastAsia="Calibri"/>
                    <w:szCs w:val="24"/>
                  </w:rPr>
                </w:pPr>
                <w:r>
                  <w:rPr>
                    <w:rFonts w:eastAsia="Calibri"/>
                    <w:szCs w:val="24"/>
                  </w:rPr>
                  <w:t>1.2.</w:t>
                </w:r>
              </w:p>
            </w:tc>
            <w:tc>
              <w:tcPr>
                <w:tcW w:w="2977" w:type="dxa"/>
              </w:tcPr>
              <w:p>
                <w:pPr>
                  <w:spacing w:line="276" w:lineRule="auto"/>
                  <w:rPr>
                    <w:rFonts w:eastAsia="Calibri"/>
                    <w:szCs w:val="24"/>
                  </w:rPr>
                </w:pPr>
              </w:p>
            </w:tc>
            <w:tc>
              <w:tcPr>
                <w:tcW w:w="4110" w:type="dxa"/>
              </w:tcPr>
              <w:p>
                <w:pPr>
                  <w:spacing w:line="276" w:lineRule="auto"/>
                  <w:rPr>
                    <w:rFonts w:eastAsia="Calibri"/>
                    <w:b/>
                    <w:i/>
                    <w:szCs w:val="24"/>
                  </w:rPr>
                </w:pPr>
                <w:r>
                  <w:rPr>
                    <w:rFonts w:eastAsia="Calibri"/>
                    <w:b/>
                    <w:i/>
                    <w:szCs w:val="24"/>
                  </w:rPr>
                  <w:t>Mašinų tarnyba</w:t>
                </w:r>
              </w:p>
              <w:p>
                <w:pPr>
                  <w:spacing w:line="276" w:lineRule="auto"/>
                  <w:rPr>
                    <w:rFonts w:eastAsia="Calibri"/>
                    <w:szCs w:val="24"/>
                  </w:rPr>
                </w:pPr>
                <w:r>
                  <w:rPr>
                    <w:rFonts w:eastAsia="Calibri"/>
                    <w:szCs w:val="24"/>
                  </w:rPr>
                  <w:t>Nekoreguotas regėjimas į tolį viena akimi 0.1 ar daugiau, kita akimi 0.1 ar daugiau.</w:t>
                </w:r>
              </w:p>
              <w:p>
                <w:pPr>
                  <w:spacing w:line="276" w:lineRule="auto"/>
                  <w:rPr>
                    <w:rFonts w:eastAsia="Calibri"/>
                    <w:szCs w:val="24"/>
                  </w:rPr>
                </w:pPr>
                <w:r>
                  <w:rPr>
                    <w:rFonts w:eastAsia="Calibri"/>
                    <w:szCs w:val="24"/>
                  </w:rPr>
                  <w:t>Koreguotas (kontaktiniai lęšiai ar akiniai) regėjimas į tolį viena akimi 0.4 ar daugiau, kita akimi 0.4 ar daugiau.</w:t>
                </w:r>
              </w:p>
              <w:p>
                <w:pPr>
                  <w:spacing w:line="276" w:lineRule="auto"/>
                  <w:rPr>
                    <w:rFonts w:eastAsia="Calibri"/>
                    <w:color w:val="000000"/>
                    <w:szCs w:val="24"/>
                  </w:rPr>
                </w:pPr>
                <w:r>
                  <w:rPr>
                    <w:rFonts w:eastAsia="Calibri"/>
                    <w:szCs w:val="24"/>
                  </w:rPr>
                  <w:t>Akipločiai (regėjimo laukai) gali būti susiaurėję ne daugiau kaip 15 laipsnių iš išorės.</w:t>
                </w:r>
              </w:p>
            </w:tc>
            <w:tc>
              <w:tcPr>
                <w:tcW w:w="4252" w:type="dxa"/>
              </w:tcPr>
              <w:p>
                <w:pPr>
                  <w:spacing w:line="276" w:lineRule="auto"/>
                  <w:rPr>
                    <w:rFonts w:eastAsia="Calibri"/>
                    <w:b/>
                    <w:i/>
                    <w:szCs w:val="24"/>
                  </w:rPr>
                </w:pPr>
                <w:r>
                  <w:rPr>
                    <w:rFonts w:eastAsia="Calibri"/>
                    <w:b/>
                    <w:i/>
                    <w:szCs w:val="24"/>
                  </w:rPr>
                  <w:t>Mašinų tarnyba</w:t>
                </w:r>
              </w:p>
              <w:p>
                <w:pPr>
                  <w:spacing w:line="276" w:lineRule="auto"/>
                  <w:rPr>
                    <w:rFonts w:eastAsia="Calibri"/>
                    <w:szCs w:val="24"/>
                  </w:rPr>
                </w:pPr>
                <w:r>
                  <w:rPr>
                    <w:rFonts w:eastAsia="Calibri"/>
                    <w:szCs w:val="24"/>
                  </w:rPr>
                  <w:t>Nekoreguotas regėjimas į tolį viena akimi 0.1 ar daugiau, kita akimi 0.1 ar daugiau.</w:t>
                </w:r>
              </w:p>
              <w:p>
                <w:pPr>
                  <w:spacing w:line="276" w:lineRule="auto"/>
                  <w:rPr>
                    <w:rFonts w:eastAsia="Calibri"/>
                    <w:szCs w:val="24"/>
                  </w:rPr>
                </w:pPr>
                <w:r>
                  <w:rPr>
                    <w:rFonts w:eastAsia="Calibri"/>
                    <w:szCs w:val="24"/>
                  </w:rPr>
                  <w:t>Koreguotas (kontaktiniai lęšiai ar akiniai) regėjimas į tolį viena akimi 0.4 ar daugiau, kita akimi 0.4 ar daugiau.</w:t>
                </w:r>
              </w:p>
              <w:p>
                <w:pPr>
                  <w:spacing w:line="276" w:lineRule="auto"/>
                  <w:rPr>
                    <w:rFonts w:eastAsia="Calibri"/>
                    <w:color w:val="000000"/>
                    <w:szCs w:val="24"/>
                  </w:rPr>
                </w:pPr>
                <w:r>
                  <w:rPr>
                    <w:rFonts w:eastAsia="Calibri"/>
                    <w:szCs w:val="24"/>
                  </w:rPr>
                  <w:t>Akipločiai (regėjimo laukai) gali būti susiaurėję ne daugiau kaip 15 laipsnių iš išorės.</w:t>
                </w:r>
              </w:p>
            </w:tc>
            <w:tc>
              <w:tcPr>
                <w:tcW w:w="2801" w:type="dxa"/>
              </w:tcPr>
              <w:p>
                <w:pPr>
                  <w:spacing w:line="276" w:lineRule="auto"/>
                  <w:jc w:val="both"/>
                  <w:rPr>
                    <w:rFonts w:eastAsia="Calibri"/>
                    <w:szCs w:val="24"/>
                  </w:rPr>
                </w:pPr>
              </w:p>
            </w:tc>
          </w:tr>
          <w:tr>
            <w:trPr>
              <w:trHeight w:val="2266"/>
            </w:trPr>
            <w:tc>
              <w:tcPr>
                <w:tcW w:w="816" w:type="dxa"/>
              </w:tcPr>
              <w:p>
                <w:pPr>
                  <w:spacing w:line="276" w:lineRule="auto"/>
                  <w:jc w:val="both"/>
                  <w:rPr>
                    <w:rFonts w:eastAsia="Calibri"/>
                    <w:szCs w:val="24"/>
                  </w:rPr>
                </w:pPr>
                <w:r>
                  <w:rPr>
                    <w:rFonts w:eastAsia="Calibri"/>
                    <w:szCs w:val="24"/>
                  </w:rPr>
                  <w:t>1.3.</w:t>
                </w:r>
              </w:p>
            </w:tc>
            <w:tc>
              <w:tcPr>
                <w:tcW w:w="2977" w:type="dxa"/>
              </w:tcPr>
              <w:p>
                <w:pPr>
                  <w:spacing w:line="276" w:lineRule="auto"/>
                  <w:rPr>
                    <w:rFonts w:eastAsia="Calibri"/>
                    <w:szCs w:val="24"/>
                  </w:rPr>
                </w:pPr>
              </w:p>
              <w:p>
                <w:pPr>
                  <w:spacing w:line="276" w:lineRule="auto"/>
                  <w:rPr>
                    <w:rFonts w:eastAsia="Calibri"/>
                    <w:b/>
                    <w:i/>
                    <w:szCs w:val="24"/>
                  </w:rPr>
                </w:pPr>
              </w:p>
            </w:tc>
            <w:tc>
              <w:tcPr>
                <w:tcW w:w="4110" w:type="dxa"/>
              </w:tcPr>
              <w:p>
                <w:pPr>
                  <w:spacing w:line="276" w:lineRule="auto"/>
                  <w:rPr>
                    <w:rFonts w:eastAsia="Calibri"/>
                    <w:b/>
                    <w:i/>
                    <w:szCs w:val="24"/>
                  </w:rPr>
                </w:pPr>
                <w:r>
                  <w:rPr>
                    <w:rFonts w:eastAsia="Calibri"/>
                    <w:b/>
                    <w:i/>
                    <w:szCs w:val="24"/>
                  </w:rPr>
                  <w:t>Laivo aptarnavimo tarnyba</w:t>
                </w:r>
              </w:p>
              <w:p>
                <w:pPr>
                  <w:spacing w:line="276" w:lineRule="auto"/>
                  <w:rPr>
                    <w:rFonts w:eastAsia="Calibri"/>
                    <w:szCs w:val="24"/>
                  </w:rPr>
                </w:pPr>
                <w:r>
                  <w:rPr>
                    <w:rFonts w:eastAsia="Calibri"/>
                    <w:szCs w:val="24"/>
                  </w:rPr>
                  <w:t xml:space="preserve">Nekoreguotas  regėjimas į tolį viena akimi 0.05 ar daugiau, kita akimi 0.05 ar daugiau.</w:t>
                </w:r>
              </w:p>
              <w:p>
                <w:pPr>
                  <w:spacing w:line="276" w:lineRule="auto"/>
                  <w:rPr>
                    <w:rFonts w:eastAsia="Calibri"/>
                    <w:szCs w:val="24"/>
                  </w:rPr>
                </w:pPr>
                <w:r>
                  <w:rPr>
                    <w:rFonts w:eastAsia="Calibri"/>
                    <w:szCs w:val="24"/>
                  </w:rPr>
                  <w:t>Koreguotas (kontaktiniai lęšiai ar akiniai) regėjimas į tolį viena akimi 0.4 ar daugiau, kita akimi 0.4 ar daugiau.</w:t>
                </w:r>
              </w:p>
              <w:p>
                <w:pPr>
                  <w:spacing w:line="276" w:lineRule="auto"/>
                  <w:rPr>
                    <w:rFonts w:eastAsia="Calibri"/>
                    <w:szCs w:val="24"/>
                  </w:rPr>
                </w:pPr>
                <w:r>
                  <w:rPr>
                    <w:rFonts w:eastAsia="Calibri"/>
                    <w:szCs w:val="24"/>
                  </w:rPr>
                  <w:t>Akipločiai gali būti susiaurėję ne daugiau kaip 15 laipsnių iš išorės.</w:t>
                </w:r>
              </w:p>
              <w:p>
                <w:pPr>
                  <w:spacing w:line="276" w:lineRule="auto"/>
                  <w:rPr>
                    <w:rFonts w:eastAsia="Calibri"/>
                    <w:color w:val="000000"/>
                    <w:szCs w:val="24"/>
                  </w:rPr>
                </w:pPr>
              </w:p>
            </w:tc>
            <w:tc>
              <w:tcPr>
                <w:tcW w:w="4252" w:type="dxa"/>
              </w:tcPr>
              <w:p>
                <w:pPr>
                  <w:spacing w:line="276" w:lineRule="auto"/>
                  <w:rPr>
                    <w:rFonts w:eastAsia="Calibri"/>
                    <w:b/>
                    <w:i/>
                    <w:szCs w:val="24"/>
                  </w:rPr>
                </w:pPr>
                <w:r>
                  <w:rPr>
                    <w:rFonts w:eastAsia="Calibri"/>
                    <w:b/>
                    <w:i/>
                    <w:szCs w:val="24"/>
                  </w:rPr>
                  <w:t>Laivo aptarnavimo tarnyba</w:t>
                </w:r>
              </w:p>
              <w:p>
                <w:pPr>
                  <w:spacing w:line="276" w:lineRule="auto"/>
                  <w:rPr>
                    <w:rFonts w:eastAsia="Calibri"/>
                    <w:szCs w:val="24"/>
                  </w:rPr>
                </w:pPr>
                <w:r>
                  <w:rPr>
                    <w:rFonts w:eastAsia="Calibri"/>
                    <w:szCs w:val="24"/>
                  </w:rPr>
                  <w:t xml:space="preserve">Nekoreguotas  regėjimas į tolį viena akimi 0.05 ar daugiau, kita akimi 0.05 ar daugiau.</w:t>
                </w:r>
              </w:p>
              <w:p>
                <w:pPr>
                  <w:spacing w:line="276" w:lineRule="auto"/>
                  <w:rPr>
                    <w:rFonts w:eastAsia="Calibri"/>
                    <w:szCs w:val="24"/>
                  </w:rPr>
                </w:pPr>
                <w:r>
                  <w:rPr>
                    <w:rFonts w:eastAsia="Calibri"/>
                    <w:szCs w:val="24"/>
                  </w:rPr>
                  <w:t>Koreguotas (kontaktiniai lęšiai ar akiniai) regėjimas į tolį viena akimi 0.4 ar daugiau, kita akimi 0.4 ar daugiau.</w:t>
                </w:r>
              </w:p>
              <w:p>
                <w:pPr>
                  <w:spacing w:line="276" w:lineRule="auto"/>
                  <w:rPr>
                    <w:rFonts w:eastAsia="Calibri"/>
                    <w:szCs w:val="24"/>
                  </w:rPr>
                </w:pPr>
                <w:r>
                  <w:rPr>
                    <w:rFonts w:eastAsia="Calibri"/>
                    <w:szCs w:val="24"/>
                  </w:rPr>
                  <w:t>Akipločiai gali būti susiaurėję ne daugiau kaip 15 laipsnių iš išorės.</w:t>
                </w:r>
              </w:p>
              <w:p>
                <w:pPr>
                  <w:spacing w:line="276" w:lineRule="auto"/>
                  <w:rPr>
                    <w:rFonts w:eastAsia="Calibri"/>
                    <w:color w:val="000000"/>
                    <w:szCs w:val="24"/>
                  </w:rPr>
                </w:pPr>
              </w:p>
            </w:tc>
            <w:tc>
              <w:tcPr>
                <w:tcW w:w="2801" w:type="dxa"/>
              </w:tcPr>
              <w:p>
                <w:pPr>
                  <w:spacing w:line="276" w:lineRule="auto"/>
                  <w:rPr>
                    <w:rFonts w:eastAsia="Calibri"/>
                    <w:szCs w:val="24"/>
                  </w:rPr>
                </w:pPr>
                <w:r>
                  <w:rPr>
                    <w:rFonts w:eastAsia="Calibri"/>
                    <w:szCs w:val="24"/>
                  </w:rPr>
                  <w:t>Asmenys, kurių regėjimas koreguojamas kontaktiniais lęšiais ar akiniais, dirbti narais netinka.</w:t>
                </w:r>
              </w:p>
              <w:p>
                <w:pPr>
                  <w:spacing w:line="276" w:lineRule="auto"/>
                  <w:rPr>
                    <w:rFonts w:eastAsia="Calibri"/>
                    <w:szCs w:val="24"/>
                  </w:rPr>
                </w:pPr>
                <w:r>
                  <w:rPr>
                    <w:rFonts w:eastAsia="Calibri"/>
                    <w:szCs w:val="24"/>
                  </w:rPr>
                  <w:t>Esant normatyvų neatitikimams, sprendžiama individualiai po gydytojo oftalmologo konsultacijos.</w:t>
                </w:r>
              </w:p>
              <w:p>
                <w:pPr>
                  <w:spacing w:line="276" w:lineRule="auto"/>
                  <w:jc w:val="both"/>
                  <w:rPr>
                    <w:rFonts w:eastAsia="Calibri"/>
                    <w:szCs w:val="24"/>
                  </w:rPr>
                </w:pPr>
                <w:r>
                  <w:rPr>
                    <w:rFonts w:eastAsia="Calibri"/>
                    <w:szCs w:val="24"/>
                  </w:rPr>
                  <w:t>Narams nekoreguotas regėjimas į tolį viena akimi 0.5 ar daugiau, kita akimi – 0.5 ar daugiau.</w:t>
                </w:r>
              </w:p>
            </w:tc>
          </w:tr>
          <w:tr>
            <w:trPr>
              <w:trHeight w:val="2729"/>
            </w:trPr>
            <w:tc>
              <w:tcPr>
                <w:tcW w:w="816" w:type="dxa"/>
              </w:tcPr>
              <w:p>
                <w:pPr>
                  <w:spacing w:line="276" w:lineRule="auto"/>
                  <w:jc w:val="both"/>
                  <w:rPr>
                    <w:rFonts w:eastAsia="Calibri"/>
                    <w:szCs w:val="24"/>
                  </w:rPr>
                </w:pPr>
                <w:r>
                  <w:rPr>
                    <w:rFonts w:eastAsia="Calibri"/>
                    <w:szCs w:val="24"/>
                  </w:rPr>
                  <w:t>1.4.</w:t>
                </w:r>
              </w:p>
            </w:tc>
            <w:tc>
              <w:tcPr>
                <w:tcW w:w="2977" w:type="dxa"/>
              </w:tcPr>
              <w:p>
                <w:pPr>
                  <w:spacing w:line="276" w:lineRule="auto"/>
                  <w:rPr>
                    <w:rFonts w:eastAsia="Calibri"/>
                    <w:szCs w:val="24"/>
                  </w:rPr>
                </w:pPr>
                <w:r>
                  <w:rPr>
                    <w:rFonts w:eastAsia="Calibri"/>
                    <w:szCs w:val="24"/>
                  </w:rPr>
                  <w:t>Vokų, ašarų sistemos ir akiduobės ligos, H00–H06</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Po konservatyvaus ar operacinio gydymo dėl </w:t>
                </w:r>
                <w:r>
                  <w:rPr>
                    <w:rFonts w:eastAsia="Calibri"/>
                    <w:color w:val="000000"/>
                    <w:szCs w:val="24"/>
                  </w:rPr>
                  <w:t>galimybės dirbti</w:t>
                </w:r>
                <w:r>
                  <w:rPr>
                    <w:rFonts w:eastAsia="Calibri"/>
                    <w:color w:val="0000FF"/>
                    <w:szCs w:val="24"/>
                  </w:rPr>
                  <w:t xml:space="preserve"> </w:t>
                </w:r>
                <w:r>
                  <w:rPr>
                    <w:rFonts w:eastAsia="Calibri"/>
                    <w:szCs w:val="24"/>
                  </w:rPr>
                  <w:t>jūrų ar vidaus vandenų laivuose sprendžiama individualiai, priklausomai nuo regėjimo funkcijos ir susirgimo, po gydytojo oftalmologo konsultacijos.</w:t>
                </w:r>
              </w:p>
            </w:tc>
          </w:tr>
          <w:tr>
            <w:tc>
              <w:tcPr>
                <w:tcW w:w="816" w:type="dxa"/>
              </w:tcPr>
              <w:p>
                <w:pPr>
                  <w:spacing w:line="276" w:lineRule="auto"/>
                  <w:jc w:val="center"/>
                  <w:rPr>
                    <w:rFonts w:eastAsia="Calibri"/>
                    <w:szCs w:val="24"/>
                  </w:rPr>
                </w:pPr>
                <w:r>
                  <w:rPr>
                    <w:rFonts w:eastAsia="Calibri"/>
                    <w:szCs w:val="24"/>
                  </w:rPr>
                  <w:t>1.5.</w:t>
                </w:r>
              </w:p>
            </w:tc>
            <w:tc>
              <w:tcPr>
                <w:tcW w:w="2977" w:type="dxa"/>
              </w:tcPr>
              <w:p>
                <w:pPr>
                  <w:spacing w:line="276" w:lineRule="auto"/>
                  <w:rPr>
                    <w:rFonts w:eastAsia="Calibri"/>
                    <w:szCs w:val="24"/>
                  </w:rPr>
                </w:pPr>
                <w:r>
                  <w:rPr>
                    <w:rFonts w:eastAsia="Calibri"/>
                    <w:szCs w:val="24"/>
                  </w:rPr>
                  <w:t xml:space="preserve">Lęšiuko ligos, H25–H28 </w:t>
                </w:r>
              </w:p>
              <w:p>
                <w:pPr>
                  <w:spacing w:line="276" w:lineRule="auto"/>
                  <w:rPr>
                    <w:rFonts w:eastAsia="Calibri"/>
                    <w:szCs w:val="24"/>
                  </w:rPr>
                </w:pPr>
              </w:p>
            </w:tc>
            <w:tc>
              <w:tcPr>
                <w:tcW w:w="4110" w:type="dxa"/>
              </w:tcPr>
              <w:p>
                <w:pPr>
                  <w:spacing w:line="276" w:lineRule="auto"/>
                  <w:jc w:val="center"/>
                  <w:rPr>
                    <w:rFonts w:eastAsia="Calibri"/>
                    <w:szCs w:val="24"/>
                  </w:rPr>
                </w:pPr>
              </w:p>
            </w:tc>
            <w:tc>
              <w:tcPr>
                <w:tcW w:w="4252" w:type="dxa"/>
              </w:tcPr>
              <w:p>
                <w:pPr>
                  <w:spacing w:line="276" w:lineRule="auto"/>
                  <w:jc w:val="center"/>
                  <w:rPr>
                    <w:rFonts w:eastAsia="Calibri"/>
                    <w:szCs w:val="24"/>
                  </w:rPr>
                </w:pPr>
              </w:p>
            </w:tc>
            <w:tc>
              <w:tcPr>
                <w:tcW w:w="2801" w:type="dxa"/>
              </w:tcPr>
              <w:p>
                <w:pPr>
                  <w:spacing w:line="276" w:lineRule="auto"/>
                  <w:rPr>
                    <w:rFonts w:eastAsia="Calibri"/>
                    <w:szCs w:val="24"/>
                  </w:rPr>
                </w:pPr>
                <w:r>
                  <w:rPr>
                    <w:rFonts w:eastAsia="Calibri"/>
                    <w:szCs w:val="24"/>
                  </w:rPr>
                  <w:t xml:space="preserve">Praėjus po kataraktos ar refrakcinės ragenos operacijų ne mažiau kaip 1 mėnesiui, pasiekus stabilizacijos periodą, dėl darbo jūrų ir vidaus vandenų laive sprendžiama individualiai po gydytojo oftalmologo konsultacijos. </w:t>
                </w:r>
              </w:p>
            </w:tc>
          </w:tr>
          <w:tr>
            <w:tc>
              <w:tcPr>
                <w:tcW w:w="816" w:type="dxa"/>
              </w:tcPr>
              <w:p>
                <w:pPr>
                  <w:spacing w:line="276" w:lineRule="auto"/>
                  <w:jc w:val="both"/>
                  <w:rPr>
                    <w:rFonts w:eastAsia="Calibri"/>
                    <w:szCs w:val="24"/>
                  </w:rPr>
                </w:pPr>
                <w:r>
                  <w:rPr>
                    <w:rFonts w:eastAsia="Calibri"/>
                    <w:szCs w:val="24"/>
                  </w:rPr>
                  <w:t>1.6.</w:t>
                </w:r>
              </w:p>
            </w:tc>
            <w:tc>
              <w:tcPr>
                <w:tcW w:w="2977" w:type="dxa"/>
              </w:tcPr>
              <w:p>
                <w:pPr>
                  <w:spacing w:line="276" w:lineRule="auto"/>
                  <w:rPr>
                    <w:rFonts w:eastAsia="Calibri"/>
                    <w:szCs w:val="24"/>
                  </w:rPr>
                </w:pPr>
                <w:r>
                  <w:rPr>
                    <w:rFonts w:eastAsia="Calibri"/>
                    <w:szCs w:val="24"/>
                  </w:rPr>
                  <w:t xml:space="preserve">Gyslainės ir tinklainės ligos, H30–H36 </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galimybės dirbti</w:t>
                </w:r>
                <w:r>
                  <w:rPr>
                    <w:rFonts w:eastAsia="Calibri"/>
                    <w:color w:val="0000FF"/>
                    <w:szCs w:val="24"/>
                  </w:rPr>
                  <w:t xml:space="preserve"> </w:t>
                </w:r>
                <w:r>
                  <w:rPr>
                    <w:rFonts w:eastAsia="Calibri"/>
                    <w:szCs w:val="24"/>
                  </w:rPr>
                  <w:t>jūrų ar vidaus vandenų laivuose sprendžiama individualiai, atsižvelgiant į regėjimo funkcijas ir tinklainės atšokimo ar plyšio dydį, po gydytojo oftalmologo konsultacijos.</w:t>
                </w:r>
              </w:p>
            </w:tc>
          </w:tr>
          <w:tr>
            <w:tc>
              <w:tcPr>
                <w:tcW w:w="816" w:type="dxa"/>
              </w:tcPr>
              <w:p>
                <w:pPr>
                  <w:spacing w:line="276" w:lineRule="auto"/>
                  <w:jc w:val="both"/>
                  <w:rPr>
                    <w:rFonts w:eastAsia="Calibri"/>
                    <w:szCs w:val="24"/>
                  </w:rPr>
                </w:pPr>
                <w:r>
                  <w:rPr>
                    <w:rFonts w:eastAsia="Calibri"/>
                    <w:szCs w:val="24"/>
                  </w:rPr>
                  <w:t>1.7.</w:t>
                </w:r>
              </w:p>
            </w:tc>
            <w:tc>
              <w:tcPr>
                <w:tcW w:w="2977" w:type="dxa"/>
              </w:tcPr>
              <w:p>
                <w:pPr>
                  <w:spacing w:line="276" w:lineRule="auto"/>
                  <w:rPr>
                    <w:rFonts w:eastAsia="Calibri"/>
                    <w:szCs w:val="24"/>
                  </w:rPr>
                </w:pPr>
                <w:r>
                  <w:rPr>
                    <w:rFonts w:eastAsia="Calibri"/>
                    <w:szCs w:val="24"/>
                  </w:rPr>
                  <w:t>Glaukoma, H40</w:t>
                </w:r>
              </w:p>
            </w:tc>
            <w:tc>
              <w:tcPr>
                <w:tcW w:w="4110" w:type="dxa"/>
              </w:tcPr>
              <w:p>
                <w:pPr>
                  <w:spacing w:line="276" w:lineRule="auto"/>
                  <w:jc w:val="both"/>
                  <w:rPr>
                    <w:rFonts w:eastAsia="Calibri"/>
                    <w:szCs w:val="24"/>
                  </w:rPr>
                </w:pPr>
                <w:r>
                  <w:rPr>
                    <w:rFonts w:eastAsia="Calibri"/>
                    <w:color w:val="000000"/>
                    <w:szCs w:val="24"/>
                  </w:rPr>
                  <w:t>Nustačius II</w:t>
                </w:r>
                <w:r>
                  <w:rPr>
                    <w:rFonts w:eastAsia="Calibri"/>
                    <w:szCs w:val="24"/>
                  </w:rPr>
                  <w:t>–</w:t>
                </w:r>
                <w:r>
                  <w:rPr>
                    <w:rFonts w:eastAsia="Calibri"/>
                    <w:color w:val="000000"/>
                    <w:szCs w:val="24"/>
                  </w:rPr>
                  <w:t xml:space="preserve">IV stadijos glaukomą, nė vienos profesinės grupės </w:t>
                </w:r>
                <w:r>
                  <w:rPr>
                    <w:rFonts w:eastAsia="Calibri"/>
                    <w:szCs w:val="24"/>
                  </w:rPr>
                  <w:t xml:space="preserve">darbuotojai </w:t>
                </w:r>
                <w:r>
                  <w:rPr>
                    <w:rFonts w:eastAsia="Calibri"/>
                    <w:color w:val="000000"/>
                    <w:szCs w:val="24"/>
                  </w:rPr>
                  <w:t>negali dirbti jūrų laive.</w:t>
                </w:r>
              </w:p>
            </w:tc>
            <w:tc>
              <w:tcPr>
                <w:tcW w:w="4252" w:type="dxa"/>
              </w:tcPr>
              <w:p>
                <w:pPr>
                  <w:spacing w:line="276" w:lineRule="auto"/>
                  <w:jc w:val="both"/>
                  <w:rPr>
                    <w:rFonts w:eastAsia="Calibri"/>
                    <w:szCs w:val="24"/>
                  </w:rPr>
                </w:pPr>
                <w:r>
                  <w:rPr>
                    <w:rFonts w:eastAsia="Calibri"/>
                    <w:szCs w:val="24"/>
                  </w:rPr>
                  <w:t xml:space="preserve">Nustačius II–IV stadijos glaukomą, nė vienos profesinės grupės darbuotojai negali dirbti </w:t>
                </w:r>
                <w:r>
                  <w:rPr>
                    <w:rFonts w:eastAsia="Calibri"/>
                    <w:color w:val="000000"/>
                    <w:szCs w:val="24"/>
                  </w:rPr>
                  <w:t>vidaus vandenų</w:t>
                </w:r>
                <w:r>
                  <w:rPr>
                    <w:rFonts w:eastAsia="Calibri"/>
                    <w:szCs w:val="24"/>
                  </w:rPr>
                  <w:t xml:space="preserve"> laive.</w:t>
                </w:r>
              </w:p>
            </w:tc>
            <w:tc>
              <w:tcPr>
                <w:tcW w:w="2801" w:type="dxa"/>
              </w:tcPr>
              <w:p>
                <w:pPr>
                  <w:spacing w:line="276" w:lineRule="auto"/>
                  <w:rPr>
                    <w:rFonts w:eastAsia="Calibri"/>
                    <w:szCs w:val="24"/>
                  </w:rPr>
                </w:pPr>
                <w:r>
                  <w:rPr>
                    <w:rFonts w:eastAsia="Calibri"/>
                    <w:color w:val="000000"/>
                    <w:szCs w:val="24"/>
                  </w:rPr>
                  <w:t>Esant kompensuotai glaukomai (I stadija), asmenys gali dirbti jūrų ar vidaus vandenų laivuose</w:t>
                </w:r>
                <w:r>
                  <w:rPr>
                    <w:rFonts w:eastAsia="Calibri"/>
                    <w:szCs w:val="24"/>
                  </w:rPr>
                  <w:t xml:space="preserve">. </w:t>
                </w:r>
              </w:p>
              <w:p>
                <w:pPr>
                  <w:spacing w:line="276" w:lineRule="auto"/>
                  <w:rPr>
                    <w:rFonts w:eastAsia="Calibri"/>
                    <w:szCs w:val="24"/>
                  </w:rPr>
                </w:pPr>
                <w:r>
                  <w:rPr>
                    <w:rFonts w:eastAsia="Calibri"/>
                    <w:szCs w:val="24"/>
                  </w:rPr>
                  <w:t>Gydytojo oftalmologo konsultacija – kas 6 mėnesiai.</w:t>
                </w:r>
              </w:p>
            </w:tc>
          </w:tr>
          <w:tr>
            <w:tc>
              <w:tcPr>
                <w:tcW w:w="816" w:type="dxa"/>
              </w:tcPr>
              <w:p>
                <w:pPr>
                  <w:spacing w:line="276" w:lineRule="auto"/>
                  <w:jc w:val="both"/>
                  <w:rPr>
                    <w:rFonts w:eastAsia="Calibri"/>
                    <w:szCs w:val="24"/>
                  </w:rPr>
                </w:pPr>
                <w:r>
                  <w:rPr>
                    <w:rFonts w:eastAsia="Calibri"/>
                    <w:szCs w:val="24"/>
                  </w:rPr>
                  <w:t>1.8.</w:t>
                </w:r>
              </w:p>
            </w:tc>
            <w:tc>
              <w:tcPr>
                <w:tcW w:w="2977" w:type="dxa"/>
              </w:tcPr>
              <w:p>
                <w:pPr>
                  <w:spacing w:line="276" w:lineRule="auto"/>
                  <w:rPr>
                    <w:rFonts w:eastAsia="Calibri"/>
                    <w:szCs w:val="24"/>
                  </w:rPr>
                </w:pPr>
                <w:r>
                  <w:rPr>
                    <w:rFonts w:eastAsia="Calibri"/>
                    <w:szCs w:val="24"/>
                  </w:rPr>
                  <w:t>Žvairumas, H49, H50,</w:t>
                </w:r>
              </w:p>
              <w:p>
                <w:pPr>
                  <w:spacing w:line="276" w:lineRule="auto"/>
                  <w:rPr>
                    <w:rFonts w:eastAsia="Calibri"/>
                    <w:szCs w:val="24"/>
                  </w:rPr>
                </w:pPr>
                <w:r>
                  <w:rPr>
                    <w:rFonts w:eastAsia="Calibri"/>
                    <w:szCs w:val="24"/>
                  </w:rPr>
                  <w:t>Dvejinimasis (diplopija), H53.2,</w:t>
                </w:r>
              </w:p>
              <w:p>
                <w:pPr>
                  <w:spacing w:line="276" w:lineRule="auto"/>
                  <w:rPr>
                    <w:rFonts w:eastAsia="Calibri"/>
                    <w:szCs w:val="24"/>
                  </w:rPr>
                </w:pPr>
                <w:r>
                  <w:rPr>
                    <w:rFonts w:eastAsia="Calibri"/>
                    <w:szCs w:val="24"/>
                  </w:rPr>
                  <w:t>Aklumas naktį, H53.6</w:t>
                </w:r>
              </w:p>
            </w:tc>
            <w:tc>
              <w:tcPr>
                <w:tcW w:w="4110" w:type="dxa"/>
              </w:tcPr>
              <w:p>
                <w:pPr>
                  <w:spacing w:line="276" w:lineRule="auto"/>
                  <w:rPr>
                    <w:rFonts w:eastAsia="Calibri"/>
                    <w:szCs w:val="24"/>
                  </w:rPr>
                </w:pPr>
                <w:r>
                  <w:rPr>
                    <w:rFonts w:eastAsia="Calibri"/>
                    <w:szCs w:val="24"/>
                  </w:rPr>
                  <w:t>Nė vienos profesinės grupės darbuotojai negali dirbti jūrų laive.</w:t>
                </w:r>
              </w:p>
            </w:tc>
            <w:tc>
              <w:tcPr>
                <w:tcW w:w="4252" w:type="dxa"/>
              </w:tcPr>
              <w:p>
                <w:pPr>
                  <w:spacing w:line="276" w:lineRule="auto"/>
                  <w:rPr>
                    <w:rFonts w:eastAsia="Calibri"/>
                    <w:szCs w:val="24"/>
                  </w:rPr>
                </w:pPr>
                <w:r>
                  <w:rPr>
                    <w:rFonts w:eastAsia="Calibri"/>
                    <w:szCs w:val="24"/>
                  </w:rPr>
                  <w:t xml:space="preserve">Nė vienos profesinės grupės darbuotojai negali dirbti </w:t>
                </w:r>
                <w:r>
                  <w:rPr>
                    <w:rFonts w:eastAsia="Calibri"/>
                    <w:color w:val="000000"/>
                    <w:szCs w:val="24"/>
                  </w:rPr>
                  <w:t>vidaus</w:t>
                </w:r>
                <w:r>
                  <w:rPr>
                    <w:rFonts w:eastAsia="Calibri"/>
                    <w:szCs w:val="24"/>
                  </w:rPr>
                  <w:t xml:space="preserve"> vandenų laive</w:t>
                </w:r>
                <w:r>
                  <w:rPr>
                    <w:rFonts w:eastAsia="Calibri"/>
                    <w:color w:val="0000FF"/>
                    <w:szCs w:val="24"/>
                  </w:rPr>
                  <w:t>.</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1.9.</w:t>
                </w:r>
              </w:p>
            </w:tc>
            <w:tc>
              <w:tcPr>
                <w:tcW w:w="2977" w:type="dxa"/>
              </w:tcPr>
              <w:p>
                <w:pPr>
                  <w:spacing w:line="276" w:lineRule="auto"/>
                  <w:rPr>
                    <w:rFonts w:eastAsia="Calibri"/>
                    <w:szCs w:val="24"/>
                  </w:rPr>
                </w:pPr>
                <w:r>
                  <w:rPr>
                    <w:rFonts w:eastAsia="Calibri"/>
                    <w:szCs w:val="24"/>
                  </w:rPr>
                  <w:t>Dirbtinė akis, Z97.0</w:t>
                </w:r>
              </w:p>
            </w:tc>
            <w:tc>
              <w:tcPr>
                <w:tcW w:w="4110" w:type="dxa"/>
              </w:tcPr>
              <w:p>
                <w:pPr>
                  <w:spacing w:line="276" w:lineRule="auto"/>
                  <w:rPr>
                    <w:rFonts w:eastAsia="Calibri"/>
                    <w:szCs w:val="24"/>
                  </w:rPr>
                </w:pPr>
                <w:r>
                  <w:rPr>
                    <w:rFonts w:eastAsia="Calibri"/>
                    <w:szCs w:val="24"/>
                  </w:rPr>
                  <w:t>Nė vienos profesinės grupės darbuotojai negali dirbti jūrų laive.</w:t>
                </w:r>
              </w:p>
            </w:tc>
            <w:tc>
              <w:tcPr>
                <w:tcW w:w="4252" w:type="dxa"/>
              </w:tcPr>
              <w:p>
                <w:pPr>
                  <w:spacing w:line="276" w:lineRule="auto"/>
                  <w:rPr>
                    <w:rFonts w:eastAsia="Calibri"/>
                    <w:szCs w:val="24"/>
                  </w:rPr>
                </w:pPr>
                <w:r>
                  <w:rPr>
                    <w:rFonts w:eastAsia="Calibri"/>
                    <w:szCs w:val="24"/>
                  </w:rPr>
                  <w:t xml:space="preserve">Nė vienos profesinės grupės darbuotojai negali dirbti </w:t>
                </w:r>
                <w:r>
                  <w:rPr>
                    <w:rFonts w:eastAsia="Calibri"/>
                    <w:color w:val="000000"/>
                    <w:szCs w:val="24"/>
                  </w:rPr>
                  <w:t>vidaus</w:t>
                </w:r>
                <w:r>
                  <w:rPr>
                    <w:rFonts w:eastAsia="Calibri"/>
                    <w:szCs w:val="24"/>
                  </w:rPr>
                  <w:t xml:space="preserve">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b/>
                    <w:szCs w:val="24"/>
                  </w:rPr>
                </w:pPr>
                <w:r>
                  <w:rPr>
                    <w:rFonts w:eastAsia="Calibri"/>
                    <w:b/>
                    <w:szCs w:val="24"/>
                  </w:rPr>
                  <w:t>2.</w:t>
                </w:r>
              </w:p>
            </w:tc>
            <w:tc>
              <w:tcPr>
                <w:tcW w:w="14140" w:type="dxa"/>
                <w:gridSpan w:val="4"/>
              </w:tcPr>
              <w:p>
                <w:pPr>
                  <w:spacing w:line="276" w:lineRule="auto"/>
                  <w:jc w:val="center"/>
                  <w:rPr>
                    <w:rFonts w:eastAsia="Calibri"/>
                    <w:szCs w:val="24"/>
                  </w:rPr>
                </w:pPr>
                <w:r>
                  <w:rPr>
                    <w:rFonts w:eastAsia="Calibri"/>
                    <w:b/>
                    <w:szCs w:val="24"/>
                  </w:rPr>
                  <w:t>KLAUSA BEI AUSIES IR SPENINĖS ATAUGOS LIGOS</w:t>
                </w:r>
              </w:p>
            </w:tc>
          </w:tr>
          <w:tr>
            <w:trPr>
              <w:trHeight w:val="1920"/>
            </w:trPr>
            <w:tc>
              <w:tcPr>
                <w:tcW w:w="816" w:type="dxa"/>
              </w:tcPr>
              <w:p>
                <w:pPr>
                  <w:spacing w:line="276" w:lineRule="auto"/>
                  <w:jc w:val="both"/>
                  <w:rPr>
                    <w:rFonts w:eastAsia="Calibri"/>
                    <w:szCs w:val="24"/>
                  </w:rPr>
                </w:pPr>
                <w:r>
                  <w:rPr>
                    <w:rFonts w:eastAsia="Calibri"/>
                    <w:szCs w:val="24"/>
                  </w:rPr>
                  <w:t>2.1.</w:t>
                </w:r>
              </w:p>
            </w:tc>
            <w:tc>
              <w:tcPr>
                <w:tcW w:w="2977" w:type="dxa"/>
              </w:tcPr>
              <w:p>
                <w:pPr>
                  <w:spacing w:line="276" w:lineRule="auto"/>
                  <w:rPr>
                    <w:rFonts w:eastAsia="Calibri"/>
                    <w:szCs w:val="24"/>
                  </w:rPr>
                </w:pPr>
              </w:p>
            </w:tc>
            <w:tc>
              <w:tcPr>
                <w:tcW w:w="4110" w:type="dxa"/>
              </w:tcPr>
              <w:p>
                <w:pPr>
                  <w:spacing w:line="276" w:lineRule="auto"/>
                  <w:rPr>
                    <w:rFonts w:eastAsia="Calibri"/>
                    <w:b/>
                    <w:i/>
                    <w:szCs w:val="24"/>
                  </w:rPr>
                </w:pPr>
                <w:r>
                  <w:rPr>
                    <w:rFonts w:eastAsia="Calibri"/>
                    <w:b/>
                    <w:i/>
                    <w:szCs w:val="24"/>
                  </w:rPr>
                  <w:t>Denio tarnyba ir pramoginių laivų laivavedžiai</w:t>
                </w:r>
              </w:p>
              <w:p>
                <w:pPr>
                  <w:spacing w:line="276" w:lineRule="auto"/>
                  <w:rPr>
                    <w:rFonts w:eastAsia="Calibri"/>
                    <w:szCs w:val="24"/>
                  </w:rPr>
                </w:pPr>
                <w:r>
                  <w:rPr>
                    <w:rFonts w:eastAsia="Calibri"/>
                    <w:szCs w:val="24"/>
                  </w:rPr>
                  <w:t>Tiriant šnabždesiu ir kalbamąja kalba tikrinami asmenys turi girdėti šnabždesį iš 2 m atstumo, o kalbą – iš 3 m atstumo.</w:t>
                </w:r>
              </w:p>
            </w:tc>
            <w:tc>
              <w:tcPr>
                <w:tcW w:w="4252" w:type="dxa"/>
              </w:tcPr>
              <w:p>
                <w:pPr>
                  <w:spacing w:line="276" w:lineRule="auto"/>
                  <w:rPr>
                    <w:rFonts w:eastAsia="Calibri"/>
                    <w:b/>
                    <w:i/>
                    <w:szCs w:val="24"/>
                  </w:rPr>
                </w:pPr>
                <w:r>
                  <w:rPr>
                    <w:rFonts w:eastAsia="Calibri"/>
                    <w:b/>
                    <w:i/>
                    <w:szCs w:val="24"/>
                  </w:rPr>
                  <w:t>Denio tarnyba ir pramoginių laivų laivavedžiai</w:t>
                </w:r>
              </w:p>
              <w:p>
                <w:pPr>
                  <w:spacing w:line="276" w:lineRule="auto"/>
                  <w:rPr>
                    <w:rFonts w:eastAsia="Calibri"/>
                    <w:szCs w:val="24"/>
                  </w:rPr>
                </w:pPr>
                <w:r>
                  <w:rPr>
                    <w:rFonts w:eastAsia="Calibri"/>
                    <w:szCs w:val="24"/>
                  </w:rPr>
                  <w:t>Tiriant šnabždesiu ir kalbamąja kalba tikrinami asmenys turi girdėti šnabždesį iš 2 m atstumo, o kalbą – iš 3 m atstumo.</w:t>
                </w:r>
              </w:p>
            </w:tc>
            <w:tc>
              <w:tcPr>
                <w:tcW w:w="2801" w:type="dxa"/>
              </w:tcPr>
              <w:p>
                <w:pPr>
                  <w:spacing w:line="276" w:lineRule="auto"/>
                  <w:rPr>
                    <w:rFonts w:eastAsia="Calibri"/>
                    <w:szCs w:val="24"/>
                  </w:rPr>
                </w:pPr>
                <w:r>
                  <w:rPr>
                    <w:rFonts w:eastAsia="Calibri"/>
                    <w:szCs w:val="24"/>
                  </w:rPr>
                  <w:t>Tikrina gydytojas otorinolaringologas.</w:t>
                </w:r>
              </w:p>
            </w:tc>
          </w:tr>
          <w:tr>
            <w:tc>
              <w:tcPr>
                <w:tcW w:w="816" w:type="dxa"/>
              </w:tcPr>
              <w:p>
                <w:pPr>
                  <w:spacing w:line="276" w:lineRule="auto"/>
                  <w:jc w:val="both"/>
                  <w:rPr>
                    <w:rFonts w:eastAsia="Calibri"/>
                    <w:szCs w:val="24"/>
                  </w:rPr>
                </w:pPr>
                <w:r>
                  <w:rPr>
                    <w:rFonts w:eastAsia="Calibri"/>
                    <w:szCs w:val="24"/>
                  </w:rPr>
                  <w:t>2.2.</w:t>
                </w:r>
              </w:p>
            </w:tc>
            <w:tc>
              <w:tcPr>
                <w:tcW w:w="2977" w:type="dxa"/>
              </w:tcPr>
              <w:p>
                <w:pPr>
                  <w:spacing w:line="276" w:lineRule="auto"/>
                  <w:rPr>
                    <w:rFonts w:eastAsia="Calibri"/>
                    <w:szCs w:val="24"/>
                  </w:rPr>
                </w:pPr>
              </w:p>
              <w:p>
                <w:pPr>
                  <w:spacing w:line="276" w:lineRule="auto"/>
                  <w:rPr>
                    <w:rFonts w:eastAsia="Calibri"/>
                    <w:b/>
                    <w:i/>
                    <w:szCs w:val="24"/>
                    <w:u w:val="single"/>
                  </w:rPr>
                </w:pPr>
              </w:p>
            </w:tc>
            <w:tc>
              <w:tcPr>
                <w:tcW w:w="4110" w:type="dxa"/>
              </w:tcPr>
              <w:p>
                <w:pPr>
                  <w:spacing w:line="276" w:lineRule="auto"/>
                  <w:rPr>
                    <w:rFonts w:eastAsia="Calibri"/>
                    <w:b/>
                    <w:i/>
                    <w:szCs w:val="24"/>
                  </w:rPr>
                </w:pPr>
                <w:r>
                  <w:rPr>
                    <w:rFonts w:eastAsia="Calibri"/>
                    <w:b/>
                    <w:i/>
                    <w:szCs w:val="24"/>
                  </w:rPr>
                  <w:t xml:space="preserve">Mašinų tarnyba </w:t>
                </w:r>
              </w:p>
              <w:p>
                <w:pPr>
                  <w:spacing w:line="276" w:lineRule="auto"/>
                  <w:rPr>
                    <w:rFonts w:eastAsia="Calibri"/>
                    <w:szCs w:val="24"/>
                  </w:rPr>
                </w:pPr>
                <w:r>
                  <w:rPr>
                    <w:rFonts w:eastAsia="Calibri"/>
                    <w:szCs w:val="24"/>
                  </w:rPr>
                  <w:t>Tiriama audiometru: geresniąja ausimi (be klausos aparato) klausa gali būti pablogėjusi ne daugiau kaip 30 dB, o blogiau girdinčiąja ausimi – ne daugiau kaip 40 dB.</w:t>
                </w:r>
              </w:p>
              <w:p>
                <w:pPr>
                  <w:spacing w:line="276" w:lineRule="auto"/>
                  <w:rPr>
                    <w:rFonts w:eastAsia="Calibri"/>
                    <w:szCs w:val="24"/>
                  </w:rPr>
                </w:pPr>
                <w:r>
                  <w:rPr>
                    <w:rFonts w:eastAsia="Calibri"/>
                    <w:szCs w:val="24"/>
                  </w:rPr>
                  <w:t>Skaičiuojamas audiogramos dažnių 500, 1000, 2000, 3000 (arba 4000) Hz vidurkis decibelais.</w:t>
                </w:r>
              </w:p>
            </w:tc>
            <w:tc>
              <w:tcPr>
                <w:tcW w:w="4252" w:type="dxa"/>
              </w:tcPr>
              <w:p>
                <w:pPr>
                  <w:spacing w:line="276" w:lineRule="auto"/>
                  <w:rPr>
                    <w:rFonts w:eastAsia="Calibri"/>
                    <w:b/>
                    <w:i/>
                    <w:szCs w:val="24"/>
                  </w:rPr>
                </w:pPr>
                <w:r>
                  <w:rPr>
                    <w:rFonts w:eastAsia="Calibri"/>
                    <w:b/>
                    <w:i/>
                    <w:szCs w:val="24"/>
                  </w:rPr>
                  <w:t xml:space="preserve">Mašinų tarnyba </w:t>
                </w:r>
              </w:p>
              <w:p>
                <w:pPr>
                  <w:spacing w:line="276" w:lineRule="auto"/>
                  <w:rPr>
                    <w:rFonts w:eastAsia="Calibri"/>
                    <w:szCs w:val="24"/>
                  </w:rPr>
                </w:pPr>
                <w:r>
                  <w:rPr>
                    <w:rFonts w:eastAsia="Calibri"/>
                    <w:szCs w:val="24"/>
                  </w:rPr>
                  <w:t>Tiriama audiometru: geresniąja ausimi (be klausos aparato) klausa gali būti pablogėjusi ne daugiau kaip 30 dB, o blogiau girdinčiąja ausimi – ne daugiau kaip 40 dB.</w:t>
                </w:r>
              </w:p>
              <w:p>
                <w:pPr>
                  <w:spacing w:line="276" w:lineRule="auto"/>
                  <w:rPr>
                    <w:rFonts w:eastAsia="Calibri"/>
                    <w:szCs w:val="24"/>
                  </w:rPr>
                </w:pPr>
                <w:r>
                  <w:rPr>
                    <w:rFonts w:eastAsia="Calibri"/>
                    <w:szCs w:val="24"/>
                  </w:rPr>
                  <w:t>Skaičiuojamas audiogramos dažnių 500, 1000, 2000, 3000 (arba 4000) Hz vidurkis decibelais.</w:t>
                </w:r>
              </w:p>
            </w:tc>
            <w:tc>
              <w:tcPr>
                <w:tcW w:w="2801" w:type="dxa"/>
              </w:tcPr>
              <w:p>
                <w:pPr>
                  <w:spacing w:line="276" w:lineRule="auto"/>
                  <w:rPr>
                    <w:rFonts w:eastAsia="Calibri"/>
                    <w:szCs w:val="24"/>
                  </w:rPr>
                </w:pPr>
                <w:r>
                  <w:rPr>
                    <w:rFonts w:eastAsia="Calibri"/>
                    <w:color w:val="000000"/>
                    <w:szCs w:val="24"/>
                  </w:rPr>
                  <w:t>Narus, prieš juos įdarbinant, tiria gydytojas</w:t>
                </w:r>
                <w:r>
                  <w:rPr>
                    <w:rFonts w:eastAsia="Calibri"/>
                    <w:szCs w:val="24"/>
                  </w:rPr>
                  <w:t xml:space="preserve"> otorinolaringologas (vestibulinės funkcijos tyrimas, audiometrija), taip pat įvertinama baro funkcija, </w:t>
                </w:r>
                <w:r>
                  <w:rPr>
                    <w:rFonts w:eastAsia="Calibri"/>
                    <w:color w:val="000000"/>
                    <w:szCs w:val="24"/>
                  </w:rPr>
                  <w:t>atliekant bandymą baro kameroje.</w:t>
                </w:r>
                <w:r>
                  <w:rPr>
                    <w:rFonts w:eastAsia="Calibri"/>
                    <w:szCs w:val="24"/>
                  </w:rPr>
                  <w:t xml:space="preserve"> </w:t>
                </w:r>
              </w:p>
              <w:p>
                <w:pPr>
                  <w:spacing w:line="276" w:lineRule="auto"/>
                  <w:rPr>
                    <w:rFonts w:eastAsia="Calibri"/>
                    <w:szCs w:val="24"/>
                  </w:rPr>
                </w:pPr>
                <w:r>
                  <w:rPr>
                    <w:rFonts w:eastAsia="Calibri"/>
                    <w:szCs w:val="24"/>
                  </w:rPr>
                  <w:t>Esant indikacijų, tiriama išorinio kvėpavimo funkcija.</w:t>
                </w:r>
              </w:p>
            </w:tc>
          </w:tr>
          <w:tr>
            <w:trPr>
              <w:trHeight w:val="1038"/>
            </w:trPr>
            <w:tc>
              <w:tcPr>
                <w:tcW w:w="816" w:type="dxa"/>
              </w:tcPr>
              <w:p>
                <w:pPr>
                  <w:spacing w:line="276" w:lineRule="auto"/>
                  <w:jc w:val="both"/>
                  <w:rPr>
                    <w:rFonts w:eastAsia="Calibri"/>
                    <w:szCs w:val="24"/>
                  </w:rPr>
                </w:pPr>
                <w:r>
                  <w:rPr>
                    <w:rFonts w:eastAsia="Calibri"/>
                    <w:szCs w:val="24"/>
                  </w:rPr>
                  <w:t>2.3.</w:t>
                </w:r>
              </w:p>
            </w:tc>
            <w:tc>
              <w:tcPr>
                <w:tcW w:w="2977" w:type="dxa"/>
              </w:tcPr>
              <w:p>
                <w:pPr>
                  <w:spacing w:line="276" w:lineRule="auto"/>
                  <w:rPr>
                    <w:rFonts w:eastAsia="Calibri"/>
                    <w:szCs w:val="24"/>
                  </w:rPr>
                </w:pPr>
              </w:p>
            </w:tc>
            <w:tc>
              <w:tcPr>
                <w:tcW w:w="4110" w:type="dxa"/>
              </w:tcPr>
              <w:p>
                <w:pPr>
                  <w:spacing w:line="276" w:lineRule="auto"/>
                  <w:rPr>
                    <w:rFonts w:eastAsia="Calibri"/>
                    <w:szCs w:val="24"/>
                  </w:rPr>
                </w:pPr>
                <w:r>
                  <w:rPr>
                    <w:rFonts w:eastAsia="Calibri"/>
                    <w:b/>
                    <w:i/>
                    <w:szCs w:val="24"/>
                  </w:rPr>
                  <w:t>Laivo aptarnavimo tarnyba</w:t>
                </w:r>
              </w:p>
              <w:p>
                <w:pPr>
                  <w:spacing w:line="276" w:lineRule="auto"/>
                  <w:rPr>
                    <w:rFonts w:eastAsia="Calibri"/>
                    <w:szCs w:val="24"/>
                  </w:rPr>
                </w:pPr>
                <w:r>
                  <w:rPr>
                    <w:rFonts w:eastAsia="Calibri"/>
                    <w:szCs w:val="24"/>
                  </w:rPr>
                  <w:t>Kalbamąją kalbą turi girdėti iš 2 m atstumo (nematydami tiriamojo lūpų).</w:t>
                </w:r>
              </w:p>
            </w:tc>
            <w:tc>
              <w:tcPr>
                <w:tcW w:w="4252" w:type="dxa"/>
              </w:tcPr>
              <w:p>
                <w:pPr>
                  <w:spacing w:line="276" w:lineRule="auto"/>
                  <w:rPr>
                    <w:rFonts w:eastAsia="Calibri"/>
                    <w:szCs w:val="24"/>
                  </w:rPr>
                </w:pPr>
                <w:r>
                  <w:rPr>
                    <w:rFonts w:eastAsia="Calibri"/>
                    <w:b/>
                    <w:i/>
                    <w:szCs w:val="24"/>
                  </w:rPr>
                  <w:t>Laivo aptarnavimo tarnyba</w:t>
                </w:r>
              </w:p>
              <w:p>
                <w:pPr>
                  <w:spacing w:line="276" w:lineRule="auto"/>
                  <w:rPr>
                    <w:rFonts w:eastAsia="Calibri"/>
                    <w:szCs w:val="24"/>
                  </w:rPr>
                </w:pPr>
                <w:r>
                  <w:rPr>
                    <w:rFonts w:eastAsia="Calibri"/>
                    <w:szCs w:val="24"/>
                  </w:rPr>
                  <w:t>Kalbamąją kalbą turi girdėti iš 2 m atstumo (nematydami tiriamojo lūpų).</w:t>
                </w:r>
              </w:p>
            </w:tc>
            <w:tc>
              <w:tcPr>
                <w:tcW w:w="2801" w:type="dxa"/>
              </w:tcPr>
              <w:p>
                <w:pPr>
                  <w:spacing w:line="276" w:lineRule="auto"/>
                  <w:rPr>
                    <w:rFonts w:eastAsia="Calibri"/>
                    <w:szCs w:val="24"/>
                  </w:rPr>
                </w:pPr>
                <w:r>
                  <w:rPr>
                    <w:rFonts w:eastAsia="Calibri"/>
                    <w:szCs w:val="24"/>
                  </w:rPr>
                  <w:t>Naudoti klausos aparatus leidžiama tik laivo aptarnavimo tarnybos darbuotojams. Klausos aparatai turi būti aprūpinti baterijomis ir turi būti laikomi prieinamoje vietoje, jeigu miego metu būtų paskelbtas aliarmas.</w:t>
                </w:r>
              </w:p>
            </w:tc>
          </w:tr>
          <w:tr>
            <w:tc>
              <w:tcPr>
                <w:tcW w:w="816" w:type="dxa"/>
              </w:tcPr>
              <w:p>
                <w:pPr>
                  <w:spacing w:line="276" w:lineRule="auto"/>
                  <w:jc w:val="both"/>
                  <w:rPr>
                    <w:rFonts w:eastAsia="Calibri"/>
                    <w:szCs w:val="24"/>
                  </w:rPr>
                </w:pPr>
                <w:r>
                  <w:rPr>
                    <w:rFonts w:eastAsia="Calibri"/>
                    <w:szCs w:val="24"/>
                  </w:rPr>
                  <w:t>2.4.</w:t>
                </w:r>
              </w:p>
            </w:tc>
            <w:tc>
              <w:tcPr>
                <w:tcW w:w="2977" w:type="dxa"/>
              </w:tcPr>
              <w:p>
                <w:pPr>
                  <w:spacing w:line="276" w:lineRule="auto"/>
                  <w:rPr>
                    <w:rFonts w:eastAsia="Calibri"/>
                    <w:szCs w:val="24"/>
                  </w:rPr>
                </w:pPr>
                <w:r>
                  <w:rPr>
                    <w:rFonts w:eastAsia="Calibri"/>
                    <w:szCs w:val="24"/>
                  </w:rPr>
                  <w:t xml:space="preserve">Išorinės ir vidurinės ausies ligos, H60–H75 </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Sergant lėtiniu otitu ir esant ligos progresavimo rizikai,  sprendžiama individualiai po gydytojo otorinolaringologo konsultacijos. </w:t>
                </w:r>
              </w:p>
              <w:p>
                <w:pPr>
                  <w:spacing w:line="276" w:lineRule="auto"/>
                  <w:rPr>
                    <w:rFonts w:eastAsia="Calibri"/>
                    <w:szCs w:val="24"/>
                  </w:rPr>
                </w:pPr>
                <w:r>
                  <w:rPr>
                    <w:rFonts w:eastAsia="Calibri"/>
                    <w:szCs w:val="24"/>
                  </w:rPr>
                  <w:t xml:space="preserve">Nesant tikimybės, kad liga pasikartos, kai klausa atitinka girdėjimo standartus, visų grupių išgydyti asmenys gali dirbti jūrų </w:t>
                </w:r>
                <w:r>
                  <w:rPr>
                    <w:rFonts w:eastAsia="Calibri"/>
                    <w:color w:val="000000"/>
                    <w:szCs w:val="24"/>
                  </w:rPr>
                  <w:t>ir vidaus vandenų</w:t>
                </w:r>
                <w:r>
                  <w:rPr>
                    <w:rFonts w:eastAsia="Calibri"/>
                    <w:szCs w:val="24"/>
                  </w:rPr>
                  <w:t xml:space="preserve"> laivuose.</w:t>
                </w:r>
              </w:p>
            </w:tc>
          </w:tr>
          <w:tr>
            <w:tc>
              <w:tcPr>
                <w:tcW w:w="816" w:type="dxa"/>
              </w:tcPr>
              <w:p>
                <w:pPr>
                  <w:spacing w:line="276" w:lineRule="auto"/>
                  <w:jc w:val="both"/>
                  <w:rPr>
                    <w:rFonts w:eastAsia="Calibri"/>
                    <w:color w:val="000000"/>
                    <w:szCs w:val="24"/>
                  </w:rPr>
                </w:pPr>
                <w:r>
                  <w:rPr>
                    <w:rFonts w:eastAsia="Calibri"/>
                    <w:color w:val="000000"/>
                    <w:szCs w:val="24"/>
                  </w:rPr>
                  <w:t xml:space="preserve">2.5. </w:t>
                </w:r>
              </w:p>
            </w:tc>
            <w:tc>
              <w:tcPr>
                <w:tcW w:w="2977" w:type="dxa"/>
              </w:tcPr>
              <w:p>
                <w:pPr>
                  <w:spacing w:line="276" w:lineRule="auto"/>
                  <w:rPr>
                    <w:rFonts w:eastAsia="Calibri"/>
                    <w:color w:val="000000"/>
                    <w:szCs w:val="24"/>
                  </w:rPr>
                </w:pPr>
                <w:r>
                  <w:rPr>
                    <w:rFonts w:eastAsia="Calibri"/>
                    <w:color w:val="000000"/>
                    <w:szCs w:val="24"/>
                  </w:rPr>
                  <w:t>Vestibulinės funkcijos sutrikimai, H81</w:t>
                </w:r>
              </w:p>
              <w:p>
                <w:pPr>
                  <w:spacing w:line="276" w:lineRule="auto"/>
                  <w:rPr>
                    <w:rFonts w:eastAsia="Calibri"/>
                    <w:color w:val="000000"/>
                    <w:szCs w:val="24"/>
                  </w:rPr>
                </w:pPr>
                <w:r>
                  <w:rPr>
                    <w:rFonts w:eastAsia="Calibri"/>
                    <w:color w:val="000000"/>
                    <w:szCs w:val="24"/>
                  </w:rPr>
                  <w:t>Menjero liga, H81.0</w:t>
                </w:r>
              </w:p>
            </w:tc>
            <w:tc>
              <w:tcPr>
                <w:tcW w:w="4110" w:type="dxa"/>
              </w:tcPr>
              <w:p>
                <w:pPr>
                  <w:spacing w:line="276" w:lineRule="auto"/>
                  <w:jc w:val="both"/>
                  <w:rPr>
                    <w:rFonts w:eastAsia="Calibri"/>
                    <w:color w:val="000000"/>
                    <w:szCs w:val="24"/>
                  </w:rPr>
                </w:pPr>
                <w:r>
                  <w:rPr>
                    <w:rFonts w:eastAsia="Calibri"/>
                    <w:color w:val="000000"/>
                    <w:szCs w:val="24"/>
                  </w:rPr>
                  <w:t>Nė vienos profesinės grupės darbuotojai negali dirbti jūrų laive.</w:t>
                </w:r>
              </w:p>
            </w:tc>
            <w:tc>
              <w:tcPr>
                <w:tcW w:w="4252" w:type="dxa"/>
              </w:tcPr>
              <w:p>
                <w:pPr>
                  <w:spacing w:line="276" w:lineRule="auto"/>
                  <w:jc w:val="both"/>
                  <w:rPr>
                    <w:rFonts w:eastAsia="Calibri"/>
                    <w:color w:val="000000"/>
                    <w:szCs w:val="24"/>
                  </w:rPr>
                </w:pPr>
                <w:r>
                  <w:rPr>
                    <w:rFonts w:eastAsia="Calibri"/>
                    <w:color w:val="000000"/>
                    <w:szCs w:val="24"/>
                  </w:rPr>
                  <w:t>Nė vienos profesinės grupės darbuotojai negali dirbti vidaus vandenų laive.</w:t>
                </w:r>
              </w:p>
            </w:tc>
            <w:tc>
              <w:tcPr>
                <w:tcW w:w="2801" w:type="dxa"/>
              </w:tcPr>
              <w:p>
                <w:pPr>
                  <w:spacing w:line="276" w:lineRule="auto"/>
                  <w:rPr>
                    <w:rFonts w:eastAsia="Calibri"/>
                    <w:color w:val="000000"/>
                    <w:szCs w:val="24"/>
                  </w:rPr>
                </w:pPr>
              </w:p>
            </w:tc>
          </w:tr>
          <w:tr>
            <w:tc>
              <w:tcPr>
                <w:tcW w:w="816" w:type="dxa"/>
              </w:tcPr>
              <w:p>
                <w:pPr>
                  <w:spacing w:line="276" w:lineRule="auto"/>
                  <w:jc w:val="both"/>
                  <w:rPr>
                    <w:rFonts w:eastAsia="Calibri"/>
                    <w:color w:val="000000"/>
                    <w:szCs w:val="24"/>
                  </w:rPr>
                </w:pPr>
                <w:r>
                  <w:rPr>
                    <w:rFonts w:eastAsia="Calibri"/>
                    <w:color w:val="000000"/>
                    <w:szCs w:val="24"/>
                  </w:rPr>
                  <w:t>2.6.</w:t>
                </w:r>
              </w:p>
            </w:tc>
            <w:tc>
              <w:tcPr>
                <w:tcW w:w="2977" w:type="dxa"/>
              </w:tcPr>
              <w:p>
                <w:pPr>
                  <w:spacing w:line="276" w:lineRule="auto"/>
                  <w:rPr>
                    <w:rFonts w:eastAsia="Calibri"/>
                    <w:color w:val="000000"/>
                    <w:szCs w:val="24"/>
                  </w:rPr>
                </w:pPr>
                <w:r>
                  <w:rPr>
                    <w:rFonts w:eastAsia="Calibri"/>
                    <w:color w:val="000000"/>
                    <w:szCs w:val="24"/>
                  </w:rPr>
                  <w:t>Otosklerozė, H80</w:t>
                </w:r>
              </w:p>
              <w:p>
                <w:pPr>
                  <w:spacing w:line="276" w:lineRule="auto"/>
                  <w:rPr>
                    <w:rFonts w:eastAsia="Calibri"/>
                    <w:color w:val="000000"/>
                    <w:szCs w:val="24"/>
                  </w:rPr>
                </w:pPr>
                <w:r>
                  <w:rPr>
                    <w:rFonts w:eastAsia="Calibri"/>
                    <w:color w:val="000000"/>
                    <w:szCs w:val="24"/>
                  </w:rPr>
                  <w:t>Neurosensorinis prikurtimas, H90.3</w:t>
                </w:r>
              </w:p>
              <w:p>
                <w:pPr>
                  <w:spacing w:line="276" w:lineRule="auto"/>
                  <w:rPr>
                    <w:rFonts w:eastAsia="Calibri"/>
                    <w:color w:val="000000"/>
                    <w:szCs w:val="24"/>
                  </w:rPr>
                </w:pPr>
              </w:p>
            </w:tc>
            <w:tc>
              <w:tcPr>
                <w:tcW w:w="4110" w:type="dxa"/>
              </w:tcPr>
              <w:p>
                <w:pPr>
                  <w:spacing w:line="276" w:lineRule="auto"/>
                  <w:jc w:val="both"/>
                  <w:rPr>
                    <w:rFonts w:eastAsia="Calibri"/>
                    <w:color w:val="000000"/>
                    <w:szCs w:val="24"/>
                  </w:rPr>
                </w:pPr>
              </w:p>
            </w:tc>
            <w:tc>
              <w:tcPr>
                <w:tcW w:w="4252" w:type="dxa"/>
              </w:tcPr>
              <w:p>
                <w:pPr>
                  <w:spacing w:line="276" w:lineRule="auto"/>
                  <w:jc w:val="both"/>
                  <w:rPr>
                    <w:rFonts w:eastAsia="Calibri"/>
                    <w:color w:val="000000"/>
                    <w:szCs w:val="24"/>
                  </w:rPr>
                </w:pPr>
              </w:p>
            </w:tc>
            <w:tc>
              <w:tcPr>
                <w:tcW w:w="2801" w:type="dxa"/>
              </w:tcPr>
              <w:p>
                <w:pPr>
                  <w:spacing w:line="276" w:lineRule="auto"/>
                  <w:rPr>
                    <w:rFonts w:eastAsia="Calibri"/>
                    <w:color w:val="000000"/>
                    <w:szCs w:val="24"/>
                  </w:rPr>
                </w:pPr>
                <w:r>
                  <w:rPr>
                    <w:rFonts w:eastAsia="Calibri"/>
                    <w:color w:val="000000"/>
                    <w:szCs w:val="24"/>
                  </w:rPr>
                  <w:t>Po gydymo ir esant klausos standartų reikalavimų neatitikimų asmenys negali dirbti jūrų ir vidaus vandenų laivuose.</w:t>
                </w:r>
              </w:p>
            </w:tc>
          </w:tr>
          <w:tr>
            <w:tc>
              <w:tcPr>
                <w:tcW w:w="816" w:type="dxa"/>
              </w:tcPr>
              <w:p>
                <w:pPr>
                  <w:spacing w:line="276" w:lineRule="auto"/>
                  <w:jc w:val="both"/>
                  <w:rPr>
                    <w:rFonts w:eastAsia="Calibri"/>
                    <w:b/>
                    <w:szCs w:val="24"/>
                  </w:rPr>
                </w:pPr>
                <w:r>
                  <w:rPr>
                    <w:rFonts w:eastAsia="Calibri"/>
                    <w:b/>
                    <w:szCs w:val="24"/>
                  </w:rPr>
                  <w:t>3.</w:t>
                </w:r>
              </w:p>
            </w:tc>
            <w:tc>
              <w:tcPr>
                <w:tcW w:w="14140" w:type="dxa"/>
                <w:gridSpan w:val="4"/>
              </w:tcPr>
              <w:p>
                <w:pPr>
                  <w:spacing w:line="276" w:lineRule="auto"/>
                  <w:jc w:val="center"/>
                  <w:rPr>
                    <w:rFonts w:eastAsia="Calibri"/>
                    <w:color w:val="000000"/>
                    <w:szCs w:val="24"/>
                  </w:rPr>
                </w:pPr>
                <w:r>
                  <w:rPr>
                    <w:rFonts w:eastAsia="Calibri"/>
                    <w:b/>
                    <w:color w:val="000000"/>
                    <w:szCs w:val="24"/>
                  </w:rPr>
                  <w:t xml:space="preserve">KRAUJOTAKOS SISTEMOS LIGOS, ĮGIMTOS KRAUJO APYTAKOS SISTEMOS FORMAVIMOSI YDOS BEI GĖRYBINIAI ŠIRDIES NAVIKAI </w:t>
                </w:r>
              </w:p>
            </w:tc>
          </w:tr>
          <w:tr>
            <w:tc>
              <w:tcPr>
                <w:tcW w:w="816" w:type="dxa"/>
              </w:tcPr>
              <w:p>
                <w:pPr>
                  <w:spacing w:line="276" w:lineRule="auto"/>
                  <w:jc w:val="both"/>
                  <w:rPr>
                    <w:rFonts w:eastAsia="Calibri"/>
                    <w:szCs w:val="24"/>
                  </w:rPr>
                </w:pPr>
                <w:r>
                  <w:rPr>
                    <w:rFonts w:eastAsia="Calibri"/>
                    <w:szCs w:val="24"/>
                  </w:rPr>
                  <w:t>3.1.</w:t>
                </w:r>
              </w:p>
            </w:tc>
            <w:tc>
              <w:tcPr>
                <w:tcW w:w="2977" w:type="dxa"/>
              </w:tcPr>
              <w:p>
                <w:pPr>
                  <w:spacing w:line="276" w:lineRule="auto"/>
                  <w:rPr>
                    <w:rFonts w:eastAsia="Calibri"/>
                    <w:szCs w:val="24"/>
                  </w:rPr>
                </w:pPr>
                <w:r>
                  <w:rPr>
                    <w:rFonts w:eastAsia="Calibri"/>
                    <w:szCs w:val="24"/>
                  </w:rPr>
                  <w:t>Pirminė (esencialinė) hipertenzija, I10</w:t>
                </w:r>
              </w:p>
            </w:tc>
            <w:tc>
              <w:tcPr>
                <w:tcW w:w="4110" w:type="dxa"/>
              </w:tcPr>
              <w:p>
                <w:pPr>
                  <w:spacing w:line="276" w:lineRule="auto"/>
                  <w:rPr>
                    <w:rFonts w:eastAsia="Calibri"/>
                    <w:szCs w:val="24"/>
                  </w:rPr>
                </w:pPr>
                <w:r>
                  <w:rPr>
                    <w:rFonts w:eastAsia="Calibri"/>
                    <w:szCs w:val="24"/>
                  </w:rPr>
                  <w:t>Jeigu sistolinis kraujo spaudimas mažesnis kaip 160 ar diastolinis mažesnis kaip 100 mm/Hg po gydymo vaistiniais preparatais, visų profesinių grupių asmenys gali dirbti jūrų laive.</w:t>
                </w:r>
              </w:p>
              <w:p>
                <w:pPr>
                  <w:spacing w:line="276" w:lineRule="auto"/>
                  <w:rPr>
                    <w:rFonts w:eastAsia="Calibri"/>
                    <w:szCs w:val="24"/>
                  </w:rPr>
                </w:pPr>
                <w:r>
                  <w:rPr>
                    <w:rFonts w:eastAsia="Calibri"/>
                    <w:szCs w:val="24"/>
                  </w:rPr>
                  <w:t>Jeigu sistolinis kraujo spaudimas didesnis kaip 160 ar diastolinis didesnis kaip 100 mm/Hg ir šie rodikliai nekinta tiek gydant, tiek negydant, nė vienos profesinės grupės asmenys negali dirbti jūrų laive.</w:t>
                </w:r>
              </w:p>
            </w:tc>
            <w:tc>
              <w:tcPr>
                <w:tcW w:w="4252" w:type="dxa"/>
              </w:tcPr>
              <w:p>
                <w:pPr>
                  <w:spacing w:line="276" w:lineRule="auto"/>
                  <w:rPr>
                    <w:rFonts w:eastAsia="Calibri"/>
                    <w:szCs w:val="24"/>
                  </w:rPr>
                </w:pPr>
                <w:r>
                  <w:rPr>
                    <w:rFonts w:eastAsia="Calibri"/>
                    <w:szCs w:val="24"/>
                  </w:rPr>
                  <w:t>Jeigu sistolinis kraujo spaudimas mažesnis kaip160 ar diastolinis mažesnis kaip 100 mm/Hg po gydymo vaistiniais preparatais, visų profesinių grupių asmenys</w:t>
                </w:r>
                <w:r>
                  <w:rPr>
                    <w:rFonts w:eastAsia="Calibri"/>
                    <w:color w:val="000000"/>
                    <w:szCs w:val="24"/>
                  </w:rPr>
                  <w:t xml:space="preserve"> g</w:t>
                </w:r>
                <w:r>
                  <w:rPr>
                    <w:rFonts w:eastAsia="Calibri"/>
                    <w:szCs w:val="24"/>
                  </w:rPr>
                  <w:t>ali dirbti vidaus vandenų laive.</w:t>
                </w:r>
              </w:p>
              <w:p>
                <w:pPr>
                  <w:spacing w:line="276" w:lineRule="auto"/>
                  <w:rPr>
                    <w:rFonts w:eastAsia="Calibri"/>
                    <w:szCs w:val="24"/>
                  </w:rPr>
                </w:pPr>
                <w:r>
                  <w:rPr>
                    <w:rFonts w:eastAsia="Calibri"/>
                    <w:szCs w:val="24"/>
                  </w:rPr>
                  <w:t>Jeigu sistolinis kraujo spaudimas didesnis kaip 160 ar diastolinis didesnis kaip100 mm/Hg ir šie rodikliai nekinta tiek gydant, tiek negydant, nė vienos profesinės grupės asmenys negali dirbti vidaus vandenų laive.</w:t>
                </w:r>
              </w:p>
            </w:tc>
            <w:tc>
              <w:tcPr>
                <w:tcW w:w="2801" w:type="dxa"/>
              </w:tcPr>
              <w:p>
                <w:pPr>
                  <w:spacing w:line="276" w:lineRule="auto"/>
                  <w:rPr>
                    <w:rFonts w:eastAsia="Calibri"/>
                    <w:szCs w:val="24"/>
                  </w:rPr>
                </w:pPr>
                <w:r>
                  <w:rPr>
                    <w:rFonts w:eastAsia="Calibri"/>
                    <w:color w:val="000000"/>
                    <w:szCs w:val="24"/>
                  </w:rPr>
                  <w:t>Gydytojo kardiologo</w:t>
                </w:r>
                <w:r>
                  <w:rPr>
                    <w:rFonts w:eastAsia="Calibri"/>
                    <w:szCs w:val="24"/>
                  </w:rPr>
                  <w:t xml:space="preserve"> konsultacija kas 12 mėnesių.</w:t>
                </w:r>
              </w:p>
            </w:tc>
          </w:tr>
          <w:tr>
            <w:tc>
              <w:tcPr>
                <w:tcW w:w="816" w:type="dxa"/>
              </w:tcPr>
              <w:p>
                <w:pPr>
                  <w:spacing w:line="276" w:lineRule="auto"/>
                  <w:jc w:val="both"/>
                  <w:rPr>
                    <w:rFonts w:eastAsia="Calibri"/>
                    <w:szCs w:val="24"/>
                  </w:rPr>
                </w:pPr>
                <w:r>
                  <w:rPr>
                    <w:rFonts w:eastAsia="Calibri"/>
                    <w:szCs w:val="24"/>
                  </w:rPr>
                  <w:t>3.2.</w:t>
                </w:r>
              </w:p>
            </w:tc>
            <w:tc>
              <w:tcPr>
                <w:tcW w:w="2977" w:type="dxa"/>
              </w:tcPr>
              <w:p>
                <w:pPr>
                  <w:spacing w:line="276" w:lineRule="auto"/>
                  <w:rPr>
                    <w:rFonts w:eastAsia="Calibri"/>
                    <w:szCs w:val="24"/>
                  </w:rPr>
                </w:pPr>
                <w:r>
                  <w:rPr>
                    <w:rFonts w:eastAsia="Calibri"/>
                    <w:szCs w:val="24"/>
                  </w:rPr>
                  <w:t xml:space="preserve">Krūtinės angina, I20 </w:t>
                </w:r>
              </w:p>
            </w:tc>
            <w:tc>
              <w:tcPr>
                <w:tcW w:w="4110" w:type="dxa"/>
              </w:tcPr>
              <w:p>
                <w:pPr>
                  <w:spacing w:line="276" w:lineRule="auto"/>
                  <w:rPr>
                    <w:rFonts w:eastAsia="Calibri"/>
                    <w:szCs w:val="24"/>
                  </w:rPr>
                </w:pPr>
                <w:r>
                  <w:rPr>
                    <w:rFonts w:eastAsia="Calibri"/>
                    <w:color w:val="000000"/>
                    <w:szCs w:val="24"/>
                  </w:rPr>
                  <w:t>Dėl galimybės visų profesinių grupių asmenims dirbti jūrų laive sprendžiama individualiai po gydytojo kardiologo konsultacijos.</w:t>
                </w:r>
              </w:p>
            </w:tc>
            <w:tc>
              <w:tcPr>
                <w:tcW w:w="4252" w:type="dxa"/>
              </w:tcPr>
              <w:p>
                <w:pPr>
                  <w:spacing w:line="276" w:lineRule="auto"/>
                  <w:rPr>
                    <w:rFonts w:eastAsia="Calibri"/>
                    <w:szCs w:val="24"/>
                  </w:rPr>
                </w:pPr>
                <w:r>
                  <w:rPr>
                    <w:rFonts w:eastAsia="Calibri"/>
                    <w:szCs w:val="24"/>
                  </w:rPr>
                  <w:t xml:space="preserve">Dėl galimybės </w:t>
                </w:r>
                <w:r>
                  <w:rPr>
                    <w:rFonts w:eastAsia="Calibri"/>
                    <w:color w:val="000000"/>
                    <w:szCs w:val="24"/>
                  </w:rPr>
                  <w:t>visų profesinių</w:t>
                </w:r>
                <w:r>
                  <w:rPr>
                    <w:rFonts w:eastAsia="Calibri"/>
                    <w:szCs w:val="24"/>
                  </w:rPr>
                  <w:t xml:space="preserve"> grupių asmenims dirbti </w:t>
                </w:r>
                <w:r>
                  <w:rPr>
                    <w:rFonts w:eastAsia="Calibri"/>
                    <w:color w:val="000000"/>
                    <w:szCs w:val="24"/>
                  </w:rPr>
                  <w:t>vidaus vandenų laive sprendžiama individualiai po gydytojo kardiologo konsultacijos</w:t>
                </w:r>
                <w:r>
                  <w:rPr>
                    <w:rFonts w:eastAsia="Calibri"/>
                    <w:szCs w:val="24"/>
                  </w:rPr>
                  <w:t>.</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3.3.</w:t>
                </w:r>
              </w:p>
            </w:tc>
            <w:tc>
              <w:tcPr>
                <w:tcW w:w="2977" w:type="dxa"/>
              </w:tcPr>
              <w:p>
                <w:pPr>
                  <w:spacing w:line="276" w:lineRule="auto"/>
                  <w:rPr>
                    <w:rFonts w:eastAsia="Calibri"/>
                    <w:szCs w:val="24"/>
                  </w:rPr>
                </w:pPr>
                <w:r>
                  <w:rPr>
                    <w:rFonts w:eastAsia="Calibri"/>
                    <w:szCs w:val="24"/>
                  </w:rPr>
                  <w:t xml:space="preserve">Ūminis miokardo infarktas, I21 </w:t>
                </w:r>
              </w:p>
            </w:tc>
            <w:tc>
              <w:tcPr>
                <w:tcW w:w="4110" w:type="dxa"/>
              </w:tcPr>
              <w:p>
                <w:pPr>
                  <w:spacing w:line="276" w:lineRule="auto"/>
                  <w:rPr>
                    <w:rFonts w:eastAsia="Calibri"/>
                    <w:szCs w:val="24"/>
                  </w:rPr>
                </w:pPr>
                <w:r>
                  <w:rPr>
                    <w:rFonts w:eastAsia="Calibri"/>
                    <w:szCs w:val="24"/>
                  </w:rPr>
                  <w:t xml:space="preserve">Dėl galimybės dirbti jūrų laive sprendžiama individualiai, bet ne anksčiau kaip po 6 </w:t>
                </w:r>
                <w:r>
                  <w:rPr>
                    <w:rFonts w:eastAsia="Calibri"/>
                    <w:color w:val="000000"/>
                    <w:szCs w:val="24"/>
                  </w:rPr>
                  <w:t>mėnesių, po gydytojo kardiologo</w:t>
                </w:r>
                <w:r>
                  <w:rPr>
                    <w:rFonts w:eastAsia="Calibri"/>
                    <w:szCs w:val="24"/>
                  </w:rPr>
                  <w:t xml:space="preserve"> konsultacijos.</w:t>
                </w:r>
              </w:p>
            </w:tc>
            <w:tc>
              <w:tcPr>
                <w:tcW w:w="4252" w:type="dxa"/>
              </w:tcPr>
              <w:p>
                <w:pPr>
                  <w:spacing w:line="276" w:lineRule="auto"/>
                  <w:rPr>
                    <w:rFonts w:eastAsia="Calibri"/>
                    <w:szCs w:val="24"/>
                  </w:rPr>
                </w:pPr>
                <w:r>
                  <w:rPr>
                    <w:rFonts w:eastAsia="Calibri"/>
                    <w:szCs w:val="24"/>
                  </w:rPr>
                  <w:t xml:space="preserve">Dėl galimybės dirbti vidaus vandenų laive sprendžiama </w:t>
                </w:r>
                <w:r>
                  <w:rPr>
                    <w:rFonts w:eastAsia="Calibri"/>
                    <w:color w:val="000000"/>
                    <w:szCs w:val="24"/>
                  </w:rPr>
                  <w:t xml:space="preserve">individualiai po 4 </w:t>
                </w:r>
                <w:r>
                  <w:rPr>
                    <w:rFonts w:eastAsia="Calibri"/>
                    <w:szCs w:val="24"/>
                  </w:rPr>
                  <w:t xml:space="preserve"> </w:t>
                </w:r>
                <w:r>
                  <w:rPr>
                    <w:rFonts w:eastAsia="Calibri"/>
                    <w:color w:val="000000"/>
                    <w:szCs w:val="24"/>
                  </w:rPr>
                  <w:t xml:space="preserve">mėnesių, po gydytojo kardiologo konsultacijos. </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3.4.</w:t>
                </w:r>
              </w:p>
            </w:tc>
            <w:tc>
              <w:tcPr>
                <w:tcW w:w="2977" w:type="dxa"/>
              </w:tcPr>
              <w:p>
                <w:pPr>
                  <w:spacing w:line="276" w:lineRule="auto"/>
                  <w:rPr>
                    <w:rFonts w:eastAsia="Calibri"/>
                    <w:szCs w:val="24"/>
                  </w:rPr>
                </w:pPr>
                <w:r>
                  <w:rPr>
                    <w:rFonts w:eastAsia="Calibri"/>
                    <w:szCs w:val="24"/>
                  </w:rPr>
                  <w:t>Plaučių embolija, I26</w:t>
                </w:r>
              </w:p>
            </w:tc>
            <w:tc>
              <w:tcPr>
                <w:tcW w:w="4110" w:type="dxa"/>
              </w:tcPr>
              <w:p>
                <w:pPr>
                  <w:spacing w:line="276" w:lineRule="auto"/>
                  <w:rPr>
                    <w:rFonts w:eastAsia="Calibri"/>
                    <w:szCs w:val="24"/>
                  </w:rPr>
                </w:pPr>
                <w:r>
                  <w:rPr>
                    <w:rFonts w:eastAsia="Calibri"/>
                    <w:szCs w:val="24"/>
                  </w:rPr>
                  <w:t>Nė vienos profesinės grupės darbuotojai negali dirbti jūrų laive.</w:t>
                </w:r>
              </w:p>
            </w:tc>
            <w:tc>
              <w:tcPr>
                <w:tcW w:w="4252" w:type="dxa"/>
              </w:tcPr>
              <w:p>
                <w:pPr>
                  <w:spacing w:line="276" w:lineRule="auto"/>
                  <w:rPr>
                    <w:rFonts w:eastAsia="Calibri"/>
                    <w:szCs w:val="24"/>
                  </w:rPr>
                </w:pPr>
                <w:r>
                  <w:rPr>
                    <w:rFonts w:eastAsia="Calibri"/>
                    <w:szCs w:val="24"/>
                  </w:rPr>
                  <w:t>Dėl galimybės dirbti vidaus vandenų laive</w:t>
                </w:r>
                <w:r>
                  <w:rPr>
                    <w:rFonts w:eastAsia="Calibri"/>
                    <w:color w:val="000000"/>
                    <w:szCs w:val="24"/>
                  </w:rPr>
                  <w:t xml:space="preserve"> sprendžiama individualiai, esant 6 mėnesių ligos remisijai, po gydytojo kardiologo konsultacijos.</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3.5.</w:t>
                </w:r>
              </w:p>
            </w:tc>
            <w:tc>
              <w:tcPr>
                <w:tcW w:w="2977" w:type="dxa"/>
              </w:tcPr>
              <w:p>
                <w:pPr>
                  <w:spacing w:line="276" w:lineRule="auto"/>
                  <w:rPr>
                    <w:rFonts w:eastAsia="Calibri"/>
                    <w:szCs w:val="24"/>
                  </w:rPr>
                </w:pPr>
                <w:r>
                  <w:rPr>
                    <w:rFonts w:eastAsia="Calibri"/>
                    <w:szCs w:val="24"/>
                  </w:rPr>
                  <w:t xml:space="preserve">Kitos širdies ligos (Perikarditas, I30.0– I32.8 Mitralinio vožtuvo prolapsas, I34.1 </w:t>
                </w:r>
              </w:p>
              <w:p>
                <w:pPr>
                  <w:spacing w:line="276" w:lineRule="auto"/>
                  <w:rPr>
                    <w:rFonts w:eastAsia="Calibri"/>
                    <w:szCs w:val="24"/>
                  </w:rPr>
                </w:pPr>
                <w:r>
                  <w:rPr>
                    <w:rFonts w:eastAsia="Calibri"/>
                    <w:szCs w:val="24"/>
                  </w:rPr>
                  <w:t>Miokarditas, I40.0–I41.8 Kardiomiopatija, I42–I43 ir kt.)</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color w:val="000000"/>
                    <w:szCs w:val="24"/>
                  </w:rPr>
                  <w:t>Dėl galimybės dirbti jūrų ir vidaus vandenų laivuose sprendžiama individualiai po gydytojo kardiologo konsultacijos.</w:t>
                </w:r>
              </w:p>
            </w:tc>
          </w:tr>
          <w:tr>
            <w:tc>
              <w:tcPr>
                <w:tcW w:w="816" w:type="dxa"/>
              </w:tcPr>
              <w:p>
                <w:pPr>
                  <w:spacing w:line="276" w:lineRule="auto"/>
                  <w:jc w:val="both"/>
                  <w:rPr>
                    <w:rFonts w:eastAsia="Calibri"/>
                    <w:szCs w:val="24"/>
                  </w:rPr>
                </w:pPr>
                <w:r>
                  <w:rPr>
                    <w:rFonts w:eastAsia="Calibri"/>
                    <w:szCs w:val="24"/>
                  </w:rPr>
                  <w:t>3.6.</w:t>
                </w:r>
              </w:p>
            </w:tc>
            <w:tc>
              <w:tcPr>
                <w:tcW w:w="2977" w:type="dxa"/>
              </w:tcPr>
              <w:p>
                <w:pPr>
                  <w:spacing w:line="276" w:lineRule="auto"/>
                  <w:rPr>
                    <w:rFonts w:eastAsia="Calibri"/>
                    <w:szCs w:val="24"/>
                  </w:rPr>
                </w:pPr>
                <w:r>
                  <w:rPr>
                    <w:rFonts w:eastAsia="Calibri"/>
                    <w:szCs w:val="24"/>
                  </w:rPr>
                  <w:t>Širdies laidumo sutrikimai, atrioventrikulinė (toliau – AV) I–III</w:t>
                </w:r>
                <w:r>
                  <w:rPr>
                    <w:rFonts w:eastAsia="Calibri"/>
                    <w:szCs w:val="24"/>
                    <w:vertAlign w:val="superscript"/>
                  </w:rPr>
                  <w:t xml:space="preserve"> </w:t>
                </w:r>
                <w:r>
                  <w:rPr>
                    <w:rFonts w:eastAsia="Calibri"/>
                    <w:szCs w:val="24"/>
                  </w:rPr>
                  <w:t xml:space="preserve">laipsnio blokada, </w:t>
                </w:r>
              </w:p>
              <w:p>
                <w:pPr>
                  <w:spacing w:line="276" w:lineRule="auto"/>
                  <w:rPr>
                    <w:rFonts w:eastAsia="Calibri"/>
                    <w:szCs w:val="24"/>
                  </w:rPr>
                </w:pPr>
                <w:r>
                  <w:rPr>
                    <w:rFonts w:eastAsia="Calibri"/>
                    <w:szCs w:val="24"/>
                  </w:rPr>
                  <w:t>I44.0–I44.3</w:t>
                </w:r>
              </w:p>
            </w:tc>
            <w:tc>
              <w:tcPr>
                <w:tcW w:w="4110" w:type="dxa"/>
              </w:tcPr>
              <w:p>
                <w:pPr>
                  <w:spacing w:line="276" w:lineRule="auto"/>
                  <w:rPr>
                    <w:rFonts w:eastAsia="Calibri"/>
                    <w:szCs w:val="24"/>
                  </w:rPr>
                </w:pPr>
                <w:r>
                  <w:rPr>
                    <w:rFonts w:eastAsia="Calibri"/>
                    <w:szCs w:val="24"/>
                  </w:rPr>
                  <w:t xml:space="preserve">Nė vienos profesinės grupės darbuotojai </w:t>
                </w:r>
                <w:r>
                  <w:rPr>
                    <w:rFonts w:eastAsia="Calibri"/>
                    <w:color w:val="000000"/>
                    <w:szCs w:val="24"/>
                  </w:rPr>
                  <w:t>n</w:t>
                </w:r>
                <w:r>
                  <w:rPr>
                    <w:rFonts w:eastAsia="Calibri"/>
                    <w:szCs w:val="24"/>
                  </w:rPr>
                  <w:t xml:space="preserve">egali dirbti jūrų laive, esant III  laipsnio AV blokadai.</w:t>
                </w:r>
              </w:p>
            </w:tc>
            <w:tc>
              <w:tcPr>
                <w:tcW w:w="4252" w:type="dxa"/>
              </w:tcPr>
              <w:p>
                <w:pPr>
                  <w:spacing w:line="276" w:lineRule="auto"/>
                  <w:rPr>
                    <w:rFonts w:eastAsia="Calibri"/>
                    <w:szCs w:val="24"/>
                  </w:rPr>
                </w:pPr>
                <w:r>
                  <w:rPr>
                    <w:rFonts w:eastAsia="Calibri"/>
                    <w:szCs w:val="24"/>
                  </w:rPr>
                  <w:t>Nė vienos profesinės grupės darbuotojai negali dirbti vidaus vandenų laive, esant III</w:t>
                </w:r>
                <w:r>
                  <w:rPr>
                    <w:rFonts w:eastAsia="Calibri"/>
                    <w:szCs w:val="24"/>
                    <w:vertAlign w:val="superscript"/>
                  </w:rPr>
                  <w:t xml:space="preserve"> </w:t>
                </w:r>
                <w:r>
                  <w:rPr>
                    <w:rFonts w:eastAsia="Calibri"/>
                    <w:szCs w:val="24"/>
                  </w:rPr>
                  <w:t>laipsnio AV blokadai.</w:t>
                </w:r>
              </w:p>
              <w:p>
                <w:pPr>
                  <w:spacing w:line="276" w:lineRule="auto"/>
                  <w:rPr>
                    <w:rFonts w:eastAsia="Calibri"/>
                    <w:szCs w:val="24"/>
                  </w:rPr>
                </w:pPr>
              </w:p>
            </w:tc>
            <w:tc>
              <w:tcPr>
                <w:tcW w:w="2801" w:type="dxa"/>
              </w:tcPr>
              <w:p>
                <w:pPr>
                  <w:spacing w:line="276" w:lineRule="auto"/>
                  <w:rPr>
                    <w:rFonts w:eastAsia="Calibri"/>
                    <w:szCs w:val="24"/>
                  </w:rPr>
                </w:pPr>
                <w:r>
                  <w:rPr>
                    <w:rFonts w:eastAsia="Calibri"/>
                    <w:szCs w:val="24"/>
                  </w:rPr>
                  <w:t>Esant I–II</w:t>
                </w:r>
                <w:r>
                  <w:rPr>
                    <w:rFonts w:eastAsia="Calibri"/>
                    <w:szCs w:val="24"/>
                    <w:vertAlign w:val="superscript"/>
                  </w:rPr>
                  <w:t xml:space="preserve"> </w:t>
                </w:r>
                <w:r>
                  <w:rPr>
                    <w:rFonts w:eastAsia="Calibri"/>
                    <w:szCs w:val="24"/>
                  </w:rPr>
                  <w:t>laipsnio</w:t>
                </w:r>
                <w:r>
                  <w:rPr>
                    <w:rFonts w:eastAsia="Calibri"/>
                    <w:szCs w:val="24"/>
                    <w:vertAlign w:val="superscript"/>
                  </w:rPr>
                  <w:t xml:space="preserve"> </w:t>
                </w:r>
                <w:r>
                  <w:rPr>
                    <w:rFonts w:eastAsia="Calibri"/>
                    <w:szCs w:val="24"/>
                  </w:rPr>
                  <w:t xml:space="preserve">AV blokadai dėl galimybės dirbti jūrų ir vidaus vandenų laivuose spendžiama individualiai </w:t>
                </w:r>
                <w:r>
                  <w:rPr>
                    <w:rFonts w:eastAsia="Calibri"/>
                    <w:color w:val="000000"/>
                    <w:szCs w:val="24"/>
                  </w:rPr>
                  <w:t>po gydytojo kardiologo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3.7.</w:t>
                </w:r>
              </w:p>
            </w:tc>
            <w:tc>
              <w:tcPr>
                <w:tcW w:w="2977" w:type="dxa"/>
              </w:tcPr>
              <w:p>
                <w:pPr>
                  <w:spacing w:line="276" w:lineRule="auto"/>
                  <w:rPr>
                    <w:rFonts w:eastAsia="Calibri"/>
                    <w:szCs w:val="24"/>
                  </w:rPr>
                </w:pPr>
                <w:r>
                  <w:rPr>
                    <w:rFonts w:eastAsia="Calibri"/>
                    <w:szCs w:val="24"/>
                  </w:rPr>
                  <w:t>Bet kurios Hiso pluošto kojytės blokada, I45.0–I45.5 WPW sindromas, I45.6</w:t>
                </w:r>
              </w:p>
              <w:p>
                <w:pPr>
                  <w:spacing w:line="276" w:lineRule="auto"/>
                  <w:rPr>
                    <w:rFonts w:eastAsia="Calibri"/>
                    <w:szCs w:val="24"/>
                  </w:rPr>
                </w:pP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szCs w:val="24"/>
                  </w:rPr>
                  <w:t xml:space="preserve">Dėl galimybės dirbti jūrų ir vidaus vandenų laivuose sprendžiama individualiai </w:t>
                </w:r>
                <w:r>
                  <w:rPr>
                    <w:rFonts w:eastAsia="Calibri"/>
                    <w:color w:val="000000"/>
                    <w:szCs w:val="24"/>
                  </w:rPr>
                  <w:t>po gydytojo kardiologo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3.8.</w:t>
                </w:r>
              </w:p>
            </w:tc>
            <w:tc>
              <w:tcPr>
                <w:tcW w:w="2977" w:type="dxa"/>
              </w:tcPr>
              <w:p>
                <w:pPr>
                  <w:spacing w:line="276" w:lineRule="auto"/>
                  <w:rPr>
                    <w:rFonts w:eastAsia="Calibri"/>
                    <w:szCs w:val="24"/>
                  </w:rPr>
                </w:pPr>
                <w:r>
                  <w:rPr>
                    <w:rFonts w:eastAsia="Calibri"/>
                    <w:szCs w:val="24"/>
                  </w:rPr>
                  <w:t>Supraventrikulinė tachikardija, I47.1</w:t>
                </w:r>
              </w:p>
              <w:p>
                <w:pPr>
                  <w:spacing w:line="276" w:lineRule="auto"/>
                  <w:rPr>
                    <w:rFonts w:eastAsia="Calibri"/>
                    <w:szCs w:val="24"/>
                  </w:rPr>
                </w:pPr>
                <w:r>
                  <w:rPr>
                    <w:rFonts w:eastAsia="Calibri"/>
                    <w:szCs w:val="24"/>
                  </w:rPr>
                  <w:t>Skilvelinė tachikardija, I47.2</w:t>
                </w:r>
              </w:p>
              <w:p>
                <w:pPr>
                  <w:spacing w:line="276" w:lineRule="auto"/>
                  <w:rPr>
                    <w:rFonts w:eastAsia="Calibri"/>
                    <w:szCs w:val="24"/>
                  </w:rPr>
                </w:pPr>
                <w:r>
                  <w:rPr>
                    <w:rFonts w:eastAsia="Calibri"/>
                    <w:szCs w:val="24"/>
                  </w:rPr>
                  <w:t>Paroksizminė tachikardija,</w:t>
                </w:r>
              </w:p>
              <w:p>
                <w:pPr>
                  <w:spacing w:line="276" w:lineRule="auto"/>
                  <w:rPr>
                    <w:rFonts w:eastAsia="Calibri"/>
                    <w:szCs w:val="24"/>
                  </w:rPr>
                </w:pPr>
                <w:r>
                  <w:rPr>
                    <w:rFonts w:eastAsia="Calibri"/>
                    <w:szCs w:val="24"/>
                  </w:rPr>
                  <w:t xml:space="preserve">I47.9 </w:t>
                </w:r>
              </w:p>
            </w:tc>
            <w:tc>
              <w:tcPr>
                <w:tcW w:w="4110" w:type="dxa"/>
              </w:tcPr>
              <w:p>
                <w:pPr>
                  <w:spacing w:line="276" w:lineRule="auto"/>
                  <w:rPr>
                    <w:rFonts w:eastAsia="Calibri"/>
                    <w:color w:val="000000"/>
                    <w:szCs w:val="24"/>
                  </w:rPr>
                </w:pPr>
                <w:r>
                  <w:rPr>
                    <w:rFonts w:eastAsia="Calibri"/>
                    <w:szCs w:val="24"/>
                  </w:rPr>
                  <w:t>Nė vienos profesinės grupės darbuotojai negali dirbti jūrų laive.</w:t>
                </w:r>
              </w:p>
            </w:tc>
            <w:tc>
              <w:tcPr>
                <w:tcW w:w="4252" w:type="dxa"/>
              </w:tcPr>
              <w:p>
                <w:pPr>
                  <w:spacing w:line="276" w:lineRule="auto"/>
                  <w:rPr>
                    <w:rFonts w:eastAsia="Calibri"/>
                    <w:color w:val="000000"/>
                    <w:szCs w:val="24"/>
                  </w:rPr>
                </w:pPr>
                <w:r>
                  <w:rPr>
                    <w:rFonts w:eastAsia="Calibri"/>
                    <w:szCs w:val="24"/>
                  </w:rPr>
                  <w:t>Nė vienos profesinės grupės darbuotojai negali dirbti vidaus vandenų laive.</w:t>
                </w:r>
              </w:p>
            </w:tc>
            <w:tc>
              <w:tcPr>
                <w:tcW w:w="2801" w:type="dxa"/>
              </w:tcPr>
              <w:p>
                <w:pPr>
                  <w:spacing w:line="276" w:lineRule="auto"/>
                  <w:rPr>
                    <w:rFonts w:eastAsia="Calibri"/>
                    <w:szCs w:val="24"/>
                  </w:rPr>
                </w:pPr>
                <w:r>
                  <w:rPr>
                    <w:rFonts w:eastAsia="Calibri"/>
                    <w:szCs w:val="24"/>
                  </w:rPr>
                  <w:t xml:space="preserve">Po širdies ritmo korekcijos (radiodažninė abliacija) dėl tinkamumo dirbti jūrų ir vidaus vandenų laivuose sprendžiama individualiai, praėjus 6 mėnesiams </w:t>
                </w:r>
                <w:r>
                  <w:rPr>
                    <w:rFonts w:eastAsia="Calibri"/>
                    <w:color w:val="000000"/>
                    <w:szCs w:val="24"/>
                  </w:rPr>
                  <w:t>nuo operacijos, po gydytojo</w:t>
                </w:r>
                <w:r>
                  <w:rPr>
                    <w:rFonts w:eastAsia="Calibri"/>
                    <w:color w:val="0000FF"/>
                    <w:szCs w:val="24"/>
                  </w:rPr>
                  <w:t xml:space="preserve"> </w:t>
                </w:r>
                <w:r>
                  <w:rPr>
                    <w:rFonts w:eastAsia="Calibri"/>
                    <w:szCs w:val="24"/>
                  </w:rPr>
                  <w:t>kardiologo konsultacijos.</w:t>
                </w:r>
              </w:p>
            </w:tc>
          </w:tr>
          <w:tr>
            <w:tc>
              <w:tcPr>
                <w:tcW w:w="816" w:type="dxa"/>
              </w:tcPr>
              <w:p>
                <w:pPr>
                  <w:spacing w:line="276" w:lineRule="auto"/>
                  <w:jc w:val="both"/>
                  <w:rPr>
                    <w:rFonts w:eastAsia="Calibri"/>
                    <w:szCs w:val="24"/>
                  </w:rPr>
                </w:pPr>
                <w:r>
                  <w:rPr>
                    <w:rFonts w:eastAsia="Calibri"/>
                    <w:szCs w:val="24"/>
                  </w:rPr>
                  <w:t>3.9.</w:t>
                </w:r>
              </w:p>
            </w:tc>
            <w:tc>
              <w:tcPr>
                <w:tcW w:w="2977" w:type="dxa"/>
              </w:tcPr>
              <w:p>
                <w:pPr>
                  <w:spacing w:line="276" w:lineRule="auto"/>
                  <w:rPr>
                    <w:rFonts w:eastAsia="Calibri"/>
                    <w:szCs w:val="24"/>
                  </w:rPr>
                </w:pPr>
                <w:r>
                  <w:rPr>
                    <w:rFonts w:eastAsia="Calibri"/>
                    <w:szCs w:val="24"/>
                  </w:rPr>
                  <w:t>Prieširdžių virpėjimas ir prieširdžių plazdėjimas, I48</w:t>
                </w:r>
              </w:p>
            </w:tc>
            <w:tc>
              <w:tcPr>
                <w:tcW w:w="4110" w:type="dxa"/>
              </w:tcPr>
              <w:p>
                <w:pPr>
                  <w:spacing w:line="276" w:lineRule="auto"/>
                  <w:rPr>
                    <w:rFonts w:eastAsia="Calibri"/>
                    <w:color w:val="000000"/>
                    <w:szCs w:val="24"/>
                  </w:rPr>
                </w:pPr>
                <w:r>
                  <w:rPr>
                    <w:rFonts w:eastAsia="Calibri"/>
                    <w:color w:val="000000"/>
                    <w:szCs w:val="24"/>
                  </w:rPr>
                  <w:t>Dėl galimybės dirbti jūrų laive sprendžiama individualiai, praėjus 6 mėnesiams po širdies ritmo atkūrimo, po gydytojo kardiologo konsultacijos.</w:t>
                </w:r>
              </w:p>
              <w:p>
                <w:pPr>
                  <w:spacing w:line="276" w:lineRule="auto"/>
                  <w:rPr>
                    <w:rFonts w:eastAsia="Calibri"/>
                    <w:szCs w:val="24"/>
                  </w:rPr>
                </w:pPr>
                <w:r>
                  <w:rPr>
                    <w:rFonts w:eastAsia="Calibri"/>
                    <w:color w:val="000000"/>
                    <w:szCs w:val="24"/>
                  </w:rPr>
                  <w:t xml:space="preserve">Esant lėtiniam </w:t>
                </w:r>
                <w:r>
                  <w:rPr>
                    <w:rFonts w:eastAsia="Calibri"/>
                    <w:szCs w:val="24"/>
                  </w:rPr>
                  <w:t>prieširdžių virpėjimui ar plazdėjimui nė vienos profesinės grupės darbuotojai negali dirbti jūrų laive.</w:t>
                </w:r>
              </w:p>
            </w:tc>
            <w:tc>
              <w:tcPr>
                <w:tcW w:w="4252" w:type="dxa"/>
              </w:tcPr>
              <w:p>
                <w:pPr>
                  <w:spacing w:line="276" w:lineRule="auto"/>
                  <w:rPr>
                    <w:rFonts w:eastAsia="Calibri"/>
                    <w:szCs w:val="24"/>
                  </w:rPr>
                </w:pPr>
                <w:r>
                  <w:rPr>
                    <w:rFonts w:eastAsia="Calibri"/>
                    <w:color w:val="000000"/>
                    <w:szCs w:val="24"/>
                  </w:rPr>
                  <w:t xml:space="preserve">Dėl galimybės dirbti vidaus vandenų laive sprendžiama individualiai, praėjus 3 mėnesiams po širdies ritmo atkūrimo, po gydytojo kardiologo konsultacijos. Esant lėtiniam </w:t>
                </w:r>
                <w:r>
                  <w:rPr>
                    <w:rFonts w:eastAsia="Calibri"/>
                    <w:szCs w:val="24"/>
                  </w:rPr>
                  <w:t xml:space="preserve">prieširdžių virpėjimui ar plazdėjimui visų profesinių grupių darbuotojai  gali dirbti vidaus vandenų laive po gydytojo kardiologo konsultacijos.</w:t>
                </w:r>
              </w:p>
            </w:tc>
            <w:tc>
              <w:tcPr>
                <w:tcW w:w="2801" w:type="dxa"/>
              </w:tcPr>
              <w:p>
                <w:pPr>
                  <w:spacing w:line="276" w:lineRule="auto"/>
                  <w:rPr>
                    <w:rFonts w:eastAsia="Calibri"/>
                    <w:szCs w:val="24"/>
                  </w:rPr>
                </w:pPr>
                <w:r>
                  <w:rPr>
                    <w:rFonts w:eastAsia="Calibri"/>
                    <w:szCs w:val="24"/>
                  </w:rPr>
                  <w:t>Gydytojo kardiologo konsultacija kas 12 mėnesių.</w:t>
                </w:r>
              </w:p>
            </w:tc>
          </w:tr>
          <w:tr>
            <w:tc>
              <w:tcPr>
                <w:tcW w:w="816" w:type="dxa"/>
              </w:tcPr>
              <w:p>
                <w:pPr>
                  <w:spacing w:line="276" w:lineRule="auto"/>
                  <w:jc w:val="both"/>
                  <w:rPr>
                    <w:rFonts w:eastAsia="Calibri"/>
                    <w:szCs w:val="24"/>
                  </w:rPr>
                </w:pPr>
                <w:r>
                  <w:rPr>
                    <w:rFonts w:eastAsia="Calibri"/>
                    <w:szCs w:val="24"/>
                  </w:rPr>
                  <w:t>3.10.</w:t>
                </w:r>
              </w:p>
            </w:tc>
            <w:tc>
              <w:tcPr>
                <w:tcW w:w="2977" w:type="dxa"/>
              </w:tcPr>
              <w:p>
                <w:pPr>
                  <w:spacing w:line="276" w:lineRule="auto"/>
                  <w:rPr>
                    <w:rFonts w:eastAsia="Calibri"/>
                    <w:szCs w:val="24"/>
                  </w:rPr>
                </w:pPr>
                <w:r>
                  <w:rPr>
                    <w:rFonts w:eastAsia="Calibri"/>
                    <w:szCs w:val="24"/>
                  </w:rPr>
                  <w:t xml:space="preserve">Širdies nepakankamumas, </w:t>
                </w:r>
              </w:p>
              <w:p>
                <w:pPr>
                  <w:spacing w:line="276" w:lineRule="auto"/>
                  <w:rPr>
                    <w:rFonts w:eastAsia="Calibri"/>
                    <w:szCs w:val="24"/>
                  </w:rPr>
                </w:pPr>
                <w:r>
                  <w:rPr>
                    <w:rFonts w:eastAsia="Calibri"/>
                    <w:szCs w:val="24"/>
                  </w:rPr>
                  <w:t>I50</w:t>
                </w:r>
              </w:p>
            </w:tc>
            <w:tc>
              <w:tcPr>
                <w:tcW w:w="4110" w:type="dxa"/>
              </w:tcPr>
              <w:p>
                <w:pPr>
                  <w:spacing w:line="276" w:lineRule="auto"/>
                  <w:rPr>
                    <w:rFonts w:eastAsia="Calibri"/>
                    <w:color w:val="000000"/>
                    <w:szCs w:val="24"/>
                  </w:rPr>
                </w:pPr>
                <w:r>
                  <w:rPr>
                    <w:rFonts w:eastAsia="Calibri"/>
                    <w:color w:val="000000"/>
                    <w:szCs w:val="24"/>
                  </w:rPr>
                  <w:t>Nė vienos profesinės grupės darbuotojai, esant širdies veiklos (kraujotakos) funkcijos nepakankamumui (funkcinė klasė pagal NYHA III–IV), negali dirbti jūrų laive.</w:t>
                </w:r>
              </w:p>
            </w:tc>
            <w:tc>
              <w:tcPr>
                <w:tcW w:w="4252" w:type="dxa"/>
              </w:tcPr>
              <w:p>
                <w:pPr>
                  <w:spacing w:line="276" w:lineRule="auto"/>
                  <w:rPr>
                    <w:rFonts w:eastAsia="Calibri"/>
                    <w:color w:val="000000"/>
                    <w:szCs w:val="24"/>
                  </w:rPr>
                </w:pPr>
                <w:r>
                  <w:rPr>
                    <w:rFonts w:eastAsia="Calibri"/>
                    <w:color w:val="000000"/>
                    <w:szCs w:val="24"/>
                  </w:rPr>
                  <w:t>Nė vienos profesinės grupės darbuotojai, esant širdies veiklos (kraujotakos) funkcijos nepakankamumui (funkcinė klasė pagal NYHA III–IV), negali dirbti vidaus vandenų laive.</w:t>
                </w:r>
              </w:p>
            </w:tc>
            <w:tc>
              <w:tcPr>
                <w:tcW w:w="2801" w:type="dxa"/>
              </w:tcPr>
              <w:p>
                <w:pPr>
                  <w:spacing w:line="276" w:lineRule="auto"/>
                  <w:rPr>
                    <w:rFonts w:eastAsia="Calibri"/>
                    <w:szCs w:val="24"/>
                  </w:rPr>
                </w:pPr>
                <w:r>
                  <w:rPr>
                    <w:rFonts w:eastAsia="Calibri"/>
                    <w:color w:val="000000"/>
                    <w:szCs w:val="24"/>
                  </w:rPr>
                  <w:t>Visų profesinių grupių darbuotojai, esant širdies veiklos (kraujotakos) nepakankamumui (funkcinė klasė pagal NYHA I–II), gali dirbti jūrų ir vidaus vandenų laivuose. Gydytojo kardiologo konsultacija</w:t>
                </w:r>
                <w:r>
                  <w:rPr>
                    <w:rFonts w:eastAsia="Calibri"/>
                    <w:szCs w:val="24"/>
                  </w:rPr>
                  <w:t xml:space="preserve"> – kas 6 mėnesiai.</w:t>
                </w:r>
              </w:p>
            </w:tc>
          </w:tr>
          <w:tr>
            <w:tc>
              <w:tcPr>
                <w:tcW w:w="816" w:type="dxa"/>
              </w:tcPr>
              <w:p>
                <w:pPr>
                  <w:spacing w:line="276" w:lineRule="auto"/>
                  <w:jc w:val="both"/>
                  <w:rPr>
                    <w:rFonts w:eastAsia="Calibri"/>
                    <w:szCs w:val="24"/>
                  </w:rPr>
                </w:pPr>
                <w:r>
                  <w:rPr>
                    <w:rFonts w:eastAsia="Calibri"/>
                    <w:szCs w:val="24"/>
                  </w:rPr>
                  <w:t>3.11.</w:t>
                </w:r>
              </w:p>
            </w:tc>
            <w:tc>
              <w:tcPr>
                <w:tcW w:w="2977" w:type="dxa"/>
              </w:tcPr>
              <w:p>
                <w:pPr>
                  <w:spacing w:line="276" w:lineRule="auto"/>
                  <w:rPr>
                    <w:rFonts w:eastAsia="Calibri"/>
                    <w:szCs w:val="24"/>
                  </w:rPr>
                </w:pPr>
                <w:r>
                  <w:rPr>
                    <w:rFonts w:eastAsia="Calibri"/>
                    <w:szCs w:val="24"/>
                  </w:rPr>
                  <w:t>Gerybiniai širdies navikai,</w:t>
                </w:r>
              </w:p>
              <w:p>
                <w:pPr>
                  <w:spacing w:line="276" w:lineRule="auto"/>
                  <w:rPr>
                    <w:rFonts w:eastAsia="Calibri"/>
                    <w:szCs w:val="24"/>
                  </w:rPr>
                </w:pPr>
                <w:r>
                  <w:rPr>
                    <w:rFonts w:eastAsia="Calibri"/>
                    <w:szCs w:val="24"/>
                  </w:rPr>
                  <w:t>D15.1</w:t>
                </w:r>
              </w:p>
              <w:p>
                <w:pPr>
                  <w:spacing w:line="276" w:lineRule="auto"/>
                  <w:rPr>
                    <w:rFonts w:eastAsia="Calibri"/>
                    <w:szCs w:val="24"/>
                  </w:rPr>
                </w:pPr>
                <w:r>
                  <w:rPr>
                    <w:rFonts w:eastAsia="Calibri"/>
                    <w:szCs w:val="24"/>
                  </w:rPr>
                  <w:t>Įgimtos kraujo apytakos sistemos formavimosi ydos, Q20.0–Q25.9</w:t>
                </w:r>
              </w:p>
              <w:p>
                <w:pPr>
                  <w:spacing w:line="276" w:lineRule="auto"/>
                  <w:rPr>
                    <w:rFonts w:eastAsia="Calibri"/>
                    <w:szCs w:val="24"/>
                  </w:rPr>
                </w:pPr>
              </w:p>
            </w:tc>
            <w:tc>
              <w:tcPr>
                <w:tcW w:w="4110" w:type="dxa"/>
              </w:tcPr>
              <w:p>
                <w:pPr>
                  <w:spacing w:line="276" w:lineRule="auto"/>
                  <w:rPr>
                    <w:rFonts w:eastAsia="Calibri"/>
                    <w:color w:val="000000"/>
                    <w:szCs w:val="24"/>
                  </w:rPr>
                </w:pPr>
              </w:p>
            </w:tc>
            <w:tc>
              <w:tcPr>
                <w:tcW w:w="4252" w:type="dxa"/>
              </w:tcPr>
              <w:p>
                <w:pPr>
                  <w:spacing w:line="276" w:lineRule="auto"/>
                  <w:rPr>
                    <w:rFonts w:eastAsia="Calibri"/>
                    <w:color w:val="000000"/>
                    <w:szCs w:val="24"/>
                  </w:rPr>
                </w:pPr>
              </w:p>
            </w:tc>
            <w:tc>
              <w:tcPr>
                <w:tcW w:w="2801" w:type="dxa"/>
              </w:tcPr>
              <w:p>
                <w:pPr>
                  <w:spacing w:line="276" w:lineRule="auto"/>
                  <w:rPr>
                    <w:rFonts w:eastAsia="Calibri"/>
                    <w:color w:val="000000"/>
                    <w:szCs w:val="24"/>
                  </w:rPr>
                </w:pPr>
                <w:r>
                  <w:rPr>
                    <w:rFonts w:eastAsia="Calibri"/>
                    <w:color w:val="000000"/>
                    <w:szCs w:val="24"/>
                  </w:rPr>
                  <w:t>Dėl galimybės dirbti jūrų ir vidaus vandenų laivuose sprendžiama praėjus 6 mėnesiams nuo operacinio gydymo, po gydytojo kardiologo konsultacijos.</w:t>
                </w:r>
              </w:p>
            </w:tc>
          </w:tr>
          <w:tr>
            <w:tc>
              <w:tcPr>
                <w:tcW w:w="816" w:type="dxa"/>
              </w:tcPr>
              <w:p>
                <w:pPr>
                  <w:spacing w:line="276" w:lineRule="auto"/>
                  <w:jc w:val="both"/>
                  <w:rPr>
                    <w:rFonts w:eastAsia="Calibri"/>
                    <w:szCs w:val="24"/>
                  </w:rPr>
                </w:pPr>
                <w:r>
                  <w:rPr>
                    <w:rFonts w:eastAsia="Calibri"/>
                    <w:szCs w:val="24"/>
                  </w:rPr>
                  <w:t>3.12.</w:t>
                </w:r>
              </w:p>
            </w:tc>
            <w:tc>
              <w:tcPr>
                <w:tcW w:w="2977" w:type="dxa"/>
              </w:tcPr>
              <w:p>
                <w:pPr>
                  <w:spacing w:line="276" w:lineRule="auto"/>
                  <w:rPr>
                    <w:rFonts w:eastAsia="Calibri"/>
                    <w:szCs w:val="24"/>
                  </w:rPr>
                </w:pPr>
                <w:r>
                  <w:rPr>
                    <w:rFonts w:eastAsia="Calibri"/>
                    <w:szCs w:val="24"/>
                  </w:rPr>
                  <w:t xml:space="preserve">Širdies prietaisas. Buvimas: AIKD, širdies ritmo reguliavimo prietaiso, Z95.0 </w:t>
                </w:r>
              </w:p>
            </w:tc>
            <w:tc>
              <w:tcPr>
                <w:tcW w:w="4110" w:type="dxa"/>
              </w:tcPr>
              <w:p>
                <w:pPr>
                  <w:spacing w:line="276" w:lineRule="auto"/>
                  <w:rPr>
                    <w:rFonts w:eastAsia="Calibri"/>
                    <w:szCs w:val="24"/>
                  </w:rPr>
                </w:pPr>
                <w:r>
                  <w:rPr>
                    <w:rFonts w:eastAsia="Calibri"/>
                    <w:szCs w:val="24"/>
                  </w:rPr>
                  <w:t xml:space="preserve">Nė vienos grupės </w:t>
                </w:r>
                <w:r>
                  <w:rPr>
                    <w:rFonts w:eastAsia="Calibri"/>
                    <w:color w:val="000000"/>
                    <w:szCs w:val="24"/>
                  </w:rPr>
                  <w:t xml:space="preserve">darbuotojai </w:t>
                </w:r>
                <w:r>
                  <w:rPr>
                    <w:rFonts w:eastAsia="Calibri"/>
                    <w:szCs w:val="24"/>
                  </w:rPr>
                  <w:t>negali dirbti jūrų laive.</w:t>
                </w:r>
              </w:p>
            </w:tc>
            <w:tc>
              <w:tcPr>
                <w:tcW w:w="4252" w:type="dxa"/>
              </w:tcPr>
              <w:p>
                <w:pPr>
                  <w:spacing w:line="276" w:lineRule="auto"/>
                  <w:rPr>
                    <w:rFonts w:eastAsia="Calibri"/>
                    <w:color w:val="000000"/>
                    <w:szCs w:val="24"/>
                  </w:rPr>
                </w:pPr>
                <w:r>
                  <w:rPr>
                    <w:rFonts w:eastAsia="Calibri"/>
                    <w:color w:val="000000"/>
                    <w:szCs w:val="24"/>
                  </w:rPr>
                  <w:t>Visų profesinių grupių darbuotojai gali dirbti vidaus vandenų laive, dėl to spendžiama individualiai po gydytojo kardiologo konsultacijos.</w:t>
                </w:r>
              </w:p>
            </w:tc>
            <w:tc>
              <w:tcPr>
                <w:tcW w:w="2801" w:type="dxa"/>
              </w:tcPr>
              <w:p>
                <w:pPr>
                  <w:spacing w:line="276" w:lineRule="auto"/>
                  <w:rPr>
                    <w:rFonts w:eastAsia="Calibri"/>
                    <w:color w:val="000000"/>
                    <w:szCs w:val="24"/>
                  </w:rPr>
                </w:pPr>
                <w:r>
                  <w:rPr>
                    <w:rFonts w:eastAsia="Calibri"/>
                    <w:color w:val="000000"/>
                    <w:szCs w:val="24"/>
                  </w:rPr>
                  <w:t xml:space="preserve">Gydytojo kardiologo konsultacija kas 12 mėnesių. </w:t>
                </w:r>
              </w:p>
            </w:tc>
          </w:tr>
          <w:tr>
            <w:tc>
              <w:tcPr>
                <w:tcW w:w="816" w:type="dxa"/>
              </w:tcPr>
              <w:p>
                <w:pPr>
                  <w:spacing w:line="276" w:lineRule="auto"/>
                  <w:jc w:val="both"/>
                  <w:rPr>
                    <w:rFonts w:eastAsia="Calibri"/>
                    <w:szCs w:val="24"/>
                  </w:rPr>
                </w:pPr>
                <w:r>
                  <w:rPr>
                    <w:rFonts w:eastAsia="Calibri"/>
                    <w:szCs w:val="24"/>
                  </w:rPr>
                  <w:t>3.13.</w:t>
                </w:r>
              </w:p>
            </w:tc>
            <w:tc>
              <w:tcPr>
                <w:tcW w:w="2977" w:type="dxa"/>
              </w:tcPr>
              <w:p>
                <w:pPr>
                  <w:spacing w:line="276" w:lineRule="auto"/>
                  <w:rPr>
                    <w:rFonts w:eastAsia="Calibri"/>
                    <w:szCs w:val="24"/>
                  </w:rPr>
                </w:pPr>
                <w:r>
                  <w:rPr>
                    <w:rFonts w:eastAsia="Calibri"/>
                    <w:szCs w:val="24"/>
                  </w:rPr>
                  <w:t xml:space="preserve">Širdies vožtuvo protezas, </w:t>
                </w:r>
              </w:p>
              <w:p>
                <w:pPr>
                  <w:spacing w:line="276" w:lineRule="auto"/>
                  <w:rPr>
                    <w:rFonts w:eastAsia="Calibri"/>
                    <w:szCs w:val="24"/>
                  </w:rPr>
                </w:pPr>
                <w:r>
                  <w:rPr>
                    <w:rFonts w:eastAsia="Calibri"/>
                    <w:szCs w:val="24"/>
                  </w:rPr>
                  <w:t xml:space="preserve">Z95.2 </w:t>
                </w:r>
              </w:p>
            </w:tc>
            <w:tc>
              <w:tcPr>
                <w:tcW w:w="4110" w:type="dxa"/>
              </w:tcPr>
              <w:p>
                <w:pPr>
                  <w:spacing w:line="276" w:lineRule="auto"/>
                  <w:rPr>
                    <w:rFonts w:eastAsia="Calibri"/>
                    <w:color w:val="000000"/>
                    <w:szCs w:val="24"/>
                  </w:rPr>
                </w:pPr>
                <w:r>
                  <w:rPr>
                    <w:rFonts w:eastAsia="Calibri"/>
                    <w:szCs w:val="24"/>
                  </w:rPr>
                  <w:t>Nė vienos profesinės grupės darbuotojai</w:t>
                </w:r>
                <w:r>
                  <w:rPr>
                    <w:rFonts w:eastAsia="Calibri"/>
                    <w:color w:val="000000"/>
                    <w:szCs w:val="24"/>
                  </w:rPr>
                  <w:t>, kuriems implantuotas širdies vožtuvo mechaninis protezas</w:t>
                </w:r>
                <w:r>
                  <w:rPr>
                    <w:rFonts w:eastAsia="Calibri"/>
                    <w:szCs w:val="24"/>
                  </w:rPr>
                  <w:t>, negali dirbti jūrų laive.</w:t>
                </w:r>
              </w:p>
            </w:tc>
            <w:tc>
              <w:tcPr>
                <w:tcW w:w="4252" w:type="dxa"/>
              </w:tcPr>
              <w:p>
                <w:pPr>
                  <w:spacing w:line="276" w:lineRule="auto"/>
                  <w:rPr>
                    <w:rFonts w:eastAsia="Calibri"/>
                    <w:color w:val="000000"/>
                    <w:szCs w:val="24"/>
                  </w:rPr>
                </w:pPr>
                <w:r>
                  <w:rPr>
                    <w:rFonts w:eastAsia="Calibri"/>
                    <w:szCs w:val="24"/>
                  </w:rPr>
                  <w:t xml:space="preserve">Visų profesinių grupių darbuotojai </w:t>
                </w:r>
                <w:r>
                  <w:rPr>
                    <w:rFonts w:eastAsia="Calibri"/>
                    <w:color w:val="000000"/>
                    <w:szCs w:val="24"/>
                  </w:rPr>
                  <w:t xml:space="preserve">gali dirbti vidaus vandenų laive, dėl to </w:t>
                </w:r>
                <w:r>
                  <w:rPr>
                    <w:rFonts w:eastAsia="Calibri"/>
                    <w:szCs w:val="24"/>
                  </w:rPr>
                  <w:t xml:space="preserve">sprendžiama </w:t>
                </w:r>
                <w:r>
                  <w:rPr>
                    <w:rFonts w:eastAsia="Calibri"/>
                    <w:color w:val="000000"/>
                    <w:szCs w:val="24"/>
                  </w:rPr>
                  <w:t>individualiai, praėjus 6 mėnesiams po operacinio gydymo, po gydytojo kardiologo konsultacijos.</w:t>
                </w:r>
              </w:p>
            </w:tc>
            <w:tc>
              <w:tcPr>
                <w:tcW w:w="2801" w:type="dxa"/>
              </w:tcPr>
              <w:p>
                <w:pPr>
                  <w:spacing w:line="276" w:lineRule="auto"/>
                  <w:rPr>
                    <w:rFonts w:eastAsia="Calibri"/>
                    <w:szCs w:val="24"/>
                  </w:rPr>
                </w:pPr>
                <w:r>
                  <w:rPr>
                    <w:rFonts w:eastAsia="Calibri"/>
                    <w:color w:val="000000"/>
                    <w:szCs w:val="24"/>
                  </w:rPr>
                  <w:t xml:space="preserve">Jeigu implantuotas </w:t>
                </w:r>
                <w:r>
                  <w:rPr>
                    <w:rFonts w:eastAsia="Calibri"/>
                    <w:szCs w:val="24"/>
                  </w:rPr>
                  <w:t xml:space="preserve"> </w:t>
                </w:r>
                <w:r>
                  <w:rPr>
                    <w:rFonts w:eastAsia="Calibri"/>
                    <w:color w:val="000000"/>
                    <w:szCs w:val="24"/>
                  </w:rPr>
                  <w:t>biologinis protezas arba atlikta vožtuvų plastikos operacija, jūrų laive galima dirbti ne anksčiau kaip praėjus 6 mėnesiams po operacijos, po gydytojo kardiologo konsultacijos.</w:t>
                </w:r>
              </w:p>
            </w:tc>
          </w:tr>
          <w:tr>
            <w:tc>
              <w:tcPr>
                <w:tcW w:w="816" w:type="dxa"/>
              </w:tcPr>
              <w:p>
                <w:pPr>
                  <w:spacing w:line="276" w:lineRule="auto"/>
                  <w:jc w:val="both"/>
                  <w:rPr>
                    <w:rFonts w:eastAsia="Calibri"/>
                    <w:szCs w:val="24"/>
                  </w:rPr>
                </w:pPr>
                <w:r>
                  <w:rPr>
                    <w:rFonts w:eastAsia="Calibri"/>
                    <w:szCs w:val="24"/>
                  </w:rPr>
                  <w:t>3.14.</w:t>
                </w:r>
              </w:p>
            </w:tc>
            <w:tc>
              <w:tcPr>
                <w:tcW w:w="2977" w:type="dxa"/>
              </w:tcPr>
              <w:p>
                <w:pPr>
                  <w:spacing w:line="276" w:lineRule="auto"/>
                  <w:rPr>
                    <w:rFonts w:eastAsia="Calibri"/>
                    <w:szCs w:val="24"/>
                  </w:rPr>
                </w:pPr>
                <w:r>
                  <w:rPr>
                    <w:rFonts w:eastAsia="Calibri"/>
                    <w:szCs w:val="24"/>
                  </w:rPr>
                  <w:t>Koronarinis angioplastinis implantatas ar transplantatas, Z95.5</w:t>
                </w:r>
              </w:p>
            </w:tc>
            <w:tc>
              <w:tcPr>
                <w:tcW w:w="4110" w:type="dxa"/>
              </w:tcPr>
              <w:p>
                <w:pPr>
                  <w:spacing w:line="276" w:lineRule="auto"/>
                  <w:rPr>
                    <w:rFonts w:eastAsia="Calibri"/>
                    <w:color w:val="000000"/>
                    <w:szCs w:val="24"/>
                  </w:rPr>
                </w:pPr>
                <w:r>
                  <w:rPr>
                    <w:rFonts w:eastAsia="Calibri"/>
                    <w:color w:val="000000"/>
                    <w:szCs w:val="24"/>
                  </w:rPr>
                  <w:t>Dėl galimybės dirbti jūrų laive sprendžiama individualiai, praėjus 4 mėnesiams nuo stentavimo procedūros, po gydytojo kardiologo konsultacijos.</w:t>
                </w:r>
              </w:p>
            </w:tc>
            <w:tc>
              <w:tcPr>
                <w:tcW w:w="4252" w:type="dxa"/>
              </w:tcPr>
              <w:p>
                <w:pPr>
                  <w:spacing w:line="276" w:lineRule="auto"/>
                  <w:rPr>
                    <w:rFonts w:eastAsia="Calibri"/>
                    <w:color w:val="000000"/>
                    <w:szCs w:val="24"/>
                  </w:rPr>
                </w:pPr>
                <w:r>
                  <w:rPr>
                    <w:rFonts w:eastAsia="Calibri"/>
                    <w:szCs w:val="24"/>
                  </w:rPr>
                  <w:t xml:space="preserve">Dėl galimybės dirbti </w:t>
                </w:r>
                <w:r>
                  <w:rPr>
                    <w:rFonts w:eastAsia="Calibri"/>
                    <w:color w:val="000000"/>
                    <w:szCs w:val="24"/>
                  </w:rPr>
                  <w:t>vidaus vandenų laive sprendžiama individualiai, praėjus 2 mėnesiams nuo stentavimo procedūros, po gydytojo</w:t>
                </w:r>
                <w:r>
                  <w:rPr>
                    <w:rFonts w:eastAsia="Calibri"/>
                    <w:szCs w:val="24"/>
                  </w:rPr>
                  <w:t xml:space="preserve"> kardiologo konsultacijos.</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3.15.</w:t>
                </w:r>
              </w:p>
            </w:tc>
            <w:tc>
              <w:tcPr>
                <w:tcW w:w="2977" w:type="dxa"/>
              </w:tcPr>
              <w:p>
                <w:pPr>
                  <w:spacing w:line="276" w:lineRule="auto"/>
                  <w:rPr>
                    <w:rFonts w:eastAsia="Calibri"/>
                    <w:szCs w:val="24"/>
                  </w:rPr>
                </w:pPr>
                <w:r>
                  <w:rPr>
                    <w:rFonts w:eastAsia="Calibri"/>
                    <w:szCs w:val="24"/>
                  </w:rPr>
                  <w:t xml:space="preserve">Kitas širdies ar kraujagyslių (krūtinės aortos)  implantatas ar transplantatas, Z95.8</w:t>
                </w:r>
              </w:p>
            </w:tc>
            <w:tc>
              <w:tcPr>
                <w:tcW w:w="4110" w:type="dxa"/>
              </w:tcPr>
              <w:p>
                <w:pPr>
                  <w:spacing w:line="276" w:lineRule="auto"/>
                  <w:rPr>
                    <w:rFonts w:eastAsia="Calibri"/>
                    <w:szCs w:val="24"/>
                  </w:rPr>
                </w:pPr>
                <w:r>
                  <w:rPr>
                    <w:rFonts w:eastAsia="Calibri"/>
                    <w:color w:val="000000"/>
                    <w:szCs w:val="24"/>
                  </w:rPr>
                  <w:t>Dėl galimybės dirbti jūrų laive spendžiama individualiai, praėjus 6 mėnesiams po operacinio gydymo, po gydytojo kardiologo konsultacijos.</w:t>
                </w:r>
              </w:p>
            </w:tc>
            <w:tc>
              <w:tcPr>
                <w:tcW w:w="4252" w:type="dxa"/>
              </w:tcPr>
              <w:p>
                <w:pPr>
                  <w:spacing w:line="276" w:lineRule="auto"/>
                  <w:rPr>
                    <w:rFonts w:eastAsia="Calibri"/>
                    <w:szCs w:val="24"/>
                  </w:rPr>
                </w:pPr>
                <w:r>
                  <w:rPr>
                    <w:rFonts w:eastAsia="Calibri"/>
                    <w:color w:val="000000"/>
                    <w:szCs w:val="24"/>
                  </w:rPr>
                  <w:t>Dėl galimybės dirbti vidaus vandenų laive sprendžiama individualiai, praėjus 6 mėnesiams po operacijos, po gydytojo kardiologo konsultacijos.</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3.16.</w:t>
                </w:r>
              </w:p>
            </w:tc>
            <w:tc>
              <w:tcPr>
                <w:tcW w:w="2977" w:type="dxa"/>
              </w:tcPr>
              <w:p>
                <w:pPr>
                  <w:spacing w:line="276" w:lineRule="auto"/>
                  <w:rPr>
                    <w:rFonts w:eastAsia="Calibri"/>
                    <w:szCs w:val="24"/>
                  </w:rPr>
                </w:pPr>
                <w:r>
                  <w:rPr>
                    <w:rFonts w:eastAsia="Calibri"/>
                    <w:szCs w:val="24"/>
                  </w:rPr>
                  <w:t xml:space="preserve">Antikoagulianto  Warfarinum vartojimas</w:t>
                </w:r>
              </w:p>
            </w:tc>
            <w:tc>
              <w:tcPr>
                <w:tcW w:w="4110" w:type="dxa"/>
              </w:tcPr>
              <w:p>
                <w:pPr>
                  <w:spacing w:line="276" w:lineRule="auto"/>
                  <w:rPr>
                    <w:rFonts w:eastAsia="Calibri"/>
                    <w:szCs w:val="24"/>
                  </w:rPr>
                </w:pPr>
                <w:r>
                  <w:rPr>
                    <w:rFonts w:eastAsia="Calibri"/>
                    <w:szCs w:val="24"/>
                  </w:rPr>
                  <w:t>Nė vienos profesinės grupės darbuotojai negali dirbti jūrų laive.</w:t>
                </w:r>
              </w:p>
            </w:tc>
            <w:tc>
              <w:tcPr>
                <w:tcW w:w="4252" w:type="dxa"/>
              </w:tcPr>
              <w:p>
                <w:pPr>
                  <w:spacing w:line="276" w:lineRule="auto"/>
                  <w:rPr>
                    <w:rFonts w:eastAsia="Calibri"/>
                    <w:szCs w:val="24"/>
                  </w:rPr>
                </w:pPr>
                <w:r>
                  <w:rPr>
                    <w:rFonts w:eastAsia="Calibri"/>
                    <w:szCs w:val="24"/>
                  </w:rPr>
                  <w:t>Visų profesinių grupių darbuotojai gali dirbti vidaus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b/>
                    <w:szCs w:val="24"/>
                  </w:rPr>
                </w:pPr>
                <w:r>
                  <w:rPr>
                    <w:rFonts w:eastAsia="Calibri"/>
                    <w:b/>
                    <w:szCs w:val="24"/>
                  </w:rPr>
                  <w:t>4.</w:t>
                </w:r>
              </w:p>
            </w:tc>
            <w:tc>
              <w:tcPr>
                <w:tcW w:w="14140" w:type="dxa"/>
                <w:gridSpan w:val="4"/>
              </w:tcPr>
              <w:p>
                <w:pPr>
                  <w:spacing w:line="276" w:lineRule="auto"/>
                  <w:jc w:val="center"/>
                  <w:rPr>
                    <w:rFonts w:eastAsia="Calibri"/>
                    <w:szCs w:val="24"/>
                  </w:rPr>
                </w:pPr>
                <w:r>
                  <w:rPr>
                    <w:rFonts w:eastAsia="Calibri"/>
                    <w:b/>
                    <w:szCs w:val="24"/>
                  </w:rPr>
                  <w:t>KVĖPAVIMO SIS</w:t>
                </w:r>
                <w:r>
                  <w:rPr>
                    <w:rFonts w:eastAsia="Calibri"/>
                    <w:b/>
                    <w:color w:val="000000"/>
                    <w:szCs w:val="24"/>
                  </w:rPr>
                  <w:t>TEMOS LIGOS</w:t>
                </w:r>
              </w:p>
            </w:tc>
          </w:tr>
          <w:tr>
            <w:tc>
              <w:tcPr>
                <w:tcW w:w="816" w:type="dxa"/>
              </w:tcPr>
              <w:p>
                <w:pPr>
                  <w:spacing w:line="276" w:lineRule="auto"/>
                  <w:jc w:val="both"/>
                  <w:rPr>
                    <w:rFonts w:eastAsia="Calibri"/>
                    <w:szCs w:val="24"/>
                  </w:rPr>
                </w:pPr>
                <w:r>
                  <w:rPr>
                    <w:rFonts w:eastAsia="Calibri"/>
                    <w:szCs w:val="24"/>
                  </w:rPr>
                  <w:t>4.1.</w:t>
                </w:r>
              </w:p>
            </w:tc>
            <w:tc>
              <w:tcPr>
                <w:tcW w:w="2977" w:type="dxa"/>
              </w:tcPr>
              <w:p>
                <w:pPr>
                  <w:spacing w:line="276" w:lineRule="auto"/>
                  <w:rPr>
                    <w:rFonts w:eastAsia="Calibri"/>
                    <w:color w:val="000000"/>
                    <w:szCs w:val="24"/>
                  </w:rPr>
                </w:pPr>
                <w:r>
                  <w:rPr>
                    <w:rFonts w:eastAsia="Calibri"/>
                    <w:szCs w:val="24"/>
                  </w:rPr>
                  <w:t>Kvėpavimo organų tuberkuliozė,</w:t>
                </w:r>
                <w:r>
                  <w:rPr>
                    <w:rFonts w:eastAsia="Calibri"/>
                    <w:color w:val="000000"/>
                    <w:szCs w:val="24"/>
                  </w:rPr>
                  <w:t xml:space="preserve"> A16</w:t>
                </w:r>
              </w:p>
              <w:p>
                <w:pPr>
                  <w:spacing w:line="276" w:lineRule="auto"/>
                  <w:rPr>
                    <w:rFonts w:eastAsia="Calibri"/>
                    <w:szCs w:val="24"/>
                  </w:rPr>
                </w:pP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color w:val="000000"/>
                    <w:szCs w:val="24"/>
                  </w:rPr>
                </w:pPr>
                <w:r>
                  <w:rPr>
                    <w:rFonts w:eastAsia="Calibri"/>
                    <w:szCs w:val="24"/>
                  </w:rPr>
                  <w:t xml:space="preserve">Esant neaktyviai tuberkuliozės formai, visų profesinių grupių </w:t>
                </w:r>
                <w:r>
                  <w:rPr>
                    <w:rFonts w:eastAsia="Calibri"/>
                    <w:color w:val="000000"/>
                    <w:szCs w:val="24"/>
                  </w:rPr>
                  <w:t>darbuotojai gali dirbti jūrų ir vidaus vandenų laivuose.</w:t>
                </w:r>
              </w:p>
              <w:p>
                <w:pPr>
                  <w:spacing w:line="276" w:lineRule="auto"/>
                  <w:rPr>
                    <w:rFonts w:eastAsia="Calibri"/>
                    <w:szCs w:val="24"/>
                  </w:rPr>
                </w:pPr>
                <w:r>
                  <w:rPr>
                    <w:rFonts w:eastAsia="Calibri"/>
                    <w:color w:val="000000"/>
                    <w:szCs w:val="24"/>
                  </w:rPr>
                  <w:t>Gydytojo pulmonologo konsultacija – kas 12 mėnesių.</w:t>
                </w:r>
              </w:p>
            </w:tc>
          </w:tr>
          <w:tr>
            <w:tc>
              <w:tcPr>
                <w:tcW w:w="816" w:type="dxa"/>
              </w:tcPr>
              <w:p>
                <w:pPr>
                  <w:spacing w:line="276" w:lineRule="auto"/>
                  <w:jc w:val="both"/>
                  <w:rPr>
                    <w:rFonts w:eastAsia="Calibri"/>
                    <w:szCs w:val="24"/>
                  </w:rPr>
                </w:pPr>
                <w:r>
                  <w:rPr>
                    <w:rFonts w:eastAsia="Calibri"/>
                    <w:szCs w:val="24"/>
                  </w:rPr>
                  <w:t>4.2.</w:t>
                </w:r>
              </w:p>
            </w:tc>
            <w:tc>
              <w:tcPr>
                <w:tcW w:w="2977" w:type="dxa"/>
              </w:tcPr>
              <w:p>
                <w:pPr>
                  <w:spacing w:line="276" w:lineRule="auto"/>
                  <w:rPr>
                    <w:rFonts w:eastAsia="Calibri"/>
                    <w:szCs w:val="24"/>
                  </w:rPr>
                </w:pPr>
                <w:r>
                  <w:rPr>
                    <w:rFonts w:eastAsia="Calibri"/>
                    <w:szCs w:val="24"/>
                  </w:rPr>
                  <w:t>Ūminės viršutinių kvėpavimo takų infekcijos, J00–J06</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szCs w:val="24"/>
                  </w:rPr>
                  <w:t xml:space="preserve">Kol tiriama, nustatoma liga ir gydoma, asmenys negali dirbti laive. Pabaigus gydymą, nesikartojant jokiems ligos požymiams, asmenys gali dirbti jūrų ir vidaus vandenų laivuose. </w:t>
                </w:r>
              </w:p>
            </w:tc>
          </w:tr>
          <w:tr>
            <w:tc>
              <w:tcPr>
                <w:tcW w:w="816" w:type="dxa"/>
              </w:tcPr>
              <w:p>
                <w:pPr>
                  <w:spacing w:line="276" w:lineRule="auto"/>
                  <w:jc w:val="both"/>
                  <w:rPr>
                    <w:rFonts w:eastAsia="Calibri"/>
                    <w:szCs w:val="24"/>
                  </w:rPr>
                </w:pPr>
                <w:r>
                  <w:rPr>
                    <w:rFonts w:eastAsia="Calibri"/>
                    <w:szCs w:val="24"/>
                  </w:rPr>
                  <w:t>4.3.</w:t>
                </w:r>
              </w:p>
            </w:tc>
            <w:tc>
              <w:tcPr>
                <w:tcW w:w="2977" w:type="dxa"/>
              </w:tcPr>
              <w:p>
                <w:pPr>
                  <w:spacing w:line="276" w:lineRule="auto"/>
                  <w:rPr>
                    <w:rFonts w:eastAsia="Calibri"/>
                    <w:szCs w:val="24"/>
                  </w:rPr>
                </w:pPr>
                <w:r>
                  <w:rPr>
                    <w:rFonts w:eastAsia="Calibri"/>
                    <w:szCs w:val="24"/>
                  </w:rPr>
                  <w:t xml:space="preserve">Lėtinės apatinių kvėpavimo takų ligos, J40–J47, išskyrus astmą </w:t>
                </w:r>
              </w:p>
              <w:p>
                <w:pPr>
                  <w:spacing w:line="276" w:lineRule="auto"/>
                  <w:rPr>
                    <w:rFonts w:eastAsia="Calibri"/>
                    <w:szCs w:val="24"/>
                  </w:rPr>
                </w:pP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color w:val="000000"/>
                    <w:szCs w:val="24"/>
                  </w:rPr>
                </w:pPr>
                <w:r>
                  <w:rPr>
                    <w:rFonts w:eastAsia="Calibri"/>
                    <w:color w:val="000000"/>
                    <w:szCs w:val="24"/>
                  </w:rPr>
                  <w:t>Dėl tinkamumo dirbti jūrų ir vidaus vandenų laivuose sprendžiama individualiai.</w:t>
                </w:r>
              </w:p>
              <w:p>
                <w:pPr>
                  <w:spacing w:line="276" w:lineRule="auto"/>
                  <w:rPr>
                    <w:rFonts w:eastAsia="Calibri"/>
                    <w:color w:val="000000"/>
                    <w:szCs w:val="24"/>
                  </w:rPr>
                </w:pPr>
                <w:r>
                  <w:rPr>
                    <w:rFonts w:eastAsia="Calibri"/>
                    <w:color w:val="000000"/>
                    <w:szCs w:val="24"/>
                  </w:rPr>
                  <w:t>Gydytojo pulmonologo konsultacija – kas 12 mėnesių.</w:t>
                </w:r>
              </w:p>
            </w:tc>
          </w:tr>
          <w:tr>
            <w:tc>
              <w:tcPr>
                <w:tcW w:w="816" w:type="dxa"/>
              </w:tcPr>
              <w:p>
                <w:pPr>
                  <w:spacing w:line="276" w:lineRule="auto"/>
                  <w:jc w:val="both"/>
                  <w:rPr>
                    <w:rFonts w:eastAsia="Calibri"/>
                    <w:szCs w:val="24"/>
                  </w:rPr>
                </w:pPr>
                <w:r>
                  <w:rPr>
                    <w:rFonts w:eastAsia="Calibri"/>
                    <w:szCs w:val="24"/>
                  </w:rPr>
                  <w:t>4.4.</w:t>
                </w:r>
              </w:p>
            </w:tc>
            <w:tc>
              <w:tcPr>
                <w:tcW w:w="2977" w:type="dxa"/>
              </w:tcPr>
              <w:p>
                <w:pPr>
                  <w:spacing w:line="276" w:lineRule="auto"/>
                  <w:rPr>
                    <w:rFonts w:eastAsia="Calibri"/>
                    <w:szCs w:val="24"/>
                  </w:rPr>
                </w:pPr>
                <w:r>
                  <w:rPr>
                    <w:rFonts w:eastAsia="Calibri"/>
                    <w:szCs w:val="24"/>
                  </w:rPr>
                  <w:t>Astma, J45</w:t>
                </w:r>
              </w:p>
              <w:p>
                <w:pPr>
                  <w:spacing w:line="276" w:lineRule="auto"/>
                  <w:rPr>
                    <w:rFonts w:eastAsia="Calibri"/>
                    <w:szCs w:val="24"/>
                  </w:rPr>
                </w:pPr>
              </w:p>
            </w:tc>
            <w:tc>
              <w:tcPr>
                <w:tcW w:w="4110" w:type="dxa"/>
              </w:tcPr>
              <w:p>
                <w:pPr>
                  <w:spacing w:line="276" w:lineRule="auto"/>
                  <w:jc w:val="both"/>
                  <w:rPr>
                    <w:rFonts w:eastAsia="Calibri"/>
                    <w:szCs w:val="24"/>
                  </w:rPr>
                </w:pPr>
                <w:r>
                  <w:rPr>
                    <w:rFonts w:eastAsia="Calibri"/>
                    <w:szCs w:val="24"/>
                  </w:rPr>
                  <w:t>Nė vienos profesinės grupės darbuotojai, sergantys sunkios formos astma, negali dirbti jūrų laive.</w:t>
                </w:r>
              </w:p>
            </w:tc>
            <w:tc>
              <w:tcPr>
                <w:tcW w:w="4252" w:type="dxa"/>
              </w:tcPr>
              <w:p>
                <w:pPr>
                  <w:spacing w:line="276" w:lineRule="auto"/>
                  <w:jc w:val="both"/>
                  <w:rPr>
                    <w:rFonts w:eastAsia="Calibri"/>
                    <w:szCs w:val="24"/>
                  </w:rPr>
                </w:pPr>
                <w:r>
                  <w:rPr>
                    <w:rFonts w:eastAsia="Calibri"/>
                    <w:szCs w:val="24"/>
                  </w:rPr>
                  <w:t>Nė vienos profesinės grupės darbuotojai</w:t>
                </w:r>
                <w:r>
                  <w:rPr>
                    <w:rFonts w:eastAsia="Calibri"/>
                    <w:color w:val="000000"/>
                    <w:szCs w:val="24"/>
                  </w:rPr>
                  <w:t>,</w:t>
                </w:r>
                <w:r>
                  <w:rPr>
                    <w:rFonts w:eastAsia="Calibri"/>
                    <w:szCs w:val="24"/>
                  </w:rPr>
                  <w:t xml:space="preserve"> sergantys sunkios formos astma, negali dirbti vidaus vandenų laive.</w:t>
                </w:r>
              </w:p>
            </w:tc>
            <w:tc>
              <w:tcPr>
                <w:tcW w:w="2801" w:type="dxa"/>
              </w:tcPr>
              <w:p>
                <w:pPr>
                  <w:spacing w:line="276" w:lineRule="auto"/>
                  <w:rPr>
                    <w:rFonts w:eastAsia="Calibri"/>
                    <w:szCs w:val="24"/>
                  </w:rPr>
                </w:pPr>
                <w:r>
                  <w:rPr>
                    <w:rFonts w:eastAsia="Calibri"/>
                    <w:szCs w:val="24"/>
                  </w:rPr>
                  <w:t>Visų profesinių grupių darbuotojai</w:t>
                </w:r>
                <w:r>
                  <w:rPr>
                    <w:rFonts w:eastAsia="Calibri"/>
                    <w:color w:val="000000"/>
                    <w:szCs w:val="24"/>
                  </w:rPr>
                  <w:t>, sergantys</w:t>
                </w:r>
                <w:r>
                  <w:rPr>
                    <w:rFonts w:eastAsia="Calibri"/>
                    <w:szCs w:val="24"/>
                  </w:rPr>
                  <w:t xml:space="preserve"> lengvos ir vidutinės formos astma, gali dirbti jūrų ir vidaus vandenų laivuose. </w:t>
                </w:r>
              </w:p>
              <w:p>
                <w:pPr>
                  <w:spacing w:line="276" w:lineRule="auto"/>
                  <w:rPr>
                    <w:rFonts w:eastAsia="Calibri"/>
                    <w:szCs w:val="24"/>
                  </w:rPr>
                </w:pPr>
                <w:r>
                  <w:rPr>
                    <w:rFonts w:eastAsia="Calibri"/>
                    <w:color w:val="000000"/>
                    <w:szCs w:val="24"/>
                  </w:rPr>
                  <w:t>Gydytojo pulmonologo konsultacija – kas 12 mėnesių.</w:t>
                </w:r>
              </w:p>
            </w:tc>
          </w:tr>
          <w:tr>
            <w:tc>
              <w:tcPr>
                <w:tcW w:w="816" w:type="dxa"/>
              </w:tcPr>
              <w:p>
                <w:pPr>
                  <w:spacing w:line="276" w:lineRule="auto"/>
                  <w:jc w:val="both"/>
                  <w:rPr>
                    <w:rFonts w:eastAsia="Calibri"/>
                    <w:szCs w:val="24"/>
                  </w:rPr>
                </w:pPr>
                <w:r>
                  <w:rPr>
                    <w:rFonts w:eastAsia="Calibri"/>
                    <w:szCs w:val="24"/>
                  </w:rPr>
                  <w:t>4.5.</w:t>
                </w:r>
              </w:p>
            </w:tc>
            <w:tc>
              <w:tcPr>
                <w:tcW w:w="2977" w:type="dxa"/>
              </w:tcPr>
              <w:p>
                <w:pPr>
                  <w:spacing w:line="276" w:lineRule="auto"/>
                  <w:rPr>
                    <w:rFonts w:eastAsia="Calibri"/>
                    <w:szCs w:val="24"/>
                  </w:rPr>
                </w:pPr>
                <w:r>
                  <w:rPr>
                    <w:rFonts w:eastAsia="Calibri"/>
                    <w:szCs w:val="24"/>
                  </w:rPr>
                  <w:t>Bronchektazės, J47</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color w:val="000000"/>
                    <w:szCs w:val="24"/>
                  </w:rPr>
                </w:pPr>
                <w:r>
                  <w:rPr>
                    <w:rFonts w:eastAsia="Calibri"/>
                    <w:color w:val="000000"/>
                    <w:szCs w:val="24"/>
                  </w:rPr>
                  <w:t>Dėl tinkamumo dirbti jūrų ir vidaus vandenų laivuose spendžiama individualiai.</w:t>
                </w:r>
              </w:p>
              <w:p>
                <w:pPr>
                  <w:spacing w:line="276" w:lineRule="auto"/>
                  <w:rPr>
                    <w:rFonts w:eastAsia="Calibri"/>
                    <w:szCs w:val="24"/>
                  </w:rPr>
                </w:pPr>
                <w:r>
                  <w:rPr>
                    <w:rFonts w:eastAsia="Calibri"/>
                    <w:color w:val="000000"/>
                    <w:szCs w:val="24"/>
                  </w:rPr>
                  <w:t>Gydytojo pulmonologo konsultacija – kas 12 mėnesių.</w:t>
                </w:r>
              </w:p>
            </w:tc>
          </w:tr>
          <w:tr>
            <w:tc>
              <w:tcPr>
                <w:tcW w:w="816" w:type="dxa"/>
              </w:tcPr>
              <w:p>
                <w:pPr>
                  <w:spacing w:line="276" w:lineRule="auto"/>
                  <w:jc w:val="both"/>
                  <w:rPr>
                    <w:rFonts w:eastAsia="Calibri"/>
                    <w:szCs w:val="24"/>
                  </w:rPr>
                </w:pPr>
                <w:r>
                  <w:rPr>
                    <w:rFonts w:eastAsia="Calibri"/>
                    <w:szCs w:val="24"/>
                  </w:rPr>
                  <w:t>4.6.</w:t>
                </w:r>
              </w:p>
            </w:tc>
            <w:tc>
              <w:tcPr>
                <w:tcW w:w="2977" w:type="dxa"/>
              </w:tcPr>
              <w:p>
                <w:pPr>
                  <w:spacing w:line="276" w:lineRule="auto"/>
                  <w:rPr>
                    <w:rFonts w:eastAsia="Calibri"/>
                    <w:color w:val="000000"/>
                    <w:szCs w:val="24"/>
                  </w:rPr>
                </w:pPr>
                <w:r>
                  <w:rPr>
                    <w:rFonts w:eastAsia="Calibri"/>
                    <w:color w:val="000000"/>
                    <w:szCs w:val="24"/>
                  </w:rPr>
                  <w:t>Išorinių veiksnių sukeltos plaučių ligos, J60–J70</w:t>
                </w:r>
              </w:p>
              <w:p>
                <w:pPr>
                  <w:spacing w:line="276" w:lineRule="auto"/>
                  <w:rPr>
                    <w:rFonts w:eastAsia="Calibri"/>
                    <w:color w:val="000000"/>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color w:val="000000"/>
                    <w:szCs w:val="24"/>
                  </w:rPr>
                </w:pPr>
                <w:r>
                  <w:rPr>
                    <w:rFonts w:eastAsia="Calibri"/>
                    <w:color w:val="000000"/>
                    <w:szCs w:val="24"/>
                  </w:rPr>
                  <w:t>Dėl tinkamumo dirbti jūrų ir vidaus vandenų laivuose sprendžiama individualiai.</w:t>
                </w:r>
              </w:p>
              <w:p>
                <w:pPr>
                  <w:spacing w:line="276" w:lineRule="auto"/>
                  <w:rPr>
                    <w:rFonts w:eastAsia="Calibri"/>
                    <w:szCs w:val="24"/>
                  </w:rPr>
                </w:pPr>
                <w:r>
                  <w:rPr>
                    <w:rFonts w:eastAsia="Calibri"/>
                    <w:color w:val="000000"/>
                    <w:szCs w:val="24"/>
                  </w:rPr>
                  <w:t>Gydytojo pulmonologo konsultacija – kas 12 mėnesių.</w:t>
                </w:r>
              </w:p>
            </w:tc>
          </w:tr>
          <w:tr>
            <w:tc>
              <w:tcPr>
                <w:tcW w:w="816" w:type="dxa"/>
              </w:tcPr>
              <w:p>
                <w:pPr>
                  <w:spacing w:line="276" w:lineRule="auto"/>
                  <w:jc w:val="both"/>
                  <w:rPr>
                    <w:rFonts w:eastAsia="Calibri"/>
                    <w:szCs w:val="24"/>
                  </w:rPr>
                </w:pPr>
                <w:r>
                  <w:rPr>
                    <w:rFonts w:eastAsia="Calibri"/>
                    <w:szCs w:val="24"/>
                  </w:rPr>
                  <w:t>4.7.</w:t>
                </w:r>
              </w:p>
            </w:tc>
            <w:tc>
              <w:tcPr>
                <w:tcW w:w="2977" w:type="dxa"/>
              </w:tcPr>
              <w:p>
                <w:pPr>
                  <w:spacing w:line="276" w:lineRule="auto"/>
                  <w:rPr>
                    <w:rFonts w:eastAsia="Calibri"/>
                    <w:szCs w:val="24"/>
                  </w:rPr>
                </w:pPr>
                <w:r>
                  <w:rPr>
                    <w:rFonts w:eastAsia="Calibri"/>
                    <w:color w:val="000000"/>
                    <w:szCs w:val="24"/>
                  </w:rPr>
                  <w:t>Pneumotoraksas, J93</w:t>
                </w:r>
                <w:r>
                  <w:rPr>
                    <w:rFonts w:eastAsia="Calibri"/>
                    <w:szCs w:val="24"/>
                  </w:rPr>
                  <w:t xml:space="preserve"> </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color w:val="000000"/>
                    <w:szCs w:val="24"/>
                  </w:rPr>
                  <w:t>Dėl tinkamumo dirbti jūrų ir vidaus vandenų laivuose sprendžiama individualiai, praėjus 12 mėn. po diagnozuoto pneumotorakso. Gydytojo pulmonologo konsultacija – kas 12 mėnesių.</w:t>
                </w:r>
              </w:p>
            </w:tc>
          </w:tr>
          <w:tr>
            <w:tc>
              <w:tcPr>
                <w:tcW w:w="816" w:type="dxa"/>
              </w:tcPr>
              <w:p>
                <w:pPr>
                  <w:spacing w:line="276" w:lineRule="auto"/>
                  <w:jc w:val="both"/>
                  <w:rPr>
                    <w:rFonts w:eastAsia="Calibri"/>
                    <w:szCs w:val="24"/>
                  </w:rPr>
                </w:pPr>
                <w:r>
                  <w:rPr>
                    <w:rFonts w:eastAsia="Calibri"/>
                    <w:szCs w:val="24"/>
                  </w:rPr>
                  <w:t>4.8.</w:t>
                </w:r>
              </w:p>
            </w:tc>
            <w:tc>
              <w:tcPr>
                <w:tcW w:w="2977" w:type="dxa"/>
              </w:tcPr>
              <w:p>
                <w:pPr>
                  <w:spacing w:line="276" w:lineRule="auto"/>
                  <w:rPr>
                    <w:rFonts w:eastAsia="Calibri"/>
                    <w:szCs w:val="24"/>
                  </w:rPr>
                </w:pPr>
                <w:r>
                  <w:rPr>
                    <w:rFonts w:eastAsia="Calibri"/>
                    <w:szCs w:val="24"/>
                  </w:rPr>
                  <w:t>Įgytas plaučio nebuvimas, Z90.2</w:t>
                </w:r>
              </w:p>
              <w:p>
                <w:pPr>
                  <w:spacing w:line="276" w:lineRule="auto"/>
                  <w:rPr>
                    <w:rFonts w:eastAsia="Calibri"/>
                    <w:szCs w:val="24"/>
                  </w:rPr>
                </w:pPr>
              </w:p>
            </w:tc>
            <w:tc>
              <w:tcPr>
                <w:tcW w:w="4110" w:type="dxa"/>
              </w:tcPr>
              <w:p>
                <w:pPr>
                  <w:spacing w:line="276" w:lineRule="auto"/>
                  <w:jc w:val="both"/>
                  <w:rPr>
                    <w:rFonts w:eastAsia="Calibri"/>
                    <w:szCs w:val="24"/>
                  </w:rPr>
                </w:pPr>
                <w:r>
                  <w:rPr>
                    <w:rFonts w:eastAsia="Calibri"/>
                    <w:szCs w:val="24"/>
                  </w:rPr>
                  <w:t>Nė vienos profesinės grupės darbuotojai negali dirbti jūrų laive.</w:t>
                </w:r>
              </w:p>
            </w:tc>
            <w:tc>
              <w:tcPr>
                <w:tcW w:w="4252" w:type="dxa"/>
              </w:tcPr>
              <w:p>
                <w:pPr>
                  <w:spacing w:line="276" w:lineRule="auto"/>
                  <w:jc w:val="both"/>
                  <w:rPr>
                    <w:rFonts w:eastAsia="Calibri"/>
                    <w:szCs w:val="24"/>
                  </w:rPr>
                </w:pPr>
                <w:r>
                  <w:rPr>
                    <w:rFonts w:eastAsia="Calibri"/>
                    <w:szCs w:val="24"/>
                  </w:rPr>
                  <w:t xml:space="preserve">Dėl galimybės dirbti </w:t>
                </w:r>
                <w:r>
                  <w:rPr>
                    <w:rFonts w:eastAsia="Calibri"/>
                    <w:color w:val="000000"/>
                    <w:szCs w:val="24"/>
                  </w:rPr>
                  <w:t>vidaus vandenų laive sprendžiama individualiai</w:t>
                </w:r>
              </w:p>
            </w:tc>
            <w:tc>
              <w:tcPr>
                <w:tcW w:w="2801" w:type="dxa"/>
              </w:tcPr>
              <w:p>
                <w:pPr>
                  <w:spacing w:line="276" w:lineRule="auto"/>
                  <w:rPr>
                    <w:rFonts w:eastAsia="Calibri"/>
                    <w:color w:val="000000"/>
                    <w:szCs w:val="24"/>
                  </w:rPr>
                </w:pPr>
                <w:r>
                  <w:rPr>
                    <w:rFonts w:eastAsia="Calibri"/>
                    <w:color w:val="000000"/>
                    <w:szCs w:val="24"/>
                  </w:rPr>
                  <w:t>Dėl tinkamumo dirbti vidaus vandenų laivuose sprendžiama individualiai, po gydytojo pulmonologo konsultacijos.</w:t>
                </w:r>
              </w:p>
              <w:p>
                <w:pPr>
                  <w:spacing w:line="276" w:lineRule="auto"/>
                  <w:rPr>
                    <w:rFonts w:eastAsia="Calibri"/>
                    <w:color w:val="000000"/>
                    <w:szCs w:val="24"/>
                  </w:rPr>
                </w:pPr>
                <w:r>
                  <w:rPr>
                    <w:rFonts w:eastAsia="Calibri"/>
                    <w:color w:val="000000"/>
                    <w:szCs w:val="24"/>
                  </w:rPr>
                  <w:t>Gydytojo pulmonologo konsultacija – kas 12 mėnesių.</w:t>
                </w:r>
              </w:p>
            </w:tc>
          </w:tr>
          <w:tr>
            <w:tc>
              <w:tcPr>
                <w:tcW w:w="816" w:type="dxa"/>
              </w:tcPr>
              <w:p>
                <w:pPr>
                  <w:spacing w:line="276" w:lineRule="auto"/>
                  <w:jc w:val="both"/>
                  <w:rPr>
                    <w:rFonts w:eastAsia="Calibri"/>
                    <w:b/>
                    <w:szCs w:val="24"/>
                  </w:rPr>
                </w:pPr>
                <w:r>
                  <w:rPr>
                    <w:rFonts w:eastAsia="Calibri"/>
                    <w:b/>
                    <w:szCs w:val="24"/>
                  </w:rPr>
                  <w:t>5.</w:t>
                </w:r>
              </w:p>
            </w:tc>
            <w:tc>
              <w:tcPr>
                <w:tcW w:w="14140" w:type="dxa"/>
                <w:gridSpan w:val="4"/>
              </w:tcPr>
              <w:p>
                <w:pPr>
                  <w:spacing w:line="276" w:lineRule="auto"/>
                  <w:jc w:val="center"/>
                  <w:rPr>
                    <w:rFonts w:eastAsia="Calibri"/>
                    <w:b/>
                    <w:szCs w:val="24"/>
                  </w:rPr>
                </w:pPr>
                <w:r>
                  <w:rPr>
                    <w:rFonts w:eastAsia="Calibri"/>
                    <w:b/>
                    <w:szCs w:val="24"/>
                  </w:rPr>
                  <w:t xml:space="preserve">KRAUJO IR KRAUJODAROS ORGANŲ LIGOS </w:t>
                </w:r>
              </w:p>
            </w:tc>
          </w:tr>
          <w:tr>
            <w:tc>
              <w:tcPr>
                <w:tcW w:w="816" w:type="dxa"/>
              </w:tcPr>
              <w:p>
                <w:pPr>
                  <w:spacing w:line="276" w:lineRule="auto"/>
                  <w:jc w:val="both"/>
                  <w:rPr>
                    <w:rFonts w:eastAsia="Calibri"/>
                    <w:szCs w:val="24"/>
                  </w:rPr>
                </w:pPr>
                <w:r>
                  <w:rPr>
                    <w:rFonts w:eastAsia="Calibri"/>
                    <w:szCs w:val="24"/>
                  </w:rPr>
                  <w:t>5.1.</w:t>
                </w:r>
              </w:p>
            </w:tc>
            <w:tc>
              <w:tcPr>
                <w:tcW w:w="2977" w:type="dxa"/>
              </w:tcPr>
              <w:p>
                <w:pPr>
                  <w:spacing w:line="276" w:lineRule="auto"/>
                  <w:rPr>
                    <w:rFonts w:eastAsia="Calibri"/>
                    <w:szCs w:val="24"/>
                  </w:rPr>
                </w:pPr>
                <w:r>
                  <w:rPr>
                    <w:rFonts w:eastAsia="Calibri"/>
                    <w:szCs w:val="24"/>
                  </w:rPr>
                  <w:t>Limfinio, kraujodaros ir jiems giminingų audinių piktybiniai navikai,</w:t>
                </w:r>
              </w:p>
              <w:p>
                <w:pPr>
                  <w:spacing w:line="276" w:lineRule="auto"/>
                  <w:rPr>
                    <w:rFonts w:eastAsia="Calibri"/>
                    <w:szCs w:val="24"/>
                  </w:rPr>
                </w:pPr>
                <w:r>
                  <w:rPr>
                    <w:rFonts w:eastAsia="Calibri"/>
                    <w:szCs w:val="24"/>
                  </w:rPr>
                  <w:t>C81–C96</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Asmenys, sergantys aktyvia ligos forma, negali dirbti jūrų ir vidaus vandenų laivuose.</w:t>
                </w:r>
              </w:p>
              <w:p>
                <w:pPr>
                  <w:spacing w:line="276" w:lineRule="auto"/>
                  <w:rPr>
                    <w:rFonts w:eastAsia="Calibri"/>
                    <w:color w:val="000000"/>
                    <w:szCs w:val="24"/>
                  </w:rPr>
                </w:pPr>
                <w:r>
                  <w:rPr>
                    <w:rFonts w:eastAsia="Calibri"/>
                    <w:szCs w:val="24"/>
                  </w:rPr>
                  <w:t xml:space="preserve">Esant visiškai ar dalinei </w:t>
                </w:r>
                <w:r>
                  <w:rPr>
                    <w:rFonts w:eastAsia="Calibri"/>
                    <w:color w:val="000000"/>
                    <w:szCs w:val="24"/>
                  </w:rPr>
                  <w:t>remisijai, kurios trukmė ≥6 mėnesiai, bet ≤5 metai, dėl tinkamumo dirbti jūrų ir vidaus vandenų laivuose sprendžiama individualiai po gydytojo hematologo konsultacijos.</w:t>
                </w:r>
              </w:p>
              <w:p>
                <w:pPr>
                  <w:spacing w:line="276" w:lineRule="auto"/>
                  <w:rPr>
                    <w:rFonts w:eastAsia="Calibri"/>
                    <w:szCs w:val="24"/>
                  </w:rPr>
                </w:pPr>
                <w:r>
                  <w:rPr>
                    <w:rFonts w:eastAsia="Calibri"/>
                    <w:szCs w:val="24"/>
                  </w:rPr>
                  <w:t xml:space="preserve">Esant ligos remisijai ≥5 m., visų profesinių grupių </w:t>
                </w:r>
                <w:r>
                  <w:rPr>
                    <w:rFonts w:eastAsia="Calibri"/>
                    <w:color w:val="000000"/>
                    <w:szCs w:val="24"/>
                  </w:rPr>
                  <w:t>darbuotojai</w:t>
                </w:r>
                <w:r>
                  <w:rPr>
                    <w:rFonts w:eastAsia="Calibri"/>
                    <w:szCs w:val="24"/>
                  </w:rPr>
                  <w:t xml:space="preserve"> gali dirbti jūrų ir vidaus vandenų laivuose.</w:t>
                </w:r>
              </w:p>
            </w:tc>
          </w:tr>
          <w:tr>
            <w:tc>
              <w:tcPr>
                <w:tcW w:w="816" w:type="dxa"/>
              </w:tcPr>
              <w:p>
                <w:pPr>
                  <w:spacing w:line="276" w:lineRule="auto"/>
                  <w:jc w:val="both"/>
                  <w:rPr>
                    <w:rFonts w:eastAsia="Calibri"/>
                    <w:szCs w:val="24"/>
                  </w:rPr>
                </w:pPr>
                <w:r>
                  <w:rPr>
                    <w:rFonts w:eastAsia="Calibri"/>
                    <w:szCs w:val="24"/>
                  </w:rPr>
                  <w:t>5.2.</w:t>
                </w:r>
              </w:p>
            </w:tc>
            <w:tc>
              <w:tcPr>
                <w:tcW w:w="2977" w:type="dxa"/>
              </w:tcPr>
              <w:p>
                <w:pPr>
                  <w:spacing w:line="276" w:lineRule="auto"/>
                  <w:rPr>
                    <w:rFonts w:eastAsia="Calibri"/>
                    <w:szCs w:val="24"/>
                  </w:rPr>
                </w:pPr>
                <w:r>
                  <w:rPr>
                    <w:rFonts w:eastAsia="Calibri"/>
                    <w:szCs w:val="24"/>
                  </w:rPr>
                  <w:t>Tikroji policitemija, D45</w:t>
                </w:r>
              </w:p>
              <w:p>
                <w:pPr>
                  <w:spacing w:line="276" w:lineRule="auto"/>
                  <w:rPr>
                    <w:rFonts w:eastAsia="Calibri"/>
                    <w:szCs w:val="24"/>
                  </w:rPr>
                </w:pPr>
                <w:r>
                  <w:rPr>
                    <w:rFonts w:eastAsia="Calibri"/>
                    <w:szCs w:val="24"/>
                  </w:rPr>
                  <w:t>Mielodisplaziniai sindromai, D46</w:t>
                </w:r>
              </w:p>
              <w:p>
                <w:pPr>
                  <w:spacing w:line="276" w:lineRule="auto"/>
                  <w:rPr>
                    <w:rFonts w:eastAsia="Calibri"/>
                    <w:szCs w:val="24"/>
                  </w:rPr>
                </w:pPr>
                <w:r>
                  <w:rPr>
                    <w:rFonts w:eastAsia="Calibri"/>
                    <w:szCs w:val="24"/>
                  </w:rPr>
                  <w:t>Lėtinė mieloproliferacinė liga, D47.1</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Dėl tinkamumo dirbti jūrų ir vidaus vandenų laivuose sprendžiama individualiai po gydytojo hematologo konsultacijos.</w:t>
                </w:r>
              </w:p>
            </w:tc>
          </w:tr>
          <w:tr>
            <w:tc>
              <w:tcPr>
                <w:tcW w:w="816" w:type="dxa"/>
              </w:tcPr>
              <w:p>
                <w:pPr>
                  <w:spacing w:line="276" w:lineRule="auto"/>
                  <w:jc w:val="both"/>
                  <w:rPr>
                    <w:rFonts w:eastAsia="Calibri"/>
                    <w:szCs w:val="24"/>
                  </w:rPr>
                </w:pPr>
                <w:r>
                  <w:rPr>
                    <w:rFonts w:eastAsia="Calibri"/>
                    <w:szCs w:val="24"/>
                  </w:rPr>
                  <w:t>5.3.</w:t>
                </w:r>
              </w:p>
            </w:tc>
            <w:tc>
              <w:tcPr>
                <w:tcW w:w="2977" w:type="dxa"/>
              </w:tcPr>
              <w:p>
                <w:pPr>
                  <w:spacing w:line="276" w:lineRule="auto"/>
                  <w:rPr>
                    <w:rFonts w:eastAsia="Calibri"/>
                    <w:szCs w:val="24"/>
                  </w:rPr>
                </w:pPr>
                <w:r>
                  <w:rPr>
                    <w:rFonts w:eastAsia="Calibri"/>
                    <w:szCs w:val="24"/>
                  </w:rPr>
                  <w:t xml:space="preserve">Mitybinės, hemolizinės, aplazinės ir kitos  anemijos, D50–D64 </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Po gydymo, esant normaliems kraujo rodikliams, visų profesinių grupių darbuotojai gali dirbti jūrų ir vidaus vandenų laivuose. Gydymo metu, esant Hb ≥100 g/l, dėl tinkamumo dirbti laive sprendžiama </w:t>
                </w:r>
                <w:r>
                  <w:rPr>
                    <w:rFonts w:eastAsia="Calibri"/>
                    <w:color w:val="000000"/>
                    <w:szCs w:val="24"/>
                  </w:rPr>
                  <w:t>individualiai po gydytojo hematologo konsultacijos</w:t>
                </w:r>
                <w:r>
                  <w:rPr>
                    <w:rFonts w:eastAsia="Calibri"/>
                    <w:szCs w:val="24"/>
                  </w:rPr>
                  <w:t>.</w:t>
                </w:r>
              </w:p>
            </w:tc>
          </w:tr>
          <w:tr>
            <w:tc>
              <w:tcPr>
                <w:tcW w:w="816" w:type="dxa"/>
              </w:tcPr>
              <w:p>
                <w:pPr>
                  <w:spacing w:line="276" w:lineRule="auto"/>
                  <w:jc w:val="both"/>
                  <w:rPr>
                    <w:rFonts w:eastAsia="Calibri"/>
                    <w:szCs w:val="24"/>
                  </w:rPr>
                </w:pPr>
                <w:r>
                  <w:rPr>
                    <w:rFonts w:eastAsia="Calibri"/>
                    <w:szCs w:val="24"/>
                  </w:rPr>
                  <w:t>5.4.</w:t>
                </w:r>
              </w:p>
            </w:tc>
            <w:tc>
              <w:tcPr>
                <w:tcW w:w="2977" w:type="dxa"/>
              </w:tcPr>
              <w:p>
                <w:pPr>
                  <w:spacing w:line="276" w:lineRule="auto"/>
                  <w:rPr>
                    <w:rFonts w:eastAsia="Calibri"/>
                    <w:szCs w:val="24"/>
                  </w:rPr>
                </w:pPr>
                <w:r>
                  <w:rPr>
                    <w:rFonts w:eastAsia="Calibri"/>
                    <w:szCs w:val="24"/>
                  </w:rPr>
                  <w:t>Krešėjimo defektai, purpura ir kitos hemoraginės būklės,</w:t>
                </w:r>
              </w:p>
              <w:p>
                <w:pPr>
                  <w:spacing w:line="276" w:lineRule="auto"/>
                  <w:rPr>
                    <w:rFonts w:eastAsia="Calibri"/>
                    <w:szCs w:val="24"/>
                  </w:rPr>
                </w:pPr>
                <w:r>
                  <w:rPr>
                    <w:rFonts w:eastAsia="Calibri"/>
                    <w:szCs w:val="24"/>
                  </w:rPr>
                  <w:t xml:space="preserve">D65–D69 </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Asmenys, sergantys sunkia ligos forma, negali dirbti jūrų ir vidaus vandenų laivuose;</w:t>
                </w:r>
              </w:p>
              <w:p>
                <w:pPr>
                  <w:spacing w:line="276" w:lineRule="auto"/>
                  <w:rPr>
                    <w:rFonts w:eastAsia="Calibri"/>
                    <w:szCs w:val="24"/>
                  </w:rPr>
                </w:pPr>
                <w:r>
                  <w:rPr>
                    <w:rFonts w:eastAsia="Calibri"/>
                    <w:szCs w:val="24"/>
                  </w:rPr>
                  <w:t xml:space="preserve">asmenys, sergantys lengva ir vidutine ligos forma, gali dirbti jūrų ir vidaus vandenų laivuose </w:t>
                </w:r>
                <w:r>
                  <w:rPr>
                    <w:rFonts w:eastAsia="Calibri"/>
                    <w:color w:val="000000"/>
                    <w:szCs w:val="24"/>
                  </w:rPr>
                  <w:t>po gydytojo hematologo</w:t>
                </w:r>
                <w:r>
                  <w:rPr>
                    <w:rFonts w:eastAsia="Calibri"/>
                    <w:szCs w:val="24"/>
                  </w:rPr>
                  <w:t xml:space="preserve"> konsultacijos.</w:t>
                </w:r>
              </w:p>
            </w:tc>
          </w:tr>
          <w:tr>
            <w:tc>
              <w:tcPr>
                <w:tcW w:w="816" w:type="dxa"/>
              </w:tcPr>
              <w:p>
                <w:pPr>
                  <w:spacing w:line="276" w:lineRule="auto"/>
                  <w:jc w:val="both"/>
                  <w:rPr>
                    <w:rFonts w:eastAsia="Calibri"/>
                    <w:b/>
                    <w:szCs w:val="24"/>
                  </w:rPr>
                </w:pPr>
                <w:r>
                  <w:rPr>
                    <w:rFonts w:eastAsia="Calibri"/>
                    <w:b/>
                    <w:szCs w:val="24"/>
                  </w:rPr>
                  <w:t>6.</w:t>
                </w:r>
              </w:p>
            </w:tc>
            <w:tc>
              <w:tcPr>
                <w:tcW w:w="14140" w:type="dxa"/>
                <w:gridSpan w:val="4"/>
              </w:tcPr>
              <w:p>
                <w:pPr>
                  <w:spacing w:line="276" w:lineRule="auto"/>
                  <w:jc w:val="center"/>
                  <w:rPr>
                    <w:rFonts w:eastAsia="Calibri"/>
                    <w:szCs w:val="24"/>
                  </w:rPr>
                </w:pPr>
                <w:r>
                  <w:rPr>
                    <w:rFonts w:eastAsia="Calibri"/>
                    <w:b/>
                    <w:szCs w:val="24"/>
                  </w:rPr>
                  <w:t>ENDOKRININĖS, MITYBOS IR MEDŽIAGŲ APYKAITOS LIGOS</w:t>
                </w:r>
              </w:p>
            </w:tc>
          </w:tr>
          <w:tr>
            <w:tc>
              <w:tcPr>
                <w:tcW w:w="816" w:type="dxa"/>
              </w:tcPr>
              <w:p>
                <w:pPr>
                  <w:spacing w:line="276" w:lineRule="auto"/>
                  <w:jc w:val="both"/>
                  <w:rPr>
                    <w:rFonts w:eastAsia="Calibri"/>
                    <w:szCs w:val="24"/>
                  </w:rPr>
                </w:pPr>
                <w:r>
                  <w:rPr>
                    <w:rFonts w:eastAsia="Calibri"/>
                    <w:szCs w:val="24"/>
                  </w:rPr>
                  <w:t>6.1.</w:t>
                </w:r>
              </w:p>
            </w:tc>
            <w:tc>
              <w:tcPr>
                <w:tcW w:w="2977" w:type="dxa"/>
              </w:tcPr>
              <w:p>
                <w:pPr>
                  <w:spacing w:line="276" w:lineRule="auto"/>
                  <w:rPr>
                    <w:rFonts w:eastAsia="Calibri"/>
                    <w:szCs w:val="24"/>
                  </w:rPr>
                </w:pPr>
                <w:r>
                  <w:rPr>
                    <w:rFonts w:eastAsia="Calibri"/>
                    <w:color w:val="000000"/>
                    <w:szCs w:val="24"/>
                  </w:rPr>
                  <w:t>Hipotirozė, E03</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color w:val="000000"/>
                    <w:szCs w:val="24"/>
                  </w:rPr>
                  <w:t>Dėl asmenų, kuriems po gydymo nustatoma normali skydliaukės funkcija, tinkamumo dirbti laive sprendžiama individualiai po gydytojo endokrinologo konsultacijos.</w:t>
                </w:r>
              </w:p>
            </w:tc>
          </w:tr>
          <w:tr>
            <w:tc>
              <w:tcPr>
                <w:tcW w:w="816" w:type="dxa"/>
              </w:tcPr>
              <w:p>
                <w:pPr>
                  <w:spacing w:line="276" w:lineRule="auto"/>
                  <w:jc w:val="both"/>
                  <w:rPr>
                    <w:rFonts w:eastAsia="Calibri"/>
                    <w:szCs w:val="24"/>
                  </w:rPr>
                </w:pPr>
                <w:r>
                  <w:rPr>
                    <w:rFonts w:eastAsia="Calibri"/>
                    <w:szCs w:val="24"/>
                  </w:rPr>
                  <w:t>6.2.</w:t>
                </w:r>
              </w:p>
            </w:tc>
            <w:tc>
              <w:tcPr>
                <w:tcW w:w="2977" w:type="dxa"/>
              </w:tcPr>
              <w:p>
                <w:pPr>
                  <w:spacing w:line="276" w:lineRule="auto"/>
                  <w:rPr>
                    <w:rFonts w:eastAsia="Calibri"/>
                    <w:color w:val="000000"/>
                    <w:szCs w:val="24"/>
                  </w:rPr>
                </w:pPr>
                <w:r>
                  <w:rPr>
                    <w:rFonts w:eastAsia="Calibri"/>
                    <w:color w:val="000000"/>
                    <w:szCs w:val="24"/>
                  </w:rPr>
                  <w:t>Tirotoksikozė, E05</w:t>
                </w:r>
              </w:p>
              <w:p>
                <w:pPr>
                  <w:spacing w:line="276" w:lineRule="auto"/>
                  <w:rPr>
                    <w:rFonts w:eastAsia="Calibri"/>
                    <w:strike/>
                    <w:color w:val="000000"/>
                    <w:szCs w:val="24"/>
                  </w:rPr>
                </w:pPr>
              </w:p>
              <w:p>
                <w:pPr>
                  <w:spacing w:line="276" w:lineRule="auto"/>
                  <w:rPr>
                    <w:rFonts w:eastAsia="Calibri"/>
                    <w:szCs w:val="24"/>
                  </w:rPr>
                </w:pP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color w:val="000000"/>
                    <w:szCs w:val="24"/>
                  </w:rPr>
                </w:pPr>
                <w:r>
                  <w:rPr>
                    <w:rFonts w:eastAsia="Calibri"/>
                    <w:color w:val="000000"/>
                    <w:szCs w:val="24"/>
                  </w:rPr>
                  <w:t>Visų profesinių grupių asmenys, jei gydant skydliaukės funkcija tampa normali, dirbti jūrų ir vidaus vandenų laivuose</w:t>
                </w:r>
              </w:p>
              <w:p>
                <w:pPr>
                  <w:spacing w:line="276" w:lineRule="auto"/>
                  <w:rPr>
                    <w:rFonts w:eastAsia="Calibri"/>
                    <w:szCs w:val="24"/>
                  </w:rPr>
                </w:pPr>
                <w:r>
                  <w:rPr>
                    <w:rFonts w:eastAsia="Calibri"/>
                    <w:color w:val="000000"/>
                    <w:szCs w:val="24"/>
                  </w:rPr>
                  <w:t>gali po gydytojo endokrinologo konsultacijos.</w:t>
                </w:r>
              </w:p>
            </w:tc>
          </w:tr>
          <w:tr>
            <w:tc>
              <w:tcPr>
                <w:tcW w:w="816" w:type="dxa"/>
              </w:tcPr>
              <w:p>
                <w:pPr>
                  <w:spacing w:line="276" w:lineRule="auto"/>
                  <w:jc w:val="both"/>
                  <w:rPr>
                    <w:rFonts w:eastAsia="Calibri"/>
                    <w:szCs w:val="24"/>
                  </w:rPr>
                </w:pPr>
                <w:r>
                  <w:rPr>
                    <w:rFonts w:eastAsia="Calibri"/>
                    <w:szCs w:val="24"/>
                  </w:rPr>
                  <w:t>6.3.</w:t>
                </w:r>
              </w:p>
            </w:tc>
            <w:tc>
              <w:tcPr>
                <w:tcW w:w="2977" w:type="dxa"/>
              </w:tcPr>
              <w:p>
                <w:pPr>
                  <w:spacing w:line="276" w:lineRule="auto"/>
                  <w:rPr>
                    <w:rFonts w:eastAsia="Calibri"/>
                    <w:szCs w:val="24"/>
                  </w:rPr>
                </w:pPr>
                <w:r>
                  <w:rPr>
                    <w:rFonts w:eastAsia="Calibri"/>
                    <w:szCs w:val="24"/>
                  </w:rPr>
                  <w:t>I tipo cukrinis diabetas, gydomas insulinu, E10</w:t>
                </w:r>
              </w:p>
            </w:tc>
            <w:tc>
              <w:tcPr>
                <w:tcW w:w="4110" w:type="dxa"/>
              </w:tcPr>
              <w:p>
                <w:pPr>
                  <w:spacing w:line="276" w:lineRule="auto"/>
                  <w:rPr>
                    <w:rFonts w:eastAsia="Calibri"/>
                    <w:szCs w:val="24"/>
                  </w:rPr>
                </w:pPr>
                <w:r>
                  <w:rPr>
                    <w:rFonts w:eastAsia="Calibri"/>
                    <w:szCs w:val="24"/>
                  </w:rPr>
                  <w:t>Nė vienos profesinės grupės darbuotojai negali dirbti jūrų laive.</w:t>
                </w:r>
              </w:p>
            </w:tc>
            <w:tc>
              <w:tcPr>
                <w:tcW w:w="4252" w:type="dxa"/>
              </w:tcPr>
              <w:p>
                <w:pPr>
                  <w:spacing w:line="276" w:lineRule="auto"/>
                  <w:rPr>
                    <w:rFonts w:eastAsia="Calibri"/>
                    <w:szCs w:val="24"/>
                  </w:rPr>
                </w:pPr>
                <w:r>
                  <w:rPr>
                    <w:rFonts w:eastAsia="Calibri"/>
                    <w:szCs w:val="24"/>
                  </w:rPr>
                  <w:t>Visų profesinių grupių darbuotojai</w:t>
                </w:r>
                <w:r>
                  <w:rPr>
                    <w:rFonts w:eastAsia="Calibri"/>
                    <w:color w:val="000000"/>
                    <w:szCs w:val="24"/>
                  </w:rPr>
                  <w:t xml:space="preserve"> </w:t>
                </w:r>
                <w:r>
                  <w:rPr>
                    <w:rFonts w:eastAsia="Calibri"/>
                    <w:szCs w:val="24"/>
                  </w:rPr>
                  <w:t>gali dirbti vidaus vandenų laive.</w:t>
                </w:r>
              </w:p>
            </w:tc>
            <w:tc>
              <w:tcPr>
                <w:tcW w:w="2801" w:type="dxa"/>
              </w:tcPr>
              <w:p>
                <w:pPr>
                  <w:spacing w:line="276" w:lineRule="auto"/>
                  <w:rPr>
                    <w:rFonts w:eastAsia="Calibri"/>
                    <w:szCs w:val="24"/>
                  </w:rPr>
                </w:pPr>
                <w:r>
                  <w:rPr>
                    <w:rFonts w:eastAsia="Calibri"/>
                    <w:szCs w:val="24"/>
                  </w:rPr>
                  <w:t>Dėl tinkamumo dirbti vidaus vandenų laivuose sprendžiama individualiai po gydytojo endokrinologo konsultacijos.</w:t>
                </w:r>
              </w:p>
            </w:tc>
          </w:tr>
          <w:tr>
            <w:tc>
              <w:tcPr>
                <w:tcW w:w="816" w:type="dxa"/>
              </w:tcPr>
              <w:p>
                <w:pPr>
                  <w:spacing w:line="276" w:lineRule="auto"/>
                  <w:jc w:val="both"/>
                  <w:rPr>
                    <w:rFonts w:eastAsia="Calibri"/>
                    <w:szCs w:val="24"/>
                  </w:rPr>
                </w:pPr>
                <w:r>
                  <w:rPr>
                    <w:rFonts w:eastAsia="Calibri"/>
                    <w:szCs w:val="24"/>
                  </w:rPr>
                  <w:t>6.4.</w:t>
                </w:r>
              </w:p>
            </w:tc>
            <w:tc>
              <w:tcPr>
                <w:tcW w:w="2977" w:type="dxa"/>
              </w:tcPr>
              <w:p>
                <w:pPr>
                  <w:spacing w:line="276" w:lineRule="auto"/>
                  <w:rPr>
                    <w:rFonts w:eastAsia="Calibri"/>
                    <w:szCs w:val="24"/>
                  </w:rPr>
                </w:pPr>
                <w:r>
                  <w:rPr>
                    <w:rFonts w:eastAsia="Calibri"/>
                    <w:szCs w:val="24"/>
                  </w:rPr>
                  <w:t xml:space="preserve">II tipo cukrinis diabetas, E11, gydomas dieta arba hipoglikemizuojančiais peroraliniais medikamentais </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color w:val="000000"/>
                    <w:szCs w:val="24"/>
                  </w:rPr>
                  <w:t xml:space="preserve">Dėl tinkamumo dirbti jūrų ir vidaus vandenų laivuose sprendžiama individualiai po gydytojo endokrinologo konsultacijos. </w:t>
                </w:r>
              </w:p>
            </w:tc>
          </w:tr>
          <w:tr>
            <w:tc>
              <w:tcPr>
                <w:tcW w:w="816" w:type="dxa"/>
              </w:tcPr>
              <w:p>
                <w:pPr>
                  <w:spacing w:line="276" w:lineRule="auto"/>
                  <w:jc w:val="both"/>
                  <w:rPr>
                    <w:rFonts w:eastAsia="Calibri"/>
                    <w:szCs w:val="24"/>
                  </w:rPr>
                </w:pPr>
                <w:r>
                  <w:rPr>
                    <w:rFonts w:eastAsia="Calibri"/>
                    <w:szCs w:val="24"/>
                  </w:rPr>
                  <w:t>6.5.</w:t>
                </w:r>
              </w:p>
            </w:tc>
            <w:tc>
              <w:tcPr>
                <w:tcW w:w="2977" w:type="dxa"/>
              </w:tcPr>
              <w:p>
                <w:pPr>
                  <w:spacing w:line="276" w:lineRule="auto"/>
                  <w:rPr>
                    <w:rFonts w:eastAsia="Calibri"/>
                    <w:szCs w:val="24"/>
                  </w:rPr>
                </w:pPr>
                <w:r>
                  <w:rPr>
                    <w:rFonts w:eastAsia="Calibri"/>
                    <w:szCs w:val="24"/>
                  </w:rPr>
                  <w:t>II tipo cukrinis diabetas E11 (nekontroliuojamas skiriant peroralinius hipoglikemizuojančius medikamentus didelėmis dozėmis, išryškėjus encefalopatijai, retinopatijai, nefropatijai, polineuropatijai), taikant pakaitinę terapiją insulinu</w:t>
                </w:r>
              </w:p>
            </w:tc>
            <w:tc>
              <w:tcPr>
                <w:tcW w:w="4110" w:type="dxa"/>
              </w:tcPr>
              <w:p>
                <w:pPr>
                  <w:spacing w:line="276" w:lineRule="auto"/>
                  <w:jc w:val="both"/>
                  <w:rPr>
                    <w:rFonts w:eastAsia="Calibri"/>
                    <w:szCs w:val="24"/>
                  </w:rPr>
                </w:pPr>
                <w:r>
                  <w:rPr>
                    <w:rFonts w:eastAsia="Calibri"/>
                    <w:szCs w:val="24"/>
                  </w:rPr>
                  <w:t>Nė vienos profesinės grupės darbuotojai</w:t>
                </w:r>
                <w:r>
                  <w:rPr>
                    <w:rFonts w:eastAsia="Calibri"/>
                    <w:color w:val="000000"/>
                    <w:szCs w:val="24"/>
                  </w:rPr>
                  <w:t xml:space="preserve"> </w:t>
                </w:r>
                <w:r>
                  <w:rPr>
                    <w:rFonts w:eastAsia="Calibri"/>
                    <w:szCs w:val="24"/>
                  </w:rPr>
                  <w:t>negali dirbti jūrų laive.</w:t>
                </w:r>
              </w:p>
            </w:tc>
            <w:tc>
              <w:tcPr>
                <w:tcW w:w="4252" w:type="dxa"/>
              </w:tcPr>
              <w:p>
                <w:pPr>
                  <w:spacing w:line="276" w:lineRule="auto"/>
                  <w:jc w:val="both"/>
                  <w:rPr>
                    <w:rFonts w:eastAsia="Calibri"/>
                    <w:szCs w:val="24"/>
                  </w:rPr>
                </w:pPr>
                <w:r>
                  <w:rPr>
                    <w:rFonts w:eastAsia="Calibri"/>
                    <w:szCs w:val="24"/>
                  </w:rPr>
                  <w:t>Visų profesinių grupių darbuotojai gali dirbti vidaus vandenų laive.</w:t>
                </w:r>
              </w:p>
            </w:tc>
            <w:tc>
              <w:tcPr>
                <w:tcW w:w="2801" w:type="dxa"/>
              </w:tcPr>
              <w:p>
                <w:pPr>
                  <w:spacing w:line="276" w:lineRule="auto"/>
                  <w:rPr>
                    <w:rFonts w:eastAsia="Calibri"/>
                    <w:color w:val="000000"/>
                    <w:szCs w:val="24"/>
                  </w:rPr>
                </w:pPr>
                <w:r>
                  <w:rPr>
                    <w:rFonts w:eastAsia="Calibri"/>
                    <w:szCs w:val="24"/>
                  </w:rPr>
                  <w:t>Dėl tinkamumo dirbti vidaus vandenų laivuose sprendžiama individualiai po gydytojo endokrinologo konsultacijos.</w:t>
                </w:r>
              </w:p>
            </w:tc>
          </w:tr>
          <w:tr>
            <w:tc>
              <w:tcPr>
                <w:tcW w:w="816" w:type="dxa"/>
              </w:tcPr>
              <w:p>
                <w:pPr>
                  <w:spacing w:line="276" w:lineRule="auto"/>
                  <w:jc w:val="both"/>
                  <w:rPr>
                    <w:rFonts w:eastAsia="Calibri"/>
                    <w:color w:val="000000"/>
                    <w:szCs w:val="24"/>
                  </w:rPr>
                </w:pPr>
                <w:r>
                  <w:rPr>
                    <w:rFonts w:eastAsia="Calibri"/>
                    <w:color w:val="000000"/>
                    <w:szCs w:val="24"/>
                  </w:rPr>
                  <w:t>6.6.</w:t>
                </w:r>
              </w:p>
            </w:tc>
            <w:tc>
              <w:tcPr>
                <w:tcW w:w="2977" w:type="dxa"/>
              </w:tcPr>
              <w:p>
                <w:pPr>
                  <w:spacing w:line="276" w:lineRule="auto"/>
                  <w:rPr>
                    <w:rFonts w:eastAsia="Calibri"/>
                    <w:szCs w:val="24"/>
                  </w:rPr>
                </w:pPr>
                <w:r>
                  <w:rPr>
                    <w:rFonts w:eastAsia="Calibri"/>
                    <w:szCs w:val="24"/>
                  </w:rPr>
                  <w:t>Hipofizės hiperfunkcija, E22.0–E22.9</w:t>
                </w:r>
              </w:p>
              <w:p>
                <w:pPr>
                  <w:spacing w:line="276" w:lineRule="auto"/>
                  <w:rPr>
                    <w:rFonts w:eastAsia="Calibri"/>
                    <w:szCs w:val="24"/>
                  </w:rPr>
                </w:pPr>
                <w:r>
                  <w:rPr>
                    <w:rFonts w:eastAsia="Calibri"/>
                    <w:szCs w:val="24"/>
                  </w:rPr>
                  <w:t xml:space="preserve">Hipofizės hipofunkcija ir kiti funkcijos sutrikimai, </w:t>
                </w:r>
              </w:p>
              <w:p>
                <w:pPr>
                  <w:spacing w:line="276" w:lineRule="auto"/>
                  <w:rPr>
                    <w:rFonts w:eastAsia="Calibri"/>
                    <w:color w:val="000000"/>
                    <w:szCs w:val="24"/>
                  </w:rPr>
                </w:pPr>
                <w:r>
                  <w:rPr>
                    <w:rFonts w:eastAsia="Calibri"/>
                    <w:szCs w:val="24"/>
                  </w:rPr>
                  <w:t>E23.0–E23.7</w:t>
                </w:r>
              </w:p>
            </w:tc>
            <w:tc>
              <w:tcPr>
                <w:tcW w:w="4110" w:type="dxa"/>
              </w:tcPr>
              <w:p>
                <w:pPr>
                  <w:spacing w:line="276" w:lineRule="auto"/>
                  <w:jc w:val="both"/>
                  <w:rPr>
                    <w:rFonts w:eastAsia="Calibri"/>
                    <w:color w:val="000000"/>
                    <w:szCs w:val="24"/>
                  </w:rPr>
                </w:pPr>
              </w:p>
            </w:tc>
            <w:tc>
              <w:tcPr>
                <w:tcW w:w="4252" w:type="dxa"/>
              </w:tcPr>
              <w:p>
                <w:pPr>
                  <w:spacing w:line="276" w:lineRule="auto"/>
                  <w:jc w:val="both"/>
                  <w:rPr>
                    <w:rFonts w:eastAsia="Calibri"/>
                    <w:color w:val="000000"/>
                    <w:szCs w:val="24"/>
                  </w:rPr>
                </w:pPr>
              </w:p>
            </w:tc>
            <w:tc>
              <w:tcPr>
                <w:tcW w:w="2801" w:type="dxa"/>
              </w:tcPr>
              <w:p>
                <w:pPr>
                  <w:spacing w:line="276" w:lineRule="auto"/>
                  <w:rPr>
                    <w:rFonts w:eastAsia="Calibri"/>
                    <w:color w:val="000000"/>
                    <w:szCs w:val="24"/>
                  </w:rPr>
                </w:pPr>
                <w:r>
                  <w:rPr>
                    <w:rFonts w:eastAsia="Calibri"/>
                    <w:szCs w:val="24"/>
                  </w:rPr>
                  <w:t xml:space="preserve">Dėl tinkamumo dirbti </w:t>
                </w:r>
                <w:r>
                  <w:rPr>
                    <w:rFonts w:eastAsia="Calibri"/>
                    <w:color w:val="000000"/>
                    <w:szCs w:val="24"/>
                  </w:rPr>
                  <w:t>jūrų ir vidaus vandenų laivuose</w:t>
                </w:r>
                <w:r>
                  <w:rPr>
                    <w:rFonts w:eastAsia="Calibri"/>
                    <w:szCs w:val="24"/>
                  </w:rPr>
                  <w:t xml:space="preserve"> sprendžiama individualiai </w:t>
                </w:r>
                <w:r>
                  <w:rPr>
                    <w:rFonts w:eastAsia="Calibri"/>
                    <w:color w:val="000000"/>
                    <w:szCs w:val="24"/>
                  </w:rPr>
                  <w:t>po gydytojo endokrinologo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6.7.</w:t>
                </w:r>
              </w:p>
            </w:tc>
            <w:tc>
              <w:tcPr>
                <w:tcW w:w="2977" w:type="dxa"/>
              </w:tcPr>
              <w:p>
                <w:pPr>
                  <w:spacing w:line="276" w:lineRule="auto"/>
                  <w:rPr>
                    <w:rFonts w:eastAsia="Calibri"/>
                    <w:szCs w:val="24"/>
                  </w:rPr>
                </w:pPr>
                <w:r>
                  <w:rPr>
                    <w:rFonts w:eastAsia="Calibri"/>
                    <w:szCs w:val="24"/>
                  </w:rPr>
                  <w:t>Pirminis antinksčių žievės nepakankamumas, E27.1–E27.4</w:t>
                </w:r>
              </w:p>
            </w:tc>
            <w:tc>
              <w:tcPr>
                <w:tcW w:w="4110" w:type="dxa"/>
              </w:tcPr>
              <w:p>
                <w:pPr>
                  <w:spacing w:line="276" w:lineRule="auto"/>
                  <w:rPr>
                    <w:rFonts w:eastAsia="Calibri"/>
                    <w:szCs w:val="24"/>
                  </w:rPr>
                </w:pPr>
                <w:r>
                  <w:rPr>
                    <w:rFonts w:eastAsia="Calibri"/>
                    <w:szCs w:val="24"/>
                  </w:rPr>
                  <w:t>Nė vienos profesinės grupės darbuotojai negali dirbti jūrų laive.</w:t>
                </w:r>
              </w:p>
            </w:tc>
            <w:tc>
              <w:tcPr>
                <w:tcW w:w="4252" w:type="dxa"/>
              </w:tcPr>
              <w:p>
                <w:pPr>
                  <w:spacing w:line="276" w:lineRule="auto"/>
                  <w:rPr>
                    <w:rFonts w:eastAsia="Calibri"/>
                    <w:szCs w:val="24"/>
                  </w:rPr>
                </w:pPr>
                <w:r>
                  <w:rPr>
                    <w:rFonts w:eastAsia="Calibri"/>
                    <w:szCs w:val="24"/>
                  </w:rPr>
                  <w:t>Nė vienos profesinės grupės darbuotojai</w:t>
                </w:r>
                <w:r>
                  <w:rPr>
                    <w:rFonts w:eastAsia="Calibri"/>
                    <w:color w:val="000000"/>
                    <w:szCs w:val="24"/>
                  </w:rPr>
                  <w:t xml:space="preserve"> </w:t>
                </w:r>
                <w:r>
                  <w:rPr>
                    <w:rFonts w:eastAsia="Calibri"/>
                    <w:szCs w:val="24"/>
                  </w:rPr>
                  <w:t>negali dirbti vidaus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6.8.</w:t>
                </w:r>
              </w:p>
            </w:tc>
            <w:tc>
              <w:tcPr>
                <w:tcW w:w="2977" w:type="dxa"/>
              </w:tcPr>
              <w:p>
                <w:pPr>
                  <w:spacing w:line="276" w:lineRule="auto"/>
                  <w:rPr>
                    <w:rFonts w:eastAsia="Calibri"/>
                    <w:color w:val="000000"/>
                    <w:szCs w:val="24"/>
                  </w:rPr>
                </w:pPr>
                <w:r>
                  <w:rPr>
                    <w:rFonts w:eastAsia="Calibri"/>
                    <w:szCs w:val="24"/>
                  </w:rPr>
                  <w:t>Antinksčių funkcijos sutrikimai, E27.5–E27.9</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tinkamumo dirbti </w:t>
                </w:r>
                <w:r>
                  <w:rPr>
                    <w:rFonts w:eastAsia="Calibri"/>
                    <w:color w:val="000000"/>
                    <w:szCs w:val="24"/>
                  </w:rPr>
                  <w:t>jūrų ir vidaus vandenų laive</w:t>
                </w:r>
                <w:r>
                  <w:rPr>
                    <w:rFonts w:eastAsia="Calibri"/>
                    <w:szCs w:val="24"/>
                  </w:rPr>
                  <w:t xml:space="preserve"> </w:t>
                </w:r>
                <w:r>
                  <w:rPr>
                    <w:rFonts w:eastAsia="Calibri"/>
                    <w:color w:val="000000"/>
                    <w:szCs w:val="24"/>
                  </w:rPr>
                  <w:t>sprendžiama individualiai po gydytojo endokrinologo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6.9.</w:t>
                </w:r>
              </w:p>
            </w:tc>
            <w:tc>
              <w:tcPr>
                <w:tcW w:w="2977" w:type="dxa"/>
              </w:tcPr>
              <w:p>
                <w:pPr>
                  <w:spacing w:line="276" w:lineRule="auto"/>
                  <w:rPr>
                    <w:rFonts w:eastAsia="Calibri"/>
                    <w:szCs w:val="24"/>
                  </w:rPr>
                </w:pPr>
                <w:r>
                  <w:rPr>
                    <w:rFonts w:eastAsia="Calibri"/>
                    <w:szCs w:val="24"/>
                  </w:rPr>
                  <w:t>Nutukimas, E66</w:t>
                </w:r>
              </w:p>
            </w:tc>
            <w:tc>
              <w:tcPr>
                <w:tcW w:w="4110" w:type="dxa"/>
              </w:tcPr>
              <w:p>
                <w:pPr>
                  <w:spacing w:line="276" w:lineRule="auto"/>
                  <w:rPr>
                    <w:rFonts w:eastAsia="Calibri"/>
                    <w:szCs w:val="24"/>
                  </w:rPr>
                </w:pPr>
                <w:r>
                  <w:rPr>
                    <w:rFonts w:eastAsia="Calibri"/>
                    <w:szCs w:val="24"/>
                  </w:rPr>
                  <w:t>Nė vienos profesinės grupės darbuotojai, kurių KMI &gt; 40, negali dirbti jūrų laive.</w:t>
                </w:r>
              </w:p>
            </w:tc>
            <w:tc>
              <w:tcPr>
                <w:tcW w:w="4252" w:type="dxa"/>
              </w:tcPr>
              <w:p>
                <w:pPr>
                  <w:spacing w:line="276" w:lineRule="auto"/>
                  <w:rPr>
                    <w:rFonts w:eastAsia="Calibri"/>
                    <w:szCs w:val="24"/>
                  </w:rPr>
                </w:pPr>
                <w:r>
                  <w:rPr>
                    <w:rFonts w:eastAsia="Calibri"/>
                    <w:szCs w:val="24"/>
                  </w:rPr>
                  <w:t>Visų profesinių grupių darbuotojai</w:t>
                </w:r>
                <w:r>
                  <w:rPr>
                    <w:rFonts w:eastAsia="Calibri"/>
                    <w:color w:val="000000"/>
                    <w:szCs w:val="24"/>
                  </w:rPr>
                  <w:t xml:space="preserve"> </w:t>
                </w:r>
                <w:r>
                  <w:rPr>
                    <w:rFonts w:eastAsia="Calibri"/>
                    <w:szCs w:val="24"/>
                  </w:rPr>
                  <w:t>gali dirbti vidaus vandenų laive.</w:t>
                </w:r>
              </w:p>
            </w:tc>
            <w:tc>
              <w:tcPr>
                <w:tcW w:w="2801" w:type="dxa"/>
              </w:tcPr>
              <w:p>
                <w:pPr>
                  <w:spacing w:line="276" w:lineRule="auto"/>
                  <w:rPr>
                    <w:rFonts w:eastAsia="Calibri"/>
                    <w:color w:val="000000"/>
                    <w:szCs w:val="24"/>
                  </w:rPr>
                </w:pPr>
                <w:r>
                  <w:rPr>
                    <w:rFonts w:eastAsia="Calibri"/>
                    <w:color w:val="000000"/>
                    <w:szCs w:val="24"/>
                  </w:rPr>
                  <w:t>Dėl tinkamumo dirbti vidaus vandenų laive sprendžiama individualiai po gydytojo endokrinologo konsultacijos.</w:t>
                </w:r>
                <w:r>
                  <w:rPr>
                    <w:rFonts w:eastAsia="Calibri"/>
                    <w:color w:val="FF0000"/>
                    <w:szCs w:val="24"/>
                  </w:rPr>
                  <w:t xml:space="preserve"> </w:t>
                </w:r>
              </w:p>
            </w:tc>
          </w:tr>
          <w:tr>
            <w:tc>
              <w:tcPr>
                <w:tcW w:w="816" w:type="dxa"/>
              </w:tcPr>
              <w:p>
                <w:pPr>
                  <w:spacing w:line="276" w:lineRule="auto"/>
                  <w:jc w:val="both"/>
                  <w:rPr>
                    <w:rFonts w:eastAsia="Calibri"/>
                    <w:b/>
                    <w:szCs w:val="24"/>
                  </w:rPr>
                </w:pPr>
                <w:r>
                  <w:rPr>
                    <w:rFonts w:eastAsia="Calibri"/>
                    <w:b/>
                    <w:szCs w:val="24"/>
                  </w:rPr>
                  <w:t>7.</w:t>
                </w:r>
              </w:p>
            </w:tc>
            <w:tc>
              <w:tcPr>
                <w:tcW w:w="14140" w:type="dxa"/>
                <w:gridSpan w:val="4"/>
              </w:tcPr>
              <w:p>
                <w:pPr>
                  <w:spacing w:line="276" w:lineRule="auto"/>
                  <w:jc w:val="center"/>
                  <w:rPr>
                    <w:rFonts w:eastAsia="Calibri"/>
                    <w:b/>
                    <w:szCs w:val="24"/>
                  </w:rPr>
                </w:pPr>
                <w:r>
                  <w:rPr>
                    <w:rFonts w:eastAsia="Calibri"/>
                    <w:b/>
                    <w:szCs w:val="24"/>
                  </w:rPr>
                  <w:t xml:space="preserve">VIRŠKINIMO SISTEMOS LIGOS </w:t>
                </w:r>
              </w:p>
            </w:tc>
          </w:tr>
          <w:tr>
            <w:tc>
              <w:tcPr>
                <w:tcW w:w="816" w:type="dxa"/>
              </w:tcPr>
              <w:p>
                <w:pPr>
                  <w:spacing w:line="276" w:lineRule="auto"/>
                  <w:jc w:val="both"/>
                  <w:rPr>
                    <w:rFonts w:eastAsia="Calibri"/>
                    <w:szCs w:val="24"/>
                  </w:rPr>
                </w:pPr>
                <w:r>
                  <w:rPr>
                    <w:rFonts w:eastAsia="Calibri"/>
                    <w:szCs w:val="24"/>
                  </w:rPr>
                  <w:t>7.1.</w:t>
                </w:r>
              </w:p>
            </w:tc>
            <w:tc>
              <w:tcPr>
                <w:tcW w:w="2977" w:type="dxa"/>
              </w:tcPr>
              <w:p>
                <w:pPr>
                  <w:spacing w:line="276" w:lineRule="auto"/>
                  <w:rPr>
                    <w:rFonts w:eastAsia="Calibri"/>
                    <w:szCs w:val="24"/>
                  </w:rPr>
                </w:pPr>
                <w:r>
                  <w:rPr>
                    <w:rFonts w:eastAsia="Calibri"/>
                    <w:szCs w:val="24"/>
                  </w:rPr>
                  <w:t>Lėtinis hepatitas B, B18.1</w:t>
                </w:r>
              </w:p>
              <w:p>
                <w:pPr>
                  <w:spacing w:line="276" w:lineRule="auto"/>
                  <w:rPr>
                    <w:rFonts w:eastAsia="Calibri"/>
                    <w:szCs w:val="24"/>
                  </w:rPr>
                </w:pPr>
                <w:r>
                  <w:rPr>
                    <w:rFonts w:eastAsia="Calibri"/>
                    <w:szCs w:val="24"/>
                  </w:rPr>
                  <w:t>Lėtinis hepatitas C, B18.2</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color w:val="000000"/>
                    <w:szCs w:val="24"/>
                  </w:rPr>
                </w:pPr>
                <w:r>
                  <w:rPr>
                    <w:rFonts w:eastAsia="Calibri"/>
                    <w:szCs w:val="24"/>
                  </w:rPr>
                  <w:t xml:space="preserve">Po gydymo dėl tinkamumo dirbti </w:t>
                </w:r>
                <w:r>
                  <w:rPr>
                    <w:rFonts w:eastAsia="Calibri"/>
                    <w:color w:val="000000"/>
                    <w:szCs w:val="24"/>
                  </w:rPr>
                  <w:t>jūrų ir vidaus vandenų laivuose</w:t>
                </w:r>
                <w:r>
                  <w:rPr>
                    <w:rFonts w:eastAsia="Calibri"/>
                    <w:szCs w:val="24"/>
                  </w:rPr>
                  <w:t xml:space="preserve"> sprendžiama </w:t>
                </w:r>
                <w:r>
                  <w:rPr>
                    <w:rFonts w:eastAsia="Calibri"/>
                    <w:color w:val="000000"/>
                    <w:szCs w:val="24"/>
                  </w:rPr>
                  <w:t>individualiai po gydytojo gastroenterologo</w:t>
                </w:r>
                <w:r>
                  <w:rPr>
                    <w:rFonts w:eastAsia="Calibri"/>
                    <w:szCs w:val="24"/>
                  </w:rPr>
                  <w:t xml:space="preserve"> ar </w:t>
                </w:r>
                <w:r>
                  <w:rPr>
                    <w:rFonts w:eastAsia="Calibri"/>
                    <w:color w:val="000000"/>
                    <w:szCs w:val="24"/>
                  </w:rPr>
                  <w:t xml:space="preserve">gydytojo </w:t>
                </w:r>
                <w:r>
                  <w:rPr>
                    <w:rFonts w:eastAsia="Calibri"/>
                    <w:szCs w:val="24"/>
                  </w:rPr>
                  <w:t>infektologo konsultacijos.</w:t>
                </w:r>
              </w:p>
            </w:tc>
          </w:tr>
          <w:tr>
            <w:tc>
              <w:tcPr>
                <w:tcW w:w="816" w:type="dxa"/>
              </w:tcPr>
              <w:p>
                <w:pPr>
                  <w:spacing w:line="276" w:lineRule="auto"/>
                  <w:jc w:val="both"/>
                  <w:rPr>
                    <w:rFonts w:eastAsia="Calibri"/>
                    <w:szCs w:val="24"/>
                  </w:rPr>
                </w:pPr>
                <w:r>
                  <w:rPr>
                    <w:rFonts w:eastAsia="Calibri"/>
                    <w:szCs w:val="24"/>
                  </w:rPr>
                  <w:t>7.2.</w:t>
                </w:r>
              </w:p>
            </w:tc>
            <w:tc>
              <w:tcPr>
                <w:tcW w:w="2977" w:type="dxa"/>
              </w:tcPr>
              <w:p>
                <w:pPr>
                  <w:spacing w:line="276" w:lineRule="auto"/>
                  <w:rPr>
                    <w:rFonts w:eastAsia="Calibri"/>
                    <w:szCs w:val="24"/>
                  </w:rPr>
                </w:pPr>
                <w:r>
                  <w:rPr>
                    <w:rFonts w:eastAsia="Calibri"/>
                    <w:szCs w:val="24"/>
                  </w:rPr>
                  <w:t>Erozinis ezofagitas, K20</w:t>
                </w:r>
              </w:p>
              <w:p>
                <w:pPr>
                  <w:spacing w:line="276" w:lineRule="auto"/>
                  <w:rPr>
                    <w:rFonts w:eastAsia="Calibri"/>
                    <w:szCs w:val="24"/>
                  </w:rPr>
                </w:pPr>
                <w:r>
                  <w:rPr>
                    <w:rFonts w:eastAsia="Calibri"/>
                    <w:szCs w:val="24"/>
                  </w:rPr>
                  <w:t>Skrandžio opa, K25.7</w:t>
                </w:r>
              </w:p>
              <w:p>
                <w:pPr>
                  <w:spacing w:line="276" w:lineRule="auto"/>
                  <w:rPr>
                    <w:rFonts w:eastAsia="Calibri"/>
                    <w:szCs w:val="24"/>
                  </w:rPr>
                </w:pPr>
                <w:r>
                  <w:rPr>
                    <w:rFonts w:eastAsia="Calibri"/>
                    <w:szCs w:val="24"/>
                  </w:rPr>
                  <w:t>Dvylikapirštės žarnos opa, K26.7</w:t>
                </w:r>
              </w:p>
              <w:p>
                <w:pPr>
                  <w:spacing w:line="276" w:lineRule="auto"/>
                  <w:rPr>
                    <w:rFonts w:eastAsia="Calibri"/>
                    <w:szCs w:val="24"/>
                  </w:rPr>
                </w:pPr>
                <w:r>
                  <w:rPr>
                    <w:rFonts w:eastAsia="Calibri"/>
                    <w:szCs w:val="24"/>
                  </w:rPr>
                  <w:t>Ūminis hemoraginis gastritas, K29.0</w:t>
                </w:r>
              </w:p>
              <w:p>
                <w:pPr>
                  <w:spacing w:line="276" w:lineRule="auto"/>
                  <w:rPr>
                    <w:rFonts w:eastAsia="Calibri"/>
                    <w:szCs w:val="24"/>
                  </w:rPr>
                </w:pP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color w:val="000000"/>
                    <w:szCs w:val="24"/>
                  </w:rPr>
                  <w:t>Dėl tinkamumo dirbti jūrų ir vidaus vandenų laivuose sprendžiama individualiai, jei liga komplikuojasi (po kraujavimo), praėjus 3 mėn. po pasveikimo, po gydytojo gastroenterologo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7.3.</w:t>
                </w:r>
              </w:p>
            </w:tc>
            <w:tc>
              <w:tcPr>
                <w:tcW w:w="2977" w:type="dxa"/>
              </w:tcPr>
              <w:p>
                <w:pPr>
                  <w:spacing w:line="276" w:lineRule="auto"/>
                  <w:rPr>
                    <w:rFonts w:eastAsia="Calibri"/>
                    <w:szCs w:val="24"/>
                  </w:rPr>
                </w:pPr>
                <w:r>
                  <w:rPr>
                    <w:rFonts w:eastAsia="Calibri"/>
                    <w:szCs w:val="24"/>
                  </w:rPr>
                  <w:t>Krono liga, K50</w:t>
                </w:r>
              </w:p>
              <w:p>
                <w:pPr>
                  <w:spacing w:line="276" w:lineRule="auto"/>
                  <w:rPr>
                    <w:rFonts w:eastAsia="Calibri"/>
                    <w:szCs w:val="24"/>
                  </w:rPr>
                </w:pPr>
                <w:r>
                  <w:rPr>
                    <w:rFonts w:eastAsia="Calibri"/>
                    <w:szCs w:val="24"/>
                  </w:rPr>
                  <w:t>Opinis kolitas, K51</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tinkamumo </w:t>
                </w:r>
                <w:r>
                  <w:rPr>
                    <w:rFonts w:eastAsia="Calibri"/>
                    <w:color w:val="000000"/>
                    <w:szCs w:val="24"/>
                  </w:rPr>
                  <w:t>dirbti</w:t>
                </w:r>
                <w:r>
                  <w:rPr>
                    <w:rFonts w:eastAsia="Calibri"/>
                    <w:szCs w:val="24"/>
                  </w:rPr>
                  <w:t xml:space="preserve"> jūrų ir vidaus vandenų laivuose </w:t>
                </w:r>
                <w:r>
                  <w:rPr>
                    <w:rFonts w:eastAsia="Calibri"/>
                    <w:color w:val="000000"/>
                    <w:szCs w:val="24"/>
                  </w:rPr>
                  <w:t>po gydytojo gastroenterologo konsultacijos sprendžiama individualiai</w:t>
                </w:r>
                <w:r>
                  <w:rPr>
                    <w:rFonts w:eastAsia="Calibri"/>
                    <w:szCs w:val="24"/>
                  </w:rPr>
                  <w:t>, jeigu 1 metų laikotarpiu buvo ligos remisija.</w:t>
                </w:r>
              </w:p>
            </w:tc>
          </w:tr>
          <w:tr>
            <w:tc>
              <w:tcPr>
                <w:tcW w:w="816" w:type="dxa"/>
              </w:tcPr>
              <w:p>
                <w:pPr>
                  <w:spacing w:line="276" w:lineRule="auto"/>
                  <w:jc w:val="both"/>
                  <w:rPr>
                    <w:rFonts w:eastAsia="Calibri"/>
                    <w:szCs w:val="24"/>
                  </w:rPr>
                </w:pPr>
                <w:r>
                  <w:rPr>
                    <w:rFonts w:eastAsia="Calibri"/>
                    <w:szCs w:val="24"/>
                  </w:rPr>
                  <w:t>7.4.</w:t>
                </w:r>
              </w:p>
            </w:tc>
            <w:tc>
              <w:tcPr>
                <w:tcW w:w="2977" w:type="dxa"/>
              </w:tcPr>
              <w:p>
                <w:pPr>
                  <w:spacing w:line="276" w:lineRule="auto"/>
                  <w:rPr>
                    <w:rFonts w:eastAsia="Calibri"/>
                    <w:szCs w:val="24"/>
                  </w:rPr>
                </w:pPr>
                <w:r>
                  <w:rPr>
                    <w:rFonts w:eastAsia="Calibri"/>
                    <w:szCs w:val="24"/>
                  </w:rPr>
                  <w:t>Storosios žarnos divertikulinė liga, komplikuota divertikulitu, kraujavimu,</w:t>
                </w:r>
              </w:p>
              <w:p>
                <w:pPr>
                  <w:spacing w:line="276" w:lineRule="auto"/>
                  <w:rPr>
                    <w:rFonts w:eastAsia="Calibri"/>
                    <w:szCs w:val="24"/>
                  </w:rPr>
                </w:pPr>
                <w:r>
                  <w:rPr>
                    <w:rFonts w:eastAsia="Calibri"/>
                    <w:szCs w:val="24"/>
                  </w:rPr>
                  <w:t>K57.23</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w:t>
                </w:r>
                <w:r>
                  <w:rPr>
                    <w:rFonts w:eastAsia="Calibri"/>
                    <w:szCs w:val="24"/>
                  </w:rPr>
                  <w:t xml:space="preserve"> sprendžiama individualiai po 3 mėn. </w:t>
                </w:r>
                <w:r>
                  <w:rPr>
                    <w:rFonts w:eastAsia="Calibri"/>
                    <w:color w:val="000000"/>
                    <w:szCs w:val="24"/>
                  </w:rPr>
                  <w:t>po gydytojo gastroenterologo konsultacijos, jeigu</w:t>
                </w:r>
                <w:r>
                  <w:rPr>
                    <w:rFonts w:eastAsia="Calibri"/>
                    <w:szCs w:val="24"/>
                  </w:rPr>
                  <w:t xml:space="preserve"> 3 mėnesių laikotarpiu buvo ligos remisija.</w:t>
                </w:r>
              </w:p>
            </w:tc>
          </w:tr>
          <w:tr>
            <w:tc>
              <w:tcPr>
                <w:tcW w:w="816" w:type="dxa"/>
              </w:tcPr>
              <w:p>
                <w:pPr>
                  <w:spacing w:line="276" w:lineRule="auto"/>
                  <w:jc w:val="both"/>
                  <w:rPr>
                    <w:rFonts w:eastAsia="Calibri"/>
                    <w:szCs w:val="24"/>
                  </w:rPr>
                </w:pPr>
                <w:r>
                  <w:rPr>
                    <w:rFonts w:eastAsia="Calibri"/>
                    <w:szCs w:val="24"/>
                  </w:rPr>
                  <w:t>7.5.</w:t>
                </w:r>
              </w:p>
            </w:tc>
            <w:tc>
              <w:tcPr>
                <w:tcW w:w="2977" w:type="dxa"/>
              </w:tcPr>
              <w:p>
                <w:pPr>
                  <w:spacing w:line="276" w:lineRule="auto"/>
                  <w:rPr>
                    <w:rFonts w:eastAsia="Calibri"/>
                    <w:szCs w:val="24"/>
                  </w:rPr>
                </w:pPr>
                <w:r>
                  <w:rPr>
                    <w:rFonts w:eastAsia="Calibri"/>
                    <w:szCs w:val="24"/>
                  </w:rPr>
                  <w:t>Kepenų cirozė, K74</w:t>
                </w:r>
              </w:p>
            </w:tc>
            <w:tc>
              <w:tcPr>
                <w:tcW w:w="4110" w:type="dxa"/>
              </w:tcPr>
              <w:p>
                <w:pPr>
                  <w:spacing w:line="276" w:lineRule="auto"/>
                  <w:jc w:val="both"/>
                  <w:rPr>
                    <w:rFonts w:eastAsia="Calibri"/>
                    <w:szCs w:val="24"/>
                  </w:rPr>
                </w:pPr>
                <w:r>
                  <w:rPr>
                    <w:rFonts w:eastAsia="Calibri"/>
                    <w:szCs w:val="24"/>
                  </w:rPr>
                  <w:t>Nė vienos profesinės grupės darbuotojai negali dirbti jūrų laive.</w:t>
                </w:r>
              </w:p>
            </w:tc>
            <w:tc>
              <w:tcPr>
                <w:tcW w:w="4252" w:type="dxa"/>
              </w:tcPr>
              <w:p>
                <w:pPr>
                  <w:spacing w:line="276" w:lineRule="auto"/>
                  <w:jc w:val="both"/>
                  <w:rPr>
                    <w:rFonts w:eastAsia="Calibri"/>
                    <w:szCs w:val="24"/>
                  </w:rPr>
                </w:pPr>
                <w:r>
                  <w:rPr>
                    <w:rFonts w:eastAsia="Calibri"/>
                    <w:szCs w:val="24"/>
                  </w:rPr>
                  <w:t>Nė vienos profesinės grupės darbuotojai negali dirbti vidaus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7.6.</w:t>
                </w:r>
              </w:p>
            </w:tc>
            <w:tc>
              <w:tcPr>
                <w:tcW w:w="2977" w:type="dxa"/>
              </w:tcPr>
              <w:p>
                <w:pPr>
                  <w:spacing w:line="276" w:lineRule="auto"/>
                  <w:rPr>
                    <w:rFonts w:eastAsia="Calibri"/>
                    <w:szCs w:val="24"/>
                  </w:rPr>
                </w:pPr>
                <w:r>
                  <w:rPr>
                    <w:rFonts w:eastAsia="Calibri"/>
                    <w:szCs w:val="24"/>
                  </w:rPr>
                  <w:t>Tulžies pūslės akmuo be</w:t>
                </w:r>
                <w:r>
                  <w:rPr>
                    <w:rFonts w:eastAsia="Calibri"/>
                    <w:strike/>
                    <w:szCs w:val="24"/>
                  </w:rPr>
                  <w:t xml:space="preserve"> </w:t>
                </w:r>
                <w:r>
                  <w:rPr>
                    <w:rFonts w:eastAsia="Calibri"/>
                    <w:szCs w:val="24"/>
                  </w:rPr>
                  <w:t>cholecistito, K80.2</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Jei nėra klinikinių požymių – visų profesinių grupių asmenys gali dirbti jūrų ir vidaus vandenų laivuose.</w:t>
                </w:r>
              </w:p>
            </w:tc>
          </w:tr>
          <w:tr>
            <w:tc>
              <w:tcPr>
                <w:tcW w:w="816" w:type="dxa"/>
              </w:tcPr>
              <w:p>
                <w:pPr>
                  <w:spacing w:line="276" w:lineRule="auto"/>
                  <w:jc w:val="both"/>
                  <w:rPr>
                    <w:rFonts w:eastAsia="Calibri"/>
                    <w:szCs w:val="24"/>
                  </w:rPr>
                </w:pPr>
                <w:r>
                  <w:rPr>
                    <w:rFonts w:eastAsia="Calibri"/>
                    <w:szCs w:val="24"/>
                  </w:rPr>
                  <w:t>7.7.</w:t>
                </w:r>
              </w:p>
            </w:tc>
            <w:tc>
              <w:tcPr>
                <w:tcW w:w="2977" w:type="dxa"/>
              </w:tcPr>
              <w:p>
                <w:pPr>
                  <w:spacing w:line="276" w:lineRule="auto"/>
                  <w:rPr>
                    <w:rFonts w:eastAsia="Calibri"/>
                    <w:szCs w:val="24"/>
                  </w:rPr>
                </w:pPr>
                <w:r>
                  <w:rPr>
                    <w:rFonts w:eastAsia="Calibri"/>
                    <w:szCs w:val="24"/>
                  </w:rPr>
                  <w:t>Ūminis pankreatitas, K85 Lėtinis pankreatitas, K86.1</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 sprendžiama individualiai po gydytojo gastroenterologo</w:t>
                </w:r>
                <w:r>
                  <w:rPr>
                    <w:rFonts w:eastAsia="Calibri"/>
                    <w:szCs w:val="24"/>
                  </w:rPr>
                  <w:t xml:space="preserve"> konsultacijos, jeigu 3 mėnesių laikotarpiu buvo ligos remisija.</w:t>
                </w:r>
              </w:p>
            </w:tc>
          </w:tr>
          <w:tr>
            <w:tc>
              <w:tcPr>
                <w:tcW w:w="816" w:type="dxa"/>
              </w:tcPr>
              <w:p>
                <w:pPr>
                  <w:spacing w:line="276" w:lineRule="auto"/>
                  <w:jc w:val="both"/>
                  <w:rPr>
                    <w:rFonts w:eastAsia="Calibri"/>
                    <w:b/>
                    <w:szCs w:val="24"/>
                  </w:rPr>
                </w:pPr>
                <w:r>
                  <w:rPr>
                    <w:rFonts w:eastAsia="Calibri"/>
                    <w:b/>
                    <w:szCs w:val="24"/>
                  </w:rPr>
                  <w:t>8.</w:t>
                </w:r>
              </w:p>
            </w:tc>
            <w:tc>
              <w:tcPr>
                <w:tcW w:w="14140" w:type="dxa"/>
                <w:gridSpan w:val="4"/>
              </w:tcPr>
              <w:p>
                <w:pPr>
                  <w:spacing w:line="276" w:lineRule="auto"/>
                  <w:jc w:val="center"/>
                  <w:rPr>
                    <w:rFonts w:eastAsia="Calibri"/>
                    <w:b/>
                    <w:szCs w:val="24"/>
                  </w:rPr>
                </w:pPr>
                <w:r>
                  <w:rPr>
                    <w:rFonts w:eastAsia="Calibri"/>
                    <w:b/>
                    <w:szCs w:val="24"/>
                  </w:rPr>
                  <w:t>JUNGIAMOJO AUDINIO IR RAUMENŲ BEI SKELETO LIGOS</w:t>
                </w:r>
              </w:p>
            </w:tc>
          </w:tr>
          <w:tr>
            <w:tc>
              <w:tcPr>
                <w:tcW w:w="816" w:type="dxa"/>
              </w:tcPr>
              <w:p>
                <w:pPr>
                  <w:spacing w:line="276" w:lineRule="auto"/>
                  <w:jc w:val="both"/>
                  <w:rPr>
                    <w:rFonts w:eastAsia="Calibri"/>
                    <w:szCs w:val="24"/>
                  </w:rPr>
                </w:pPr>
                <w:r>
                  <w:rPr>
                    <w:rFonts w:eastAsia="Calibri"/>
                    <w:szCs w:val="24"/>
                  </w:rPr>
                  <w:t>8.1.</w:t>
                </w:r>
              </w:p>
            </w:tc>
            <w:tc>
              <w:tcPr>
                <w:tcW w:w="2977" w:type="dxa"/>
              </w:tcPr>
              <w:p>
                <w:pPr>
                  <w:spacing w:line="276" w:lineRule="auto"/>
                  <w:rPr>
                    <w:rFonts w:eastAsia="Calibri"/>
                    <w:szCs w:val="24"/>
                  </w:rPr>
                </w:pPr>
                <w:r>
                  <w:rPr>
                    <w:rFonts w:eastAsia="Calibri"/>
                    <w:szCs w:val="24"/>
                  </w:rPr>
                  <w:t>Uždegiminės poliartropatijos, M05–M14</w:t>
                </w:r>
              </w:p>
              <w:p>
                <w:pPr>
                  <w:spacing w:line="276" w:lineRule="auto"/>
                  <w:rPr>
                    <w:rFonts w:eastAsia="Calibri"/>
                    <w:szCs w:val="24"/>
                  </w:rPr>
                </w:pPr>
                <w:r>
                  <w:rPr>
                    <w:rFonts w:eastAsia="Calibri"/>
                    <w:szCs w:val="24"/>
                  </w:rPr>
                  <w:t>Sisteminės jungiamojo audinio ligos, M30–M36</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w:t>
                </w:r>
                <w:r>
                  <w:rPr>
                    <w:rFonts w:eastAsia="Calibri"/>
                    <w:szCs w:val="24"/>
                  </w:rPr>
                  <w:t xml:space="preserve"> sprendžiama individualiai </w:t>
                </w:r>
                <w:r>
                  <w:rPr>
                    <w:rFonts w:eastAsia="Calibri"/>
                    <w:color w:val="000000"/>
                    <w:szCs w:val="24"/>
                  </w:rPr>
                  <w:t>po gydytojo reumatologo konsultacijos.</w:t>
                </w:r>
              </w:p>
            </w:tc>
          </w:tr>
          <w:tr>
            <w:tc>
              <w:tcPr>
                <w:tcW w:w="816" w:type="dxa"/>
              </w:tcPr>
              <w:p>
                <w:pPr>
                  <w:spacing w:line="276" w:lineRule="auto"/>
                  <w:jc w:val="both"/>
                  <w:rPr>
                    <w:rFonts w:eastAsia="Calibri"/>
                    <w:b/>
                    <w:szCs w:val="24"/>
                  </w:rPr>
                </w:pPr>
                <w:r>
                  <w:rPr>
                    <w:rFonts w:eastAsia="Calibri"/>
                    <w:b/>
                    <w:szCs w:val="24"/>
                  </w:rPr>
                  <w:t>9.</w:t>
                </w:r>
              </w:p>
            </w:tc>
            <w:tc>
              <w:tcPr>
                <w:tcW w:w="14140" w:type="dxa"/>
                <w:gridSpan w:val="4"/>
              </w:tcPr>
              <w:p>
                <w:pPr>
                  <w:spacing w:line="276" w:lineRule="auto"/>
                  <w:jc w:val="center"/>
                  <w:rPr>
                    <w:rFonts w:eastAsia="Calibri"/>
                    <w:b/>
                    <w:szCs w:val="24"/>
                  </w:rPr>
                </w:pPr>
                <w:r>
                  <w:rPr>
                    <w:rFonts w:eastAsia="Calibri"/>
                    <w:b/>
                    <w:szCs w:val="24"/>
                  </w:rPr>
                  <w:t>LYTINĖS IR ŠLAPIMO SISTEMOS LIGOS</w:t>
                </w:r>
              </w:p>
            </w:tc>
          </w:tr>
          <w:tr>
            <w:tc>
              <w:tcPr>
                <w:tcW w:w="816" w:type="dxa"/>
              </w:tcPr>
              <w:p>
                <w:pPr>
                  <w:spacing w:line="276" w:lineRule="auto"/>
                  <w:jc w:val="both"/>
                  <w:rPr>
                    <w:rFonts w:eastAsia="Calibri"/>
                    <w:szCs w:val="24"/>
                  </w:rPr>
                </w:pPr>
                <w:r>
                  <w:rPr>
                    <w:rFonts w:eastAsia="Calibri"/>
                    <w:szCs w:val="24"/>
                  </w:rPr>
                  <w:t>9.1.</w:t>
                </w:r>
              </w:p>
            </w:tc>
            <w:tc>
              <w:tcPr>
                <w:tcW w:w="2977" w:type="dxa"/>
              </w:tcPr>
              <w:p>
                <w:pPr>
                  <w:spacing w:line="276" w:lineRule="auto"/>
                  <w:rPr>
                    <w:rFonts w:eastAsia="Calibri"/>
                    <w:szCs w:val="24"/>
                  </w:rPr>
                </w:pPr>
                <w:r>
                  <w:rPr>
                    <w:rFonts w:eastAsia="Calibri"/>
                    <w:szCs w:val="24"/>
                  </w:rPr>
                  <w:t>Glomerulų ligos, N00–N08</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Jei nėra inkstų funkcijos nepakankamumo, dėl </w:t>
                </w:r>
                <w:r>
                  <w:rPr>
                    <w:rFonts w:eastAsia="Calibri"/>
                    <w:color w:val="000000"/>
                    <w:szCs w:val="24"/>
                  </w:rPr>
                  <w:t>tinkamumo dirbti jūrų ir vidaus vandenų laivuose sprendžiama individualiai po gydytojo nefrologo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9.2.</w:t>
                </w:r>
              </w:p>
            </w:tc>
            <w:tc>
              <w:tcPr>
                <w:tcW w:w="2977" w:type="dxa"/>
              </w:tcPr>
              <w:p>
                <w:pPr>
                  <w:spacing w:line="276" w:lineRule="auto"/>
                  <w:rPr>
                    <w:rFonts w:eastAsia="Calibri"/>
                    <w:szCs w:val="24"/>
                  </w:rPr>
                </w:pPr>
                <w:r>
                  <w:rPr>
                    <w:rFonts w:eastAsia="Calibri"/>
                    <w:szCs w:val="24"/>
                  </w:rPr>
                  <w:t>Lėtinės urogenitalinės sistemos uždegiminės ligos,</w:t>
                </w:r>
              </w:p>
              <w:p>
                <w:pPr>
                  <w:spacing w:line="276" w:lineRule="auto"/>
                  <w:rPr>
                    <w:rFonts w:eastAsia="Calibri"/>
                    <w:szCs w:val="24"/>
                  </w:rPr>
                </w:pPr>
                <w:r>
                  <w:rPr>
                    <w:rFonts w:eastAsia="Calibri"/>
                    <w:szCs w:val="24"/>
                  </w:rPr>
                  <w:t>N11.1, N30.2,N34.1, N41.1</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Visų profesinių grupių asmenys, jei liga neūmi ir nesutrikusios organų funkcijos, gali dirbti jūrų ir vidaus vandenų laivuose. </w:t>
                </w:r>
              </w:p>
              <w:p>
                <w:pPr>
                  <w:spacing w:line="276" w:lineRule="auto"/>
                  <w:rPr>
                    <w:rFonts w:eastAsia="Calibri"/>
                    <w:szCs w:val="24"/>
                  </w:rPr>
                </w:pPr>
                <w:r>
                  <w:rPr>
                    <w:rFonts w:eastAsia="Calibri"/>
                    <w:szCs w:val="24"/>
                  </w:rPr>
                  <w:t xml:space="preserve">Periodinis tikrinimas </w:t>
                </w:r>
                <w:r>
                  <w:rPr>
                    <w:rFonts w:eastAsia="Calibri"/>
                    <w:color w:val="000000"/>
                    <w:szCs w:val="24"/>
                  </w:rPr>
                  <w:t>– pagal gydytojo urologo rekomendacijas</w:t>
                </w:r>
                <w:r>
                  <w:rPr>
                    <w:rFonts w:eastAsia="Calibri"/>
                    <w:szCs w:val="24"/>
                  </w:rPr>
                  <w:t>.</w:t>
                </w:r>
              </w:p>
            </w:tc>
          </w:tr>
          <w:tr>
            <w:tc>
              <w:tcPr>
                <w:tcW w:w="816" w:type="dxa"/>
              </w:tcPr>
              <w:p>
                <w:pPr>
                  <w:spacing w:line="276" w:lineRule="auto"/>
                  <w:jc w:val="both"/>
                  <w:rPr>
                    <w:rFonts w:eastAsia="Calibri"/>
                    <w:szCs w:val="24"/>
                  </w:rPr>
                </w:pPr>
                <w:r>
                  <w:rPr>
                    <w:rFonts w:eastAsia="Calibri"/>
                    <w:szCs w:val="24"/>
                  </w:rPr>
                  <w:t>9.3.</w:t>
                </w:r>
              </w:p>
            </w:tc>
            <w:tc>
              <w:tcPr>
                <w:tcW w:w="2977" w:type="dxa"/>
              </w:tcPr>
              <w:p>
                <w:pPr>
                  <w:spacing w:line="276" w:lineRule="auto"/>
                  <w:rPr>
                    <w:rFonts w:eastAsia="Calibri"/>
                    <w:szCs w:val="24"/>
                  </w:rPr>
                </w:pPr>
                <w:r>
                  <w:rPr>
                    <w:rFonts w:eastAsia="Calibri"/>
                    <w:szCs w:val="24"/>
                  </w:rPr>
                  <w:t>Obstrukcinė ir refliuksinė uropatija, N13.0–N13.9</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 xml:space="preserve">tinkamumo dirbti jūrų ir vidaus vandenų laivuose </w:t>
                </w:r>
                <w:r>
                  <w:rPr>
                    <w:rFonts w:eastAsia="Calibri"/>
                    <w:szCs w:val="24"/>
                  </w:rPr>
                  <w:t xml:space="preserve">sprendžiama individualiai </w:t>
                </w:r>
                <w:r>
                  <w:rPr>
                    <w:rFonts w:eastAsia="Calibri"/>
                    <w:color w:val="000000"/>
                    <w:szCs w:val="24"/>
                  </w:rPr>
                  <w:t>po gydytojo urologo ir (ar) gydytojo nefrologo</w:t>
                </w:r>
                <w:r>
                  <w:rPr>
                    <w:rFonts w:eastAsia="Calibri"/>
                    <w:szCs w:val="24"/>
                  </w:rPr>
                  <w:t xml:space="preserve"> konsultacijos, atsižvelgiant į organo funkcijos sutrikimo laipsnį ir galimų komplikacijų riziką.</w:t>
                </w:r>
              </w:p>
            </w:tc>
          </w:tr>
          <w:tr>
            <w:tc>
              <w:tcPr>
                <w:tcW w:w="816" w:type="dxa"/>
              </w:tcPr>
              <w:p>
                <w:pPr>
                  <w:spacing w:line="276" w:lineRule="auto"/>
                  <w:jc w:val="both"/>
                  <w:rPr>
                    <w:rFonts w:eastAsia="Calibri"/>
                    <w:szCs w:val="24"/>
                  </w:rPr>
                </w:pPr>
                <w:r>
                  <w:rPr>
                    <w:rFonts w:eastAsia="Calibri"/>
                    <w:szCs w:val="24"/>
                  </w:rPr>
                  <w:t>9.4.</w:t>
                </w:r>
              </w:p>
            </w:tc>
            <w:tc>
              <w:tcPr>
                <w:tcW w:w="2977" w:type="dxa"/>
              </w:tcPr>
              <w:p>
                <w:pPr>
                  <w:spacing w:line="276" w:lineRule="auto"/>
                  <w:rPr>
                    <w:rFonts w:eastAsia="Calibri"/>
                    <w:szCs w:val="24"/>
                  </w:rPr>
                </w:pPr>
                <w:r>
                  <w:rPr>
                    <w:rFonts w:eastAsia="Calibri"/>
                    <w:szCs w:val="24"/>
                  </w:rPr>
                  <w:t>Lėtinis inkstų nepakankamumas, N18 (I–II laipsnio)</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 sprendžiama individualiai po gydytojo nefrologo konsultacijos.</w:t>
                </w:r>
              </w:p>
            </w:tc>
          </w:tr>
          <w:tr>
            <w:tc>
              <w:tcPr>
                <w:tcW w:w="816" w:type="dxa"/>
              </w:tcPr>
              <w:p>
                <w:pPr>
                  <w:spacing w:line="276" w:lineRule="auto"/>
                  <w:jc w:val="both"/>
                  <w:rPr>
                    <w:rFonts w:eastAsia="Calibri"/>
                    <w:szCs w:val="24"/>
                  </w:rPr>
                </w:pPr>
                <w:r>
                  <w:rPr>
                    <w:rFonts w:eastAsia="Calibri"/>
                    <w:szCs w:val="24"/>
                  </w:rPr>
                  <w:t>9.5.</w:t>
                </w:r>
              </w:p>
            </w:tc>
            <w:tc>
              <w:tcPr>
                <w:tcW w:w="2977" w:type="dxa"/>
              </w:tcPr>
              <w:p>
                <w:pPr>
                  <w:spacing w:line="276" w:lineRule="auto"/>
                  <w:rPr>
                    <w:rFonts w:eastAsia="Calibri"/>
                    <w:szCs w:val="24"/>
                  </w:rPr>
                </w:pPr>
                <w:r>
                  <w:rPr>
                    <w:rFonts w:eastAsia="Calibri"/>
                    <w:szCs w:val="24"/>
                  </w:rPr>
                  <w:t>Lėtinis inkstų nepakankamumas, N18 (III–IV laipsnio)</w:t>
                </w:r>
              </w:p>
            </w:tc>
            <w:tc>
              <w:tcPr>
                <w:tcW w:w="4110" w:type="dxa"/>
              </w:tcPr>
              <w:p>
                <w:pPr>
                  <w:spacing w:line="276" w:lineRule="auto"/>
                  <w:jc w:val="both"/>
                  <w:rPr>
                    <w:rFonts w:eastAsia="Calibri"/>
                    <w:szCs w:val="24"/>
                  </w:rPr>
                </w:pPr>
                <w:r>
                  <w:rPr>
                    <w:rFonts w:eastAsia="Calibri"/>
                    <w:szCs w:val="24"/>
                  </w:rPr>
                  <w:t>Nė vienos profesinės grupės darbuotojai</w:t>
                </w:r>
                <w:r>
                  <w:rPr>
                    <w:rFonts w:eastAsia="Calibri"/>
                    <w:color w:val="000000"/>
                    <w:szCs w:val="24"/>
                  </w:rPr>
                  <w:t xml:space="preserve"> </w:t>
                </w:r>
                <w:r>
                  <w:rPr>
                    <w:rFonts w:eastAsia="Calibri"/>
                    <w:szCs w:val="24"/>
                  </w:rPr>
                  <w:t>negali dirbti jūrų laive.</w:t>
                </w:r>
              </w:p>
            </w:tc>
            <w:tc>
              <w:tcPr>
                <w:tcW w:w="4252" w:type="dxa"/>
              </w:tcPr>
              <w:p>
                <w:pPr>
                  <w:spacing w:line="276" w:lineRule="auto"/>
                  <w:jc w:val="both"/>
                  <w:rPr>
                    <w:rFonts w:eastAsia="Calibri"/>
                    <w:szCs w:val="24"/>
                  </w:rPr>
                </w:pPr>
                <w:r>
                  <w:rPr>
                    <w:rFonts w:eastAsia="Calibri"/>
                    <w:szCs w:val="24"/>
                  </w:rPr>
                  <w:t>Nė vienos profesinės grupės darbuotojai</w:t>
                </w:r>
                <w:r>
                  <w:rPr>
                    <w:rFonts w:eastAsia="Calibri"/>
                    <w:color w:val="000000"/>
                    <w:szCs w:val="24"/>
                  </w:rPr>
                  <w:t xml:space="preserve"> </w:t>
                </w:r>
                <w:r>
                  <w:rPr>
                    <w:rFonts w:eastAsia="Calibri"/>
                    <w:szCs w:val="24"/>
                  </w:rPr>
                  <w:t>negali dirbti vidaus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9.6.</w:t>
                </w:r>
              </w:p>
            </w:tc>
            <w:tc>
              <w:tcPr>
                <w:tcW w:w="2977" w:type="dxa"/>
              </w:tcPr>
              <w:p>
                <w:pPr>
                  <w:spacing w:line="276" w:lineRule="auto"/>
                  <w:rPr>
                    <w:rFonts w:eastAsia="Calibri"/>
                    <w:szCs w:val="24"/>
                  </w:rPr>
                </w:pPr>
                <w:r>
                  <w:rPr>
                    <w:rFonts w:eastAsia="Calibri"/>
                    <w:szCs w:val="24"/>
                  </w:rPr>
                  <w:t>Inkstų ir šlapimo takų akmenligė, N20–N23</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Nekomplikuotos ir komplikuotos akmenligės (uždegimas, hidronefrozė ir kitos komplikacijos) atveju po gydymo dėl tinkamumo </w:t>
                </w:r>
                <w:r>
                  <w:rPr>
                    <w:rFonts w:eastAsia="Calibri"/>
                    <w:color w:val="000000"/>
                    <w:szCs w:val="24"/>
                  </w:rPr>
                  <w:t>dirbti jūrų ir vidaus vandenų laiv</w:t>
                </w:r>
                <w:r>
                  <w:rPr>
                    <w:rFonts w:eastAsia="Calibri"/>
                    <w:szCs w:val="24"/>
                  </w:rPr>
                  <w:t xml:space="preserve">uose sprendžiama individualiai po </w:t>
                </w:r>
                <w:r>
                  <w:rPr>
                    <w:rFonts w:eastAsia="Calibri"/>
                    <w:color w:val="000000"/>
                    <w:szCs w:val="24"/>
                  </w:rPr>
                  <w:t>gydytojo urologo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9.7.</w:t>
                </w:r>
              </w:p>
            </w:tc>
            <w:tc>
              <w:tcPr>
                <w:tcW w:w="2977" w:type="dxa"/>
              </w:tcPr>
              <w:p>
                <w:pPr>
                  <w:spacing w:line="276" w:lineRule="auto"/>
                  <w:rPr>
                    <w:rFonts w:eastAsia="Calibri"/>
                    <w:color w:val="000000"/>
                    <w:szCs w:val="24"/>
                  </w:rPr>
                </w:pPr>
                <w:r>
                  <w:rPr>
                    <w:rFonts w:eastAsia="Calibri"/>
                    <w:color w:val="000000"/>
                    <w:szCs w:val="24"/>
                  </w:rPr>
                  <w:t>Įgyta inksto cista, (dauginė) (solitarinė) N28.1</w:t>
                </w:r>
              </w:p>
              <w:p>
                <w:pPr>
                  <w:spacing w:line="276" w:lineRule="auto"/>
                  <w:rPr>
                    <w:rFonts w:eastAsia="Calibri"/>
                    <w:color w:val="000000"/>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Negalima </w:t>
                </w:r>
                <w:r>
                  <w:rPr>
                    <w:rFonts w:eastAsia="Calibri"/>
                    <w:color w:val="000000"/>
                    <w:szCs w:val="24"/>
                  </w:rPr>
                  <w:t>dirbti jūrų ir vidaus vandenų</w:t>
                </w:r>
                <w:r>
                  <w:rPr>
                    <w:rFonts w:eastAsia="Calibri"/>
                    <w:szCs w:val="24"/>
                  </w:rPr>
                  <w:t xml:space="preserve"> laivuose, kai yra didelė komplikacijų rizika ar inkstų funkcijos nepakankamumas. Dėl tinkamumo sprendžiama individualiai </w:t>
                </w:r>
                <w:r>
                  <w:rPr>
                    <w:rFonts w:eastAsia="Calibri"/>
                    <w:color w:val="000000"/>
                    <w:szCs w:val="24"/>
                  </w:rPr>
                  <w:t>po gydytojo urologo ir (ar) gydytojo</w:t>
                </w:r>
                <w:r>
                  <w:rPr>
                    <w:rFonts w:eastAsia="Calibri"/>
                    <w:szCs w:val="24"/>
                  </w:rPr>
                  <w:t xml:space="preserve"> nefrologo konsultacijos.</w:t>
                </w:r>
              </w:p>
            </w:tc>
          </w:tr>
          <w:tr>
            <w:tc>
              <w:tcPr>
                <w:tcW w:w="816" w:type="dxa"/>
              </w:tcPr>
              <w:p>
                <w:pPr>
                  <w:spacing w:line="276" w:lineRule="auto"/>
                  <w:jc w:val="both"/>
                  <w:rPr>
                    <w:rFonts w:eastAsia="Calibri"/>
                    <w:szCs w:val="24"/>
                  </w:rPr>
                </w:pPr>
                <w:r>
                  <w:rPr>
                    <w:rFonts w:eastAsia="Calibri"/>
                    <w:szCs w:val="24"/>
                  </w:rPr>
                  <w:t>9.8.</w:t>
                </w:r>
              </w:p>
            </w:tc>
            <w:tc>
              <w:tcPr>
                <w:tcW w:w="2977" w:type="dxa"/>
              </w:tcPr>
              <w:p>
                <w:pPr>
                  <w:spacing w:line="276" w:lineRule="auto"/>
                  <w:rPr>
                    <w:rFonts w:eastAsia="Calibri"/>
                    <w:szCs w:val="24"/>
                  </w:rPr>
                </w:pPr>
                <w:r>
                  <w:rPr>
                    <w:rFonts w:eastAsia="Calibri"/>
                    <w:szCs w:val="24"/>
                  </w:rPr>
                  <w:t>Priešinės liaukos (prostatos) hiperplazija, N40</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tinkamumo </w:t>
                </w:r>
                <w:r>
                  <w:rPr>
                    <w:rFonts w:eastAsia="Calibri"/>
                    <w:color w:val="000000"/>
                    <w:szCs w:val="24"/>
                  </w:rPr>
                  <w:t>dirbti jūrų ir vidaus vandenų laivuose</w:t>
                </w:r>
                <w:r>
                  <w:rPr>
                    <w:rFonts w:eastAsia="Calibri"/>
                    <w:szCs w:val="24"/>
                  </w:rPr>
                  <w:t xml:space="preserve"> sprendžiama individualiai </w:t>
                </w:r>
                <w:r>
                  <w:rPr>
                    <w:rFonts w:eastAsia="Calibri"/>
                    <w:color w:val="000000"/>
                    <w:szCs w:val="24"/>
                  </w:rPr>
                  <w:t>po gydytojo urologo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9.9.</w:t>
                </w:r>
              </w:p>
            </w:tc>
            <w:tc>
              <w:tcPr>
                <w:tcW w:w="2977" w:type="dxa"/>
              </w:tcPr>
              <w:p>
                <w:pPr>
                  <w:spacing w:line="276" w:lineRule="auto"/>
                  <w:rPr>
                    <w:rFonts w:eastAsia="Calibri"/>
                    <w:color w:val="000000"/>
                    <w:szCs w:val="24"/>
                  </w:rPr>
                </w:pPr>
                <w:r>
                  <w:rPr>
                    <w:rFonts w:eastAsia="Calibri"/>
                    <w:color w:val="000000"/>
                    <w:szCs w:val="24"/>
                  </w:rPr>
                  <w:t>Įgimtos šlapimo organų sistemos formavimosi ydos, Q60– Q64</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 xml:space="preserve">tinkamumo dirbti jūrų ir vidaus vandenų laivuose </w:t>
                </w:r>
                <w:r>
                  <w:rPr>
                    <w:rFonts w:eastAsia="Calibri"/>
                    <w:szCs w:val="24"/>
                  </w:rPr>
                  <w:t xml:space="preserve">sprendžiama individualiai </w:t>
                </w:r>
                <w:r>
                  <w:rPr>
                    <w:rFonts w:eastAsia="Calibri"/>
                    <w:color w:val="000000"/>
                    <w:szCs w:val="24"/>
                  </w:rPr>
                  <w:t>po gydytojo urologo ir (ar) gydytojo nefrologo</w:t>
                </w:r>
                <w:r>
                  <w:rPr>
                    <w:rFonts w:eastAsia="Calibri"/>
                    <w:szCs w:val="24"/>
                  </w:rPr>
                  <w:t xml:space="preserve"> konsultacijos, atsižvelgiant į organo funkcijos sutrikimo laipsnį ir galimų komplikacijų riziką.</w:t>
                </w:r>
              </w:p>
            </w:tc>
          </w:tr>
          <w:tr>
            <w:tc>
              <w:tcPr>
                <w:tcW w:w="816" w:type="dxa"/>
              </w:tcPr>
              <w:p>
                <w:pPr>
                  <w:spacing w:line="276" w:lineRule="auto"/>
                  <w:jc w:val="both"/>
                  <w:rPr>
                    <w:rFonts w:eastAsia="Calibri"/>
                    <w:szCs w:val="24"/>
                  </w:rPr>
                </w:pPr>
                <w:r>
                  <w:rPr>
                    <w:rFonts w:eastAsia="Calibri"/>
                    <w:szCs w:val="24"/>
                  </w:rPr>
                  <w:t>9.10.</w:t>
                </w:r>
              </w:p>
            </w:tc>
            <w:tc>
              <w:tcPr>
                <w:tcW w:w="2977" w:type="dxa"/>
              </w:tcPr>
              <w:p>
                <w:pPr>
                  <w:spacing w:line="276" w:lineRule="auto"/>
                  <w:rPr>
                    <w:rFonts w:eastAsia="Calibri"/>
                    <w:szCs w:val="24"/>
                  </w:rPr>
                </w:pPr>
                <w:r>
                  <w:rPr>
                    <w:rFonts w:eastAsia="Calibri"/>
                    <w:szCs w:val="24"/>
                  </w:rPr>
                  <w:t>Inksto įgytas nebuvimas (būklė po nefrektomijos), Z90.5</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Jei vienintelio inksto funkcija normali, dėl tinkamumo dirbti jūrų ir vidaus vandenų laivuose sprendžiama individualiai po gydytojo nefrologo konsultacijos.</w:t>
                </w:r>
              </w:p>
            </w:tc>
          </w:tr>
          <w:tr>
            <w:tc>
              <w:tcPr>
                <w:tcW w:w="816" w:type="dxa"/>
              </w:tcPr>
              <w:p>
                <w:pPr>
                  <w:spacing w:line="276" w:lineRule="auto"/>
                  <w:jc w:val="both"/>
                  <w:rPr>
                    <w:rFonts w:eastAsia="Calibri"/>
                    <w:szCs w:val="24"/>
                  </w:rPr>
                </w:pPr>
                <w:r>
                  <w:rPr>
                    <w:rFonts w:eastAsia="Calibri"/>
                    <w:szCs w:val="24"/>
                  </w:rPr>
                  <w:t>9.11.</w:t>
                </w:r>
              </w:p>
            </w:tc>
            <w:tc>
              <w:tcPr>
                <w:tcW w:w="2977" w:type="dxa"/>
              </w:tcPr>
              <w:p>
                <w:pPr>
                  <w:spacing w:line="276" w:lineRule="auto"/>
                  <w:rPr>
                    <w:rFonts w:eastAsia="Calibri"/>
                    <w:szCs w:val="24"/>
                  </w:rPr>
                </w:pPr>
                <w:r>
                  <w:rPr>
                    <w:rFonts w:eastAsia="Calibri"/>
                    <w:szCs w:val="24"/>
                  </w:rPr>
                  <w:t xml:space="preserve">Kitos dirbtinės šlapimo takų angos </w:t>
                </w:r>
                <w:r>
                  <w:rPr>
                    <w:rFonts w:eastAsia="Calibri"/>
                    <w:color w:val="000000"/>
                    <w:szCs w:val="24"/>
                  </w:rPr>
                  <w:t>(nefrostoma, urostoma), Z93.6</w:t>
                </w:r>
              </w:p>
            </w:tc>
            <w:tc>
              <w:tcPr>
                <w:tcW w:w="4110" w:type="dxa"/>
              </w:tcPr>
              <w:p>
                <w:pPr>
                  <w:spacing w:line="276" w:lineRule="auto"/>
                  <w:rPr>
                    <w:rFonts w:eastAsia="Calibri"/>
                    <w:szCs w:val="24"/>
                  </w:rPr>
                </w:pPr>
                <w:r>
                  <w:rPr>
                    <w:rFonts w:eastAsia="Calibri"/>
                    <w:szCs w:val="24"/>
                  </w:rPr>
                  <w:t>Nė vienos profesinės grupės darbuotojai</w:t>
                </w:r>
                <w:r>
                  <w:rPr>
                    <w:rFonts w:eastAsia="Calibri"/>
                    <w:color w:val="000000"/>
                    <w:szCs w:val="24"/>
                  </w:rPr>
                  <w:t xml:space="preserve"> </w:t>
                </w:r>
                <w:r>
                  <w:rPr>
                    <w:rFonts w:eastAsia="Calibri"/>
                    <w:szCs w:val="24"/>
                  </w:rPr>
                  <w:t>negali dirbti jūrų laive.</w:t>
                </w:r>
              </w:p>
            </w:tc>
            <w:tc>
              <w:tcPr>
                <w:tcW w:w="4252" w:type="dxa"/>
              </w:tcPr>
              <w:p>
                <w:pPr>
                  <w:spacing w:line="276" w:lineRule="auto"/>
                  <w:rPr>
                    <w:rFonts w:eastAsia="Calibri"/>
                    <w:szCs w:val="24"/>
                  </w:rPr>
                </w:pPr>
                <w:r>
                  <w:rPr>
                    <w:rFonts w:eastAsia="Calibri"/>
                    <w:szCs w:val="24"/>
                  </w:rPr>
                  <w:t>Nė vienos profesinės grupės darbuotojai negali dirbti vidaus vandenų laive.</w:t>
                </w:r>
              </w:p>
            </w:tc>
            <w:tc>
              <w:tcPr>
                <w:tcW w:w="2801" w:type="dxa"/>
              </w:tcPr>
              <w:p>
                <w:pPr>
                  <w:spacing w:line="276" w:lineRule="auto"/>
                  <w:rPr>
                    <w:rFonts w:eastAsia="Calibri"/>
                    <w:szCs w:val="24"/>
                  </w:rPr>
                </w:pPr>
                <w:r>
                  <w:rPr>
                    <w:rFonts w:eastAsia="Calibri"/>
                    <w:szCs w:val="24"/>
                  </w:rPr>
                  <w:t xml:space="preserve">Dėl asmenų, kuriems atlikta </w:t>
                </w:r>
                <w:r>
                  <w:rPr>
                    <w:rFonts w:eastAsia="Calibri"/>
                    <w:color w:val="000000"/>
                    <w:szCs w:val="24"/>
                  </w:rPr>
                  <w:t>urostoma, tinkamumo</w:t>
                </w:r>
                <w:r>
                  <w:rPr>
                    <w:rFonts w:eastAsia="Calibri"/>
                    <w:szCs w:val="24"/>
                  </w:rPr>
                  <w:t xml:space="preserve"> </w:t>
                </w:r>
                <w:r>
                  <w:rPr>
                    <w:rFonts w:eastAsia="Calibri"/>
                    <w:color w:val="000000"/>
                    <w:szCs w:val="24"/>
                  </w:rPr>
                  <w:t>dirbti vidaus</w:t>
                </w:r>
                <w:r>
                  <w:rPr>
                    <w:rFonts w:eastAsia="Calibri"/>
                    <w:szCs w:val="24"/>
                  </w:rPr>
                  <w:t xml:space="preserve"> vandenų laivuose sprendžiama individualiai </w:t>
                </w:r>
                <w:r>
                  <w:rPr>
                    <w:rFonts w:eastAsia="Calibri"/>
                    <w:color w:val="000000"/>
                    <w:szCs w:val="24"/>
                  </w:rPr>
                  <w:t>po gydytojo urologo konsultacijos.</w:t>
                </w:r>
              </w:p>
            </w:tc>
          </w:tr>
          <w:tr>
            <w:tc>
              <w:tcPr>
                <w:tcW w:w="816" w:type="dxa"/>
              </w:tcPr>
              <w:p>
                <w:pPr>
                  <w:spacing w:line="276" w:lineRule="auto"/>
                  <w:jc w:val="both"/>
                  <w:rPr>
                    <w:rFonts w:eastAsia="Calibri"/>
                    <w:color w:val="000000"/>
                    <w:szCs w:val="24"/>
                  </w:rPr>
                </w:pPr>
                <w:r>
                  <w:rPr>
                    <w:rFonts w:eastAsia="Calibri"/>
                    <w:color w:val="000000"/>
                    <w:szCs w:val="24"/>
                  </w:rPr>
                  <w:t>9.12.</w:t>
                </w:r>
              </w:p>
            </w:tc>
            <w:tc>
              <w:tcPr>
                <w:tcW w:w="2977" w:type="dxa"/>
              </w:tcPr>
              <w:p>
                <w:pPr>
                  <w:spacing w:line="276" w:lineRule="auto"/>
                  <w:rPr>
                    <w:rFonts w:eastAsia="Calibri"/>
                    <w:color w:val="000000"/>
                    <w:szCs w:val="24"/>
                  </w:rPr>
                </w:pPr>
                <w:r>
                  <w:rPr>
                    <w:rFonts w:eastAsia="Calibri"/>
                    <w:color w:val="000000"/>
                    <w:szCs w:val="24"/>
                  </w:rPr>
                  <w:t>Persodintas inkstas, Z94.0</w:t>
                </w:r>
              </w:p>
              <w:p>
                <w:pPr>
                  <w:spacing w:line="276" w:lineRule="auto"/>
                  <w:rPr>
                    <w:rFonts w:eastAsia="Calibri"/>
                    <w:color w:val="000000"/>
                    <w:szCs w:val="24"/>
                  </w:rPr>
                </w:pPr>
              </w:p>
            </w:tc>
            <w:tc>
              <w:tcPr>
                <w:tcW w:w="4110" w:type="dxa"/>
              </w:tcPr>
              <w:p>
                <w:pPr>
                  <w:spacing w:line="276" w:lineRule="auto"/>
                  <w:rPr>
                    <w:rFonts w:eastAsia="Calibri"/>
                    <w:color w:val="000000"/>
                    <w:szCs w:val="24"/>
                  </w:rPr>
                </w:pPr>
                <w:r>
                  <w:rPr>
                    <w:rFonts w:eastAsia="Calibri"/>
                    <w:color w:val="000000"/>
                    <w:szCs w:val="24"/>
                  </w:rPr>
                  <w:t xml:space="preserve">Nė vienos profesinės grupės </w:t>
                </w:r>
                <w:r>
                  <w:rPr>
                    <w:rFonts w:eastAsia="Calibri"/>
                    <w:szCs w:val="24"/>
                  </w:rPr>
                  <w:t>darbuotojai</w:t>
                </w:r>
                <w:r>
                  <w:rPr>
                    <w:rFonts w:eastAsia="Calibri"/>
                    <w:color w:val="000000"/>
                    <w:szCs w:val="24"/>
                  </w:rPr>
                  <w:t xml:space="preserve"> negali dirbti jūrų laive.</w:t>
                </w:r>
              </w:p>
            </w:tc>
            <w:tc>
              <w:tcPr>
                <w:tcW w:w="4252" w:type="dxa"/>
              </w:tcPr>
              <w:p>
                <w:pPr>
                  <w:spacing w:line="276" w:lineRule="auto"/>
                  <w:rPr>
                    <w:rFonts w:eastAsia="Calibri"/>
                    <w:color w:val="000000"/>
                    <w:szCs w:val="24"/>
                  </w:rPr>
                </w:pPr>
                <w:r>
                  <w:rPr>
                    <w:rFonts w:eastAsia="Calibri"/>
                    <w:color w:val="000000"/>
                    <w:szCs w:val="24"/>
                  </w:rPr>
                  <w:t>Dėl tinkamumo dirbti vidaus vandenų laive sprendžiama individualiai po gydytojo nefrologo konsultacijos.</w:t>
                </w:r>
              </w:p>
            </w:tc>
            <w:tc>
              <w:tcPr>
                <w:tcW w:w="2801" w:type="dxa"/>
              </w:tcPr>
              <w:p>
                <w:pPr>
                  <w:spacing w:line="276" w:lineRule="auto"/>
                  <w:rPr>
                    <w:rFonts w:eastAsia="Calibri"/>
                    <w:color w:val="000000"/>
                    <w:szCs w:val="24"/>
                  </w:rPr>
                </w:pPr>
              </w:p>
            </w:tc>
          </w:tr>
          <w:tr>
            <w:tc>
              <w:tcPr>
                <w:tcW w:w="816" w:type="dxa"/>
              </w:tcPr>
              <w:p>
                <w:pPr>
                  <w:spacing w:line="276" w:lineRule="auto"/>
                  <w:jc w:val="both"/>
                  <w:rPr>
                    <w:rFonts w:eastAsia="Calibri"/>
                    <w:b/>
                    <w:szCs w:val="24"/>
                  </w:rPr>
                </w:pPr>
                <w:r>
                  <w:rPr>
                    <w:rFonts w:eastAsia="Calibri"/>
                    <w:b/>
                    <w:szCs w:val="24"/>
                  </w:rPr>
                  <w:t>10.</w:t>
                </w:r>
              </w:p>
            </w:tc>
            <w:tc>
              <w:tcPr>
                <w:tcW w:w="14140" w:type="dxa"/>
                <w:gridSpan w:val="4"/>
              </w:tcPr>
              <w:p>
                <w:pPr>
                  <w:spacing w:line="276" w:lineRule="auto"/>
                  <w:jc w:val="center"/>
                  <w:rPr>
                    <w:rFonts w:eastAsia="Calibri"/>
                    <w:b/>
                    <w:szCs w:val="24"/>
                  </w:rPr>
                </w:pPr>
                <w:r>
                  <w:rPr>
                    <w:rFonts w:eastAsia="Calibri"/>
                    <w:b/>
                    <w:szCs w:val="24"/>
                  </w:rPr>
                  <w:t xml:space="preserve">NĖŠTUMAS </w:t>
                </w:r>
              </w:p>
            </w:tc>
          </w:tr>
          <w:tr>
            <w:tc>
              <w:tcPr>
                <w:tcW w:w="816" w:type="dxa"/>
              </w:tcPr>
              <w:p>
                <w:pPr>
                  <w:spacing w:line="276" w:lineRule="auto"/>
                  <w:jc w:val="both"/>
                  <w:rPr>
                    <w:rFonts w:eastAsia="Calibri"/>
                    <w:szCs w:val="24"/>
                  </w:rPr>
                </w:pPr>
                <w:r>
                  <w:rPr>
                    <w:rFonts w:eastAsia="Calibri"/>
                    <w:szCs w:val="24"/>
                  </w:rPr>
                  <w:t>10.1.</w:t>
                </w:r>
              </w:p>
            </w:tc>
            <w:tc>
              <w:tcPr>
                <w:tcW w:w="2977" w:type="dxa"/>
              </w:tcPr>
              <w:p>
                <w:pPr>
                  <w:spacing w:line="276" w:lineRule="auto"/>
                  <w:rPr>
                    <w:rFonts w:eastAsia="Calibri"/>
                    <w:szCs w:val="24"/>
                  </w:rPr>
                </w:pPr>
                <w:r>
                  <w:rPr>
                    <w:rFonts w:eastAsia="Calibri"/>
                    <w:szCs w:val="24"/>
                  </w:rPr>
                  <w:t>Nėštumas, O09</w:t>
                </w:r>
              </w:p>
            </w:tc>
            <w:tc>
              <w:tcPr>
                <w:tcW w:w="4110" w:type="dxa"/>
              </w:tcPr>
              <w:p>
                <w:pPr>
                  <w:spacing w:line="276" w:lineRule="auto"/>
                  <w:rPr>
                    <w:rFonts w:eastAsia="Calibri"/>
                    <w:szCs w:val="24"/>
                  </w:rPr>
                </w:pPr>
                <w:r>
                  <w:rPr>
                    <w:rFonts w:eastAsia="Calibri"/>
                    <w:szCs w:val="24"/>
                  </w:rPr>
                  <w:t>Nė vienos profesinės grupės darbuotojos</w:t>
                </w:r>
                <w:r>
                  <w:rPr>
                    <w:rFonts w:eastAsia="Calibri"/>
                    <w:color w:val="000000"/>
                    <w:szCs w:val="24"/>
                  </w:rPr>
                  <w:t xml:space="preserve"> </w:t>
                </w:r>
                <w:r>
                  <w:rPr>
                    <w:rFonts w:eastAsia="Calibri"/>
                    <w:szCs w:val="24"/>
                  </w:rPr>
                  <w:t>negali dirbti jūrų laive.</w:t>
                </w:r>
              </w:p>
            </w:tc>
            <w:tc>
              <w:tcPr>
                <w:tcW w:w="4252" w:type="dxa"/>
              </w:tcPr>
              <w:p>
                <w:pPr>
                  <w:spacing w:line="276" w:lineRule="auto"/>
                  <w:rPr>
                    <w:rFonts w:eastAsia="Calibri"/>
                    <w:szCs w:val="24"/>
                  </w:rPr>
                </w:pPr>
                <w:r>
                  <w:rPr>
                    <w:rFonts w:eastAsia="Calibri"/>
                    <w:szCs w:val="24"/>
                  </w:rPr>
                  <w:t xml:space="preserve">Nė vienos profesinės grupės darbuotojos </w:t>
                </w:r>
                <w:r>
                  <w:rPr>
                    <w:rFonts w:eastAsia="Calibri"/>
                    <w:color w:val="000000"/>
                    <w:szCs w:val="24"/>
                  </w:rPr>
                  <w:t>negali dirbti vidaus</w:t>
                </w:r>
                <w:r>
                  <w:rPr>
                    <w:rFonts w:eastAsia="Calibri"/>
                    <w:szCs w:val="24"/>
                  </w:rPr>
                  <w:t xml:space="preserve">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b/>
                    <w:szCs w:val="24"/>
                  </w:rPr>
                </w:pPr>
                <w:r>
                  <w:rPr>
                    <w:rFonts w:eastAsia="Calibri"/>
                    <w:b/>
                    <w:szCs w:val="24"/>
                  </w:rPr>
                  <w:t>11.</w:t>
                </w:r>
              </w:p>
            </w:tc>
            <w:tc>
              <w:tcPr>
                <w:tcW w:w="14140" w:type="dxa"/>
                <w:gridSpan w:val="4"/>
              </w:tcPr>
              <w:p>
                <w:pPr>
                  <w:spacing w:line="276" w:lineRule="auto"/>
                  <w:jc w:val="center"/>
                  <w:rPr>
                    <w:rFonts w:eastAsia="Calibri"/>
                    <w:szCs w:val="24"/>
                  </w:rPr>
                </w:pPr>
                <w:r>
                  <w:rPr>
                    <w:rFonts w:eastAsia="Calibri"/>
                    <w:b/>
                    <w:szCs w:val="24"/>
                  </w:rPr>
                  <w:t>NEUŽDEGIMINĖS MOTERS LYTIES ORGANŲ LIGOS</w:t>
                </w:r>
              </w:p>
            </w:tc>
          </w:tr>
          <w:tr>
            <w:tc>
              <w:tcPr>
                <w:tcW w:w="816" w:type="dxa"/>
              </w:tcPr>
              <w:p>
                <w:pPr>
                  <w:spacing w:line="276" w:lineRule="auto"/>
                  <w:jc w:val="both"/>
                  <w:rPr>
                    <w:rFonts w:eastAsia="Calibri"/>
                    <w:szCs w:val="24"/>
                  </w:rPr>
                </w:pPr>
                <w:r>
                  <w:rPr>
                    <w:rFonts w:eastAsia="Calibri"/>
                    <w:szCs w:val="24"/>
                  </w:rPr>
                  <w:t>11.1.</w:t>
                </w:r>
              </w:p>
            </w:tc>
            <w:tc>
              <w:tcPr>
                <w:tcW w:w="2977" w:type="dxa"/>
              </w:tcPr>
              <w:p>
                <w:pPr>
                  <w:spacing w:line="276" w:lineRule="auto"/>
                  <w:rPr>
                    <w:rFonts w:eastAsia="Calibri"/>
                    <w:szCs w:val="24"/>
                  </w:rPr>
                </w:pPr>
                <w:r>
                  <w:rPr>
                    <w:rFonts w:eastAsia="Calibri"/>
                    <w:szCs w:val="24"/>
                  </w:rPr>
                  <w:t xml:space="preserve">Gerybiniai navikai </w:t>
                </w:r>
              </w:p>
              <w:p>
                <w:pPr>
                  <w:spacing w:line="276" w:lineRule="auto"/>
                  <w:rPr>
                    <w:rFonts w:eastAsia="Calibri"/>
                    <w:szCs w:val="24"/>
                  </w:rPr>
                </w:pPr>
                <w:r>
                  <w:rPr>
                    <w:rFonts w:eastAsia="Calibri"/>
                    <w:szCs w:val="24"/>
                  </w:rPr>
                  <w:t>Gimdos gerybiniai navikai, D25, D26</w:t>
                </w:r>
              </w:p>
              <w:p>
                <w:pPr>
                  <w:spacing w:line="276" w:lineRule="auto"/>
                  <w:rPr>
                    <w:rFonts w:eastAsia="Calibri"/>
                    <w:szCs w:val="24"/>
                  </w:rPr>
                </w:pPr>
                <w:r>
                  <w:rPr>
                    <w:rFonts w:eastAsia="Calibri"/>
                    <w:szCs w:val="24"/>
                  </w:rPr>
                  <w:t>Kiaušidžių gerybiniai navikai, D27</w:t>
                </w:r>
              </w:p>
              <w:p>
                <w:pPr>
                  <w:spacing w:line="276" w:lineRule="auto"/>
                  <w:rPr>
                    <w:rFonts w:eastAsia="Calibri"/>
                    <w:szCs w:val="24"/>
                  </w:rPr>
                </w:pPr>
                <w:r>
                  <w:rPr>
                    <w:rFonts w:eastAsia="Calibri"/>
                    <w:szCs w:val="24"/>
                  </w:rPr>
                  <w:t>Kitų ir nepatikslintų moters lyties organų gerybiniai navikai, D28</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color w:val="000000"/>
                    <w:szCs w:val="24"/>
                  </w:rPr>
                </w:pPr>
                <w:r>
                  <w:rPr>
                    <w:rFonts w:eastAsia="Calibri"/>
                    <w:szCs w:val="24"/>
                  </w:rPr>
                  <w:t xml:space="preserve">Dėl </w:t>
                </w:r>
                <w:r>
                  <w:rPr>
                    <w:rFonts w:eastAsia="Calibri"/>
                    <w:color w:val="000000"/>
                    <w:szCs w:val="24"/>
                  </w:rPr>
                  <w:t>tinkamumo dirbti jūrų ir vidaus vandenų laivuose sprendžiama individualiai, praėjus 3 mėn. po operacinio gydymo, po gydytojo akušerio-ginekologo konsultacijos</w:t>
                </w:r>
                <w:r>
                  <w:rPr>
                    <w:rFonts w:eastAsia="Calibri"/>
                    <w:szCs w:val="24"/>
                  </w:rPr>
                  <w:t>.</w:t>
                </w:r>
              </w:p>
            </w:tc>
          </w:tr>
          <w:tr>
            <w:tc>
              <w:tcPr>
                <w:tcW w:w="816" w:type="dxa"/>
              </w:tcPr>
              <w:p>
                <w:pPr>
                  <w:spacing w:line="276" w:lineRule="auto"/>
                  <w:jc w:val="both"/>
                  <w:rPr>
                    <w:rFonts w:eastAsia="Calibri"/>
                    <w:szCs w:val="24"/>
                  </w:rPr>
                </w:pPr>
                <w:r>
                  <w:rPr>
                    <w:rFonts w:eastAsia="Calibri"/>
                    <w:szCs w:val="24"/>
                  </w:rPr>
                  <w:t>11.2.</w:t>
                </w:r>
              </w:p>
            </w:tc>
            <w:tc>
              <w:tcPr>
                <w:tcW w:w="2977" w:type="dxa"/>
              </w:tcPr>
              <w:p>
                <w:pPr>
                  <w:spacing w:line="276" w:lineRule="auto"/>
                  <w:rPr>
                    <w:rFonts w:eastAsia="Calibri"/>
                    <w:szCs w:val="24"/>
                  </w:rPr>
                </w:pPr>
                <w:r>
                  <w:rPr>
                    <w:rFonts w:eastAsia="Calibri"/>
                    <w:szCs w:val="24"/>
                  </w:rPr>
                  <w:t xml:space="preserve">Neuždegiminės moters lyties organų ligos, N80–N98 </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color w:val="000000"/>
                    <w:szCs w:val="24"/>
                  </w:rPr>
                  <w:t>Dėl tinkamumo dirbti jūrų ir vidaus vandenų laivuose sprendžiama individualiai, praėjus 3 mėn. po operacinio gydymo, po gydytojo akušerio-ginekologo konsultacijos.</w:t>
                </w:r>
              </w:p>
            </w:tc>
          </w:tr>
          <w:tr>
            <w:tc>
              <w:tcPr>
                <w:tcW w:w="816" w:type="dxa"/>
              </w:tcPr>
              <w:p>
                <w:pPr>
                  <w:spacing w:line="276" w:lineRule="auto"/>
                  <w:jc w:val="both"/>
                  <w:rPr>
                    <w:rFonts w:eastAsia="Calibri"/>
                    <w:b/>
                    <w:szCs w:val="24"/>
                  </w:rPr>
                </w:pPr>
                <w:r>
                  <w:rPr>
                    <w:rFonts w:eastAsia="Calibri"/>
                    <w:b/>
                    <w:szCs w:val="24"/>
                  </w:rPr>
                  <w:t>12.</w:t>
                </w:r>
              </w:p>
            </w:tc>
            <w:tc>
              <w:tcPr>
                <w:tcW w:w="14140" w:type="dxa"/>
                <w:gridSpan w:val="4"/>
              </w:tcPr>
              <w:p>
                <w:pPr>
                  <w:spacing w:line="276" w:lineRule="auto"/>
                  <w:jc w:val="center"/>
                  <w:rPr>
                    <w:rFonts w:eastAsia="Calibri"/>
                    <w:b/>
                    <w:szCs w:val="24"/>
                  </w:rPr>
                </w:pPr>
                <w:r>
                  <w:rPr>
                    <w:rFonts w:eastAsia="Calibri"/>
                    <w:b/>
                    <w:szCs w:val="24"/>
                  </w:rPr>
                  <w:t>NERVŲ SISTEMOS LIGOS</w:t>
                </w:r>
              </w:p>
            </w:tc>
          </w:tr>
          <w:tr>
            <w:tc>
              <w:tcPr>
                <w:tcW w:w="816" w:type="dxa"/>
              </w:tcPr>
              <w:p>
                <w:pPr>
                  <w:spacing w:line="276" w:lineRule="auto"/>
                  <w:jc w:val="both"/>
                  <w:rPr>
                    <w:rFonts w:eastAsia="Calibri"/>
                    <w:szCs w:val="24"/>
                  </w:rPr>
                </w:pPr>
                <w:r>
                  <w:rPr>
                    <w:rFonts w:eastAsia="Calibri"/>
                    <w:szCs w:val="24"/>
                  </w:rPr>
                  <w:t>12.1.</w:t>
                </w:r>
              </w:p>
            </w:tc>
            <w:tc>
              <w:tcPr>
                <w:tcW w:w="2977" w:type="dxa"/>
              </w:tcPr>
              <w:p>
                <w:pPr>
                  <w:spacing w:line="276" w:lineRule="auto"/>
                  <w:rPr>
                    <w:rFonts w:eastAsia="Calibri"/>
                    <w:szCs w:val="24"/>
                  </w:rPr>
                </w:pPr>
                <w:r>
                  <w:rPr>
                    <w:rFonts w:eastAsia="Calibri"/>
                    <w:szCs w:val="24"/>
                  </w:rPr>
                  <w:t>Uždegiminės centrinės nervų sistemos ligos, G00–G09</w:t>
                </w:r>
              </w:p>
              <w:p>
                <w:pPr>
                  <w:spacing w:line="276" w:lineRule="auto"/>
                  <w:rPr>
                    <w:rFonts w:eastAsia="Calibri"/>
                    <w:szCs w:val="24"/>
                  </w:rPr>
                </w:pPr>
                <w:r>
                  <w:rPr>
                    <w:rFonts w:eastAsia="Calibri"/>
                    <w:szCs w:val="24"/>
                  </w:rPr>
                  <w:t>Sisteminės atrofijos, pirmiausia paveikiančios centrinę nervų sistemą, G10–G13</w:t>
                </w:r>
              </w:p>
              <w:p>
                <w:pPr>
                  <w:spacing w:line="276" w:lineRule="auto"/>
                  <w:rPr>
                    <w:rFonts w:eastAsia="Calibri"/>
                    <w:szCs w:val="24"/>
                  </w:rPr>
                </w:pPr>
                <w:r>
                  <w:rPr>
                    <w:rFonts w:eastAsia="Calibri"/>
                    <w:szCs w:val="24"/>
                  </w:rPr>
                  <w:t>Kitos degeneracinės nervų sistemos ligos, neklasifikuojamos kitur, G30–G32</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color w:val="000000"/>
                    <w:szCs w:val="24"/>
                  </w:rPr>
                  <w:t xml:space="preserve">Po gydymo, tik visiškai atkūrus </w:t>
                </w:r>
                <w:r>
                  <w:rPr>
                    <w:rFonts w:eastAsia="Calibri"/>
                    <w:szCs w:val="24"/>
                  </w:rPr>
                  <w:t xml:space="preserve">judėjimo, koordinacijos, taktilinio jutimo </w:t>
                </w:r>
                <w:r>
                  <w:rPr>
                    <w:rFonts w:eastAsia="Calibri"/>
                    <w:color w:val="000000"/>
                    <w:szCs w:val="24"/>
                  </w:rPr>
                  <w:t>funkciją, sprendžiama individualiai po gydytojo neurologo konsultacijos.</w:t>
                </w:r>
              </w:p>
            </w:tc>
          </w:tr>
          <w:tr>
            <w:tc>
              <w:tcPr>
                <w:tcW w:w="816" w:type="dxa"/>
              </w:tcPr>
              <w:p>
                <w:pPr>
                  <w:spacing w:line="276" w:lineRule="auto"/>
                  <w:jc w:val="both"/>
                  <w:rPr>
                    <w:rFonts w:eastAsia="Calibri"/>
                    <w:szCs w:val="24"/>
                  </w:rPr>
                </w:pPr>
                <w:r>
                  <w:rPr>
                    <w:rFonts w:eastAsia="Calibri"/>
                    <w:szCs w:val="24"/>
                  </w:rPr>
                  <w:t>12.2.</w:t>
                </w:r>
              </w:p>
            </w:tc>
            <w:tc>
              <w:tcPr>
                <w:tcW w:w="2977" w:type="dxa"/>
              </w:tcPr>
              <w:p>
                <w:pPr>
                  <w:spacing w:line="276" w:lineRule="auto"/>
                  <w:rPr>
                    <w:rFonts w:eastAsia="Calibri"/>
                    <w:szCs w:val="24"/>
                  </w:rPr>
                </w:pPr>
                <w:r>
                  <w:rPr>
                    <w:rFonts w:eastAsia="Calibri"/>
                    <w:szCs w:val="24"/>
                  </w:rPr>
                  <w:t>Parkinsono liga, G20</w:t>
                </w:r>
              </w:p>
              <w:p>
                <w:pPr>
                  <w:spacing w:line="276" w:lineRule="auto"/>
                  <w:rPr>
                    <w:rFonts w:eastAsia="Calibri"/>
                    <w:szCs w:val="24"/>
                  </w:rPr>
                </w:pPr>
                <w:r>
                  <w:rPr>
                    <w:rFonts w:eastAsia="Calibri"/>
                    <w:szCs w:val="24"/>
                  </w:rPr>
                  <w:t>Antrinis parkinsonizmas, G21</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szCs w:val="24"/>
                  </w:rPr>
                  <w:t>Esant I, II ir III ligos stadijai, jeigu simptomai koreguojami vaistiniais preparatais, dėl tinkamumo dirbti jūrų ir (ar) vidaus vandenų laivuose sprendžiama individualiai po gydytojo neurologo konsultacijos.</w:t>
                </w:r>
              </w:p>
              <w:p>
                <w:pPr>
                  <w:spacing w:line="276" w:lineRule="auto"/>
                  <w:rPr>
                    <w:rFonts w:eastAsia="Calibri"/>
                    <w:szCs w:val="24"/>
                  </w:rPr>
                </w:pPr>
                <w:r>
                  <w:rPr>
                    <w:rFonts w:eastAsia="Calibri"/>
                    <w:szCs w:val="24"/>
                  </w:rPr>
                  <w:t>Esant IV, V ligos stadijai, nė vienos profesinės grupės asmenys negali dirbti jūrų ir vidaus vandenų laivuose.</w:t>
                </w:r>
              </w:p>
            </w:tc>
          </w:tr>
          <w:tr>
            <w:tc>
              <w:tcPr>
                <w:tcW w:w="816" w:type="dxa"/>
              </w:tcPr>
              <w:p>
                <w:pPr>
                  <w:spacing w:line="276" w:lineRule="auto"/>
                  <w:jc w:val="both"/>
                  <w:rPr>
                    <w:rFonts w:eastAsia="Calibri"/>
                    <w:szCs w:val="24"/>
                  </w:rPr>
                </w:pPr>
                <w:r>
                  <w:rPr>
                    <w:rFonts w:eastAsia="Calibri"/>
                    <w:szCs w:val="24"/>
                  </w:rPr>
                  <w:t>12.3.</w:t>
                </w:r>
              </w:p>
            </w:tc>
            <w:tc>
              <w:tcPr>
                <w:tcW w:w="2977" w:type="dxa"/>
              </w:tcPr>
              <w:p>
                <w:pPr>
                  <w:spacing w:line="276" w:lineRule="auto"/>
                  <w:rPr>
                    <w:rFonts w:eastAsia="Calibri"/>
                    <w:szCs w:val="24"/>
                  </w:rPr>
                </w:pPr>
                <w:r>
                  <w:rPr>
                    <w:rFonts w:eastAsia="Calibri"/>
                    <w:szCs w:val="24"/>
                  </w:rPr>
                  <w:t>Demielinizuojančios centrinės nervų sistemos ligos, G35–G37</w:t>
                </w:r>
              </w:p>
            </w:tc>
            <w:tc>
              <w:tcPr>
                <w:tcW w:w="4110" w:type="dxa"/>
              </w:tcPr>
              <w:p>
                <w:pPr>
                  <w:spacing w:line="276" w:lineRule="auto"/>
                  <w:rPr>
                    <w:rFonts w:eastAsia="Calibri"/>
                    <w:szCs w:val="24"/>
                  </w:rPr>
                </w:pPr>
                <w:r>
                  <w:rPr>
                    <w:rFonts w:eastAsia="Calibri"/>
                    <w:szCs w:val="24"/>
                  </w:rPr>
                  <w:t>Nė vienos profesinės grupės darbuotojai negali dirbti jūrų laive.</w:t>
                </w:r>
              </w:p>
            </w:tc>
            <w:tc>
              <w:tcPr>
                <w:tcW w:w="4252" w:type="dxa"/>
              </w:tcPr>
              <w:p>
                <w:pPr>
                  <w:spacing w:line="276" w:lineRule="auto"/>
                  <w:rPr>
                    <w:rFonts w:eastAsia="Calibri"/>
                    <w:szCs w:val="24"/>
                  </w:rPr>
                </w:pPr>
                <w:r>
                  <w:rPr>
                    <w:rFonts w:eastAsia="Calibri"/>
                    <w:szCs w:val="24"/>
                  </w:rPr>
                  <w:t>Nė vienos profesinės grupės darbuotojai</w:t>
                </w:r>
                <w:r>
                  <w:rPr>
                    <w:rFonts w:eastAsia="Calibri"/>
                    <w:color w:val="000000"/>
                    <w:szCs w:val="24"/>
                  </w:rPr>
                  <w:t xml:space="preserve"> negali dirbti vidaus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12.4.</w:t>
                </w:r>
              </w:p>
            </w:tc>
            <w:tc>
              <w:tcPr>
                <w:tcW w:w="2977" w:type="dxa"/>
              </w:tcPr>
              <w:p>
                <w:pPr>
                  <w:spacing w:line="276" w:lineRule="auto"/>
                  <w:rPr>
                    <w:rFonts w:eastAsia="Calibri"/>
                    <w:szCs w:val="24"/>
                  </w:rPr>
                </w:pPr>
                <w:r>
                  <w:rPr>
                    <w:rFonts w:eastAsia="Calibri"/>
                    <w:szCs w:val="24"/>
                  </w:rPr>
                  <w:t>Epilepsija, G40</w:t>
                </w:r>
              </w:p>
              <w:p>
                <w:pPr>
                  <w:spacing w:line="276" w:lineRule="auto"/>
                  <w:rPr>
                    <w:rFonts w:eastAsia="Calibri"/>
                    <w:szCs w:val="24"/>
                  </w:rPr>
                </w:pPr>
                <w:r>
                  <w:rPr>
                    <w:rFonts w:eastAsia="Calibri"/>
                    <w:szCs w:val="24"/>
                  </w:rPr>
                  <w:t>Epilepsinė būklė, G41</w:t>
                </w:r>
              </w:p>
            </w:tc>
            <w:tc>
              <w:tcPr>
                <w:tcW w:w="4110" w:type="dxa"/>
              </w:tcPr>
              <w:p>
                <w:pPr>
                  <w:spacing w:line="276" w:lineRule="auto"/>
                  <w:rPr>
                    <w:rFonts w:eastAsia="Calibri"/>
                    <w:szCs w:val="24"/>
                  </w:rPr>
                </w:pPr>
                <w:r>
                  <w:rPr>
                    <w:rFonts w:eastAsia="Calibri"/>
                    <w:szCs w:val="24"/>
                  </w:rPr>
                  <w:t>Nė vienos profesinės grupės darbuotojai</w:t>
                </w:r>
                <w:r>
                  <w:rPr>
                    <w:rFonts w:eastAsia="Calibri"/>
                    <w:color w:val="000000"/>
                    <w:szCs w:val="24"/>
                  </w:rPr>
                  <w:t xml:space="preserve"> negali dirbti jūrų laive.</w:t>
                </w:r>
              </w:p>
            </w:tc>
            <w:tc>
              <w:tcPr>
                <w:tcW w:w="4252" w:type="dxa"/>
              </w:tcPr>
              <w:p>
                <w:pPr>
                  <w:spacing w:line="276" w:lineRule="auto"/>
                  <w:rPr>
                    <w:rFonts w:eastAsia="Calibri"/>
                    <w:szCs w:val="24"/>
                  </w:rPr>
                </w:pPr>
                <w:r>
                  <w:rPr>
                    <w:rFonts w:eastAsia="Calibri"/>
                    <w:szCs w:val="24"/>
                  </w:rPr>
                  <w:t>Nė vienos profesinės grupės darbuotojai negali dirbti vidaus vandenų laive.</w:t>
                </w:r>
              </w:p>
            </w:tc>
            <w:tc>
              <w:tcPr>
                <w:tcW w:w="2801" w:type="dxa"/>
              </w:tcPr>
              <w:p>
                <w:pPr>
                  <w:spacing w:line="276" w:lineRule="auto"/>
                  <w:rPr>
                    <w:rFonts w:eastAsia="Calibri"/>
                    <w:szCs w:val="24"/>
                  </w:rPr>
                </w:pPr>
                <w:r>
                  <w:rPr>
                    <w:rFonts w:eastAsia="Calibri"/>
                    <w:szCs w:val="24"/>
                  </w:rPr>
                  <w:t xml:space="preserve">Jeigu 3 metus nėra </w:t>
                </w:r>
                <w:r>
                  <w:rPr>
                    <w:rFonts w:eastAsia="Calibri"/>
                    <w:color w:val="000000"/>
                    <w:szCs w:val="24"/>
                  </w:rPr>
                  <w:t>epilepsijos priepuolių, dėl tinkamumo dirbti jūrų ir vidaus vandenų laivuose sprendžiama individualiai po gydytojo neurologo</w:t>
                </w:r>
                <w:r>
                  <w:rPr>
                    <w:rFonts w:eastAsia="Calibri"/>
                    <w:szCs w:val="24"/>
                  </w:rPr>
                  <w:t xml:space="preserve"> konsultacijos.</w:t>
                </w:r>
              </w:p>
            </w:tc>
          </w:tr>
          <w:tr>
            <w:trPr>
              <w:trHeight w:val="752"/>
            </w:trPr>
            <w:tc>
              <w:tcPr>
                <w:tcW w:w="816" w:type="dxa"/>
              </w:tcPr>
              <w:p>
                <w:pPr>
                  <w:spacing w:line="276" w:lineRule="auto"/>
                  <w:jc w:val="both"/>
                  <w:rPr>
                    <w:rFonts w:eastAsia="Calibri"/>
                    <w:szCs w:val="24"/>
                  </w:rPr>
                </w:pPr>
                <w:r>
                  <w:rPr>
                    <w:rFonts w:eastAsia="Calibri"/>
                    <w:szCs w:val="24"/>
                  </w:rPr>
                  <w:t>12.5.</w:t>
                </w:r>
              </w:p>
            </w:tc>
            <w:tc>
              <w:tcPr>
                <w:tcW w:w="2977" w:type="dxa"/>
              </w:tcPr>
              <w:p>
                <w:pPr>
                  <w:spacing w:line="276" w:lineRule="auto"/>
                  <w:rPr>
                    <w:rFonts w:eastAsia="Calibri"/>
                    <w:szCs w:val="24"/>
                  </w:rPr>
                </w:pPr>
                <w:r>
                  <w:rPr>
                    <w:rFonts w:eastAsia="Calibri"/>
                    <w:szCs w:val="24"/>
                  </w:rPr>
                  <w:t>Miego apnėja, G47.3</w:t>
                </w:r>
              </w:p>
            </w:tc>
            <w:tc>
              <w:tcPr>
                <w:tcW w:w="4110" w:type="dxa"/>
              </w:tcPr>
              <w:p>
                <w:pPr>
                  <w:spacing w:line="276" w:lineRule="auto"/>
                  <w:jc w:val="both"/>
                  <w:rPr>
                    <w:rFonts w:eastAsia="Calibri"/>
                    <w:szCs w:val="24"/>
                  </w:rPr>
                </w:pPr>
                <w:r>
                  <w:rPr>
                    <w:rFonts w:eastAsia="Calibri"/>
                    <w:szCs w:val="24"/>
                  </w:rPr>
                  <w:t>Nė vienos profesinės grupės darbuotojai</w:t>
                </w:r>
                <w:r>
                  <w:rPr>
                    <w:rFonts w:eastAsia="Calibri"/>
                    <w:strike/>
                    <w:color w:val="0000FF"/>
                    <w:szCs w:val="24"/>
                  </w:rPr>
                  <w:t xml:space="preserve"> </w:t>
                </w:r>
                <w:r>
                  <w:rPr>
                    <w:rFonts w:eastAsia="Calibri"/>
                    <w:szCs w:val="24"/>
                  </w:rPr>
                  <w:t>negali dirbti jūrų laive.</w:t>
                </w:r>
              </w:p>
            </w:tc>
            <w:tc>
              <w:tcPr>
                <w:tcW w:w="4252" w:type="dxa"/>
              </w:tcPr>
              <w:p>
                <w:pPr>
                  <w:spacing w:line="276" w:lineRule="auto"/>
                  <w:jc w:val="both"/>
                  <w:rPr>
                    <w:rFonts w:eastAsia="Calibri"/>
                    <w:szCs w:val="24"/>
                  </w:rPr>
                </w:pPr>
                <w:r>
                  <w:rPr>
                    <w:rFonts w:eastAsia="Calibri"/>
                    <w:szCs w:val="24"/>
                  </w:rPr>
                  <w:t>Nė vienos profesinės grupės darbuotojai</w:t>
                </w:r>
                <w:r>
                  <w:rPr>
                    <w:rFonts w:eastAsia="Calibri"/>
                    <w:color w:val="000000"/>
                    <w:szCs w:val="24"/>
                  </w:rPr>
                  <w:t xml:space="preserve"> </w:t>
                </w:r>
                <w:r>
                  <w:rPr>
                    <w:rFonts w:eastAsia="Calibri"/>
                    <w:szCs w:val="24"/>
                  </w:rPr>
                  <w:t>negali dirbti vidaus vandenų laive.</w:t>
                </w:r>
              </w:p>
            </w:tc>
            <w:tc>
              <w:tcPr>
                <w:tcW w:w="2801" w:type="dxa"/>
              </w:tcPr>
              <w:p>
                <w:pPr>
                  <w:spacing w:line="276" w:lineRule="auto"/>
                  <w:rPr>
                    <w:rFonts w:eastAsia="Calibri"/>
                    <w:color w:val="000000"/>
                    <w:szCs w:val="24"/>
                  </w:rPr>
                </w:pPr>
              </w:p>
            </w:tc>
          </w:tr>
          <w:tr>
            <w:tc>
              <w:tcPr>
                <w:tcW w:w="816" w:type="dxa"/>
              </w:tcPr>
              <w:p>
                <w:pPr>
                  <w:spacing w:line="276" w:lineRule="auto"/>
                  <w:jc w:val="both"/>
                  <w:rPr>
                    <w:rFonts w:eastAsia="Calibri"/>
                    <w:szCs w:val="24"/>
                  </w:rPr>
                </w:pPr>
                <w:r>
                  <w:rPr>
                    <w:rFonts w:eastAsia="Calibri"/>
                    <w:szCs w:val="24"/>
                  </w:rPr>
                  <w:t>12.6.</w:t>
                </w:r>
              </w:p>
            </w:tc>
            <w:tc>
              <w:tcPr>
                <w:tcW w:w="2977" w:type="dxa"/>
              </w:tcPr>
              <w:p>
                <w:pPr>
                  <w:spacing w:line="276" w:lineRule="auto"/>
                  <w:rPr>
                    <w:rFonts w:eastAsia="Calibri"/>
                    <w:szCs w:val="24"/>
                  </w:rPr>
                </w:pPr>
                <w:r>
                  <w:rPr>
                    <w:rFonts w:eastAsia="Calibri"/>
                    <w:szCs w:val="24"/>
                  </w:rPr>
                  <w:t>Nervų, nervų šaknelių ir rezginių sutrikimai, G50–G59</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szCs w:val="24"/>
                  </w:rPr>
                  <w:t>Po gydymo, tik visiškai atkūrus judėjimo, koordinacijos, taktilinio jutimo funkciją, sprendžiama individualiai po gydytojo neurologo konsultacijos.</w:t>
                </w:r>
              </w:p>
            </w:tc>
          </w:tr>
          <w:tr>
            <w:tc>
              <w:tcPr>
                <w:tcW w:w="816" w:type="dxa"/>
              </w:tcPr>
              <w:p>
                <w:pPr>
                  <w:spacing w:line="276" w:lineRule="auto"/>
                  <w:jc w:val="both"/>
                  <w:rPr>
                    <w:rFonts w:eastAsia="Calibri"/>
                    <w:szCs w:val="24"/>
                  </w:rPr>
                </w:pPr>
                <w:r>
                  <w:rPr>
                    <w:rFonts w:eastAsia="Calibri"/>
                    <w:szCs w:val="24"/>
                  </w:rPr>
                  <w:t>12.7.</w:t>
                </w:r>
              </w:p>
            </w:tc>
            <w:tc>
              <w:tcPr>
                <w:tcW w:w="2977" w:type="dxa"/>
              </w:tcPr>
              <w:p>
                <w:pPr>
                  <w:spacing w:line="276" w:lineRule="auto"/>
                  <w:rPr>
                    <w:rFonts w:eastAsia="Calibri"/>
                    <w:szCs w:val="24"/>
                  </w:rPr>
                </w:pPr>
                <w:r>
                  <w:rPr>
                    <w:rFonts w:eastAsia="Calibri"/>
                    <w:szCs w:val="24"/>
                  </w:rPr>
                  <w:t>Polineuropatijos ir kiti periferinės nervų sistemos sutrikimai, G60–G64</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szCs w:val="24"/>
                  </w:rPr>
                  <w:t>Po gydymo, tik visiškai atkūrus judėjimo, koordinacijos, taktilinio jutimo funkciją, sprendžiama individualiai po gydytojo neurologo konsultacijos.</w:t>
                </w:r>
              </w:p>
            </w:tc>
          </w:tr>
          <w:tr>
            <w:tc>
              <w:tcPr>
                <w:tcW w:w="816" w:type="dxa"/>
              </w:tcPr>
              <w:p>
                <w:pPr>
                  <w:spacing w:line="276" w:lineRule="auto"/>
                  <w:jc w:val="both"/>
                  <w:rPr>
                    <w:rFonts w:eastAsia="Calibri"/>
                    <w:szCs w:val="24"/>
                  </w:rPr>
                </w:pPr>
                <w:r>
                  <w:rPr>
                    <w:rFonts w:eastAsia="Calibri"/>
                    <w:szCs w:val="24"/>
                  </w:rPr>
                  <w:t>12.8.</w:t>
                </w:r>
              </w:p>
            </w:tc>
            <w:tc>
              <w:tcPr>
                <w:tcW w:w="2977" w:type="dxa"/>
              </w:tcPr>
              <w:p>
                <w:pPr>
                  <w:spacing w:line="276" w:lineRule="auto"/>
                  <w:rPr>
                    <w:rFonts w:eastAsia="Calibri"/>
                    <w:szCs w:val="24"/>
                  </w:rPr>
                </w:pPr>
                <w:r>
                  <w:rPr>
                    <w:rFonts w:eastAsia="Calibri"/>
                    <w:szCs w:val="24"/>
                  </w:rPr>
                  <w:t>Intracerebrinis kraujavimas, I61</w:t>
                </w:r>
              </w:p>
              <w:p>
                <w:pPr>
                  <w:spacing w:line="276" w:lineRule="auto"/>
                  <w:rPr>
                    <w:rFonts w:eastAsia="Calibri"/>
                    <w:szCs w:val="24"/>
                  </w:rPr>
                </w:pPr>
                <w:r>
                  <w:rPr>
                    <w:rFonts w:eastAsia="Calibri"/>
                    <w:szCs w:val="24"/>
                  </w:rPr>
                  <w:t>Smegenų infarktas, I63</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color w:val="000000"/>
                    <w:szCs w:val="24"/>
                  </w:rPr>
                </w:pPr>
                <w:r>
                  <w:rPr>
                    <w:rFonts w:eastAsia="Calibri"/>
                    <w:color w:val="000000"/>
                    <w:szCs w:val="24"/>
                  </w:rPr>
                  <w:t>Po gydymo, tik visiškai atkūrus judėjimo, koordinacijos, taktilinio jutimo funkciją, sprendžiama individualiai po gydytojo neurologo konsultacijos.</w:t>
                </w:r>
              </w:p>
            </w:tc>
          </w:tr>
          <w:tr>
            <w:tc>
              <w:tcPr>
                <w:tcW w:w="816" w:type="dxa"/>
              </w:tcPr>
              <w:p>
                <w:pPr>
                  <w:spacing w:line="276" w:lineRule="auto"/>
                  <w:jc w:val="both"/>
                  <w:rPr>
                    <w:rFonts w:eastAsia="Calibri"/>
                    <w:szCs w:val="24"/>
                  </w:rPr>
                </w:pPr>
                <w:r>
                  <w:rPr>
                    <w:rFonts w:eastAsia="Calibri"/>
                    <w:szCs w:val="24"/>
                  </w:rPr>
                  <w:t>12.9.</w:t>
                </w:r>
              </w:p>
            </w:tc>
            <w:tc>
              <w:tcPr>
                <w:tcW w:w="2977" w:type="dxa"/>
              </w:tcPr>
              <w:p>
                <w:pPr>
                  <w:spacing w:line="276" w:lineRule="auto"/>
                  <w:rPr>
                    <w:rFonts w:eastAsia="Calibri"/>
                    <w:szCs w:val="24"/>
                  </w:rPr>
                </w:pPr>
                <w:r>
                  <w:rPr>
                    <w:rFonts w:eastAsia="Calibri"/>
                    <w:szCs w:val="24"/>
                  </w:rPr>
                  <w:t>Dorsopatijos, M40–M54</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color w:val="000000"/>
                    <w:szCs w:val="24"/>
                  </w:rPr>
                  <w:t xml:space="preserve">Po gydymo, tik visiškai atkūrus </w:t>
                </w:r>
                <w:r>
                  <w:rPr>
                    <w:rFonts w:eastAsia="Calibri"/>
                    <w:szCs w:val="24"/>
                  </w:rPr>
                  <w:t xml:space="preserve">judėjimo, koordinacijos, taktilinio jutimo </w:t>
                </w:r>
                <w:r>
                  <w:rPr>
                    <w:rFonts w:eastAsia="Calibri"/>
                    <w:color w:val="000000"/>
                    <w:szCs w:val="24"/>
                  </w:rPr>
                  <w:t>funkciją, sprendžiama individualiai po gydytojo neurologo konsultacijos.</w:t>
                </w:r>
              </w:p>
            </w:tc>
          </w:tr>
          <w:tr>
            <w:tc>
              <w:tcPr>
                <w:tcW w:w="816" w:type="dxa"/>
              </w:tcPr>
              <w:p>
                <w:pPr>
                  <w:spacing w:line="276" w:lineRule="auto"/>
                  <w:jc w:val="both"/>
                  <w:rPr>
                    <w:rFonts w:eastAsia="Calibri"/>
                    <w:szCs w:val="24"/>
                  </w:rPr>
                </w:pPr>
                <w:r>
                  <w:rPr>
                    <w:rFonts w:eastAsia="Calibri"/>
                    <w:szCs w:val="24"/>
                  </w:rPr>
                  <w:t>12.10.</w:t>
                </w:r>
              </w:p>
            </w:tc>
            <w:tc>
              <w:tcPr>
                <w:tcW w:w="2977" w:type="dxa"/>
              </w:tcPr>
              <w:p>
                <w:pPr>
                  <w:spacing w:line="276" w:lineRule="auto"/>
                  <w:rPr>
                    <w:rFonts w:eastAsia="Calibri"/>
                    <w:szCs w:val="24"/>
                  </w:rPr>
                </w:pPr>
                <w:r>
                  <w:rPr>
                    <w:rFonts w:eastAsia="Calibri"/>
                    <w:szCs w:val="24"/>
                  </w:rPr>
                  <w:t>Sąmonės netekimas, R40.2</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color w:val="000000"/>
                    <w:szCs w:val="24"/>
                  </w:rPr>
                </w:pPr>
                <w:r>
                  <w:rPr>
                    <w:rFonts w:eastAsia="Calibri"/>
                    <w:color w:val="000000"/>
                    <w:szCs w:val="24"/>
                  </w:rPr>
                  <w:t xml:space="preserve">Iki bus išaiškintos ir pašalintos sąmonės praradimo priežastys, nė vienos profesinės grupės darbuotojai negali dirbti jūrų ir vidaus vandenų laivuose.  Sprendžiama individualiai po gydytojo neurologo konsultacijos.</w:t>
                </w:r>
              </w:p>
            </w:tc>
          </w:tr>
          <w:tr>
            <w:tc>
              <w:tcPr>
                <w:tcW w:w="816" w:type="dxa"/>
              </w:tcPr>
              <w:p>
                <w:pPr>
                  <w:spacing w:line="276" w:lineRule="auto"/>
                  <w:jc w:val="both"/>
                  <w:rPr>
                    <w:rFonts w:eastAsia="Calibri"/>
                    <w:b/>
                    <w:szCs w:val="24"/>
                  </w:rPr>
                </w:pPr>
                <w:r>
                  <w:rPr>
                    <w:rFonts w:eastAsia="Calibri"/>
                    <w:b/>
                    <w:szCs w:val="24"/>
                  </w:rPr>
                  <w:t>13.</w:t>
                </w:r>
              </w:p>
            </w:tc>
            <w:tc>
              <w:tcPr>
                <w:tcW w:w="14140" w:type="dxa"/>
                <w:gridSpan w:val="4"/>
              </w:tcPr>
              <w:p>
                <w:pPr>
                  <w:spacing w:line="276" w:lineRule="auto"/>
                  <w:jc w:val="center"/>
                  <w:rPr>
                    <w:rFonts w:eastAsia="Calibri"/>
                    <w:b/>
                    <w:szCs w:val="24"/>
                  </w:rPr>
                </w:pPr>
                <w:r>
                  <w:rPr>
                    <w:rFonts w:eastAsia="Calibri"/>
                    <w:b/>
                    <w:szCs w:val="24"/>
                  </w:rPr>
                  <w:t xml:space="preserve">CHIRURGINĖS LIGOS </w:t>
                </w:r>
              </w:p>
            </w:tc>
          </w:tr>
          <w:tr>
            <w:tc>
              <w:tcPr>
                <w:tcW w:w="816" w:type="dxa"/>
              </w:tcPr>
              <w:p>
                <w:pPr>
                  <w:spacing w:line="276" w:lineRule="auto"/>
                  <w:jc w:val="both"/>
                  <w:rPr>
                    <w:rFonts w:eastAsia="Calibri"/>
                    <w:szCs w:val="24"/>
                  </w:rPr>
                </w:pPr>
                <w:r>
                  <w:rPr>
                    <w:rFonts w:eastAsia="Calibri"/>
                    <w:szCs w:val="24"/>
                  </w:rPr>
                  <w:t>13.1.</w:t>
                </w:r>
              </w:p>
            </w:tc>
            <w:tc>
              <w:tcPr>
                <w:tcW w:w="2977" w:type="dxa"/>
              </w:tcPr>
              <w:p>
                <w:pPr>
                  <w:spacing w:line="276" w:lineRule="auto"/>
                  <w:rPr>
                    <w:rFonts w:eastAsia="Calibri"/>
                    <w:szCs w:val="24"/>
                  </w:rPr>
                </w:pPr>
                <w:r>
                  <w:rPr>
                    <w:rFonts w:eastAsia="Calibri"/>
                    <w:szCs w:val="24"/>
                  </w:rPr>
                  <w:t>Krūties gerybiniai navikai, D24</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 sprendžiama individualiai, praėjus 3 mėn. po operacinio gydymo, po gydytojo chirurgo konsultacijos</w:t>
                </w:r>
                <w:r>
                  <w:rPr>
                    <w:rFonts w:eastAsia="Calibri"/>
                    <w:szCs w:val="24"/>
                  </w:rPr>
                  <w:t>.</w:t>
                </w:r>
              </w:p>
            </w:tc>
          </w:tr>
          <w:tr>
            <w:tc>
              <w:tcPr>
                <w:tcW w:w="816" w:type="dxa"/>
              </w:tcPr>
              <w:p>
                <w:pPr>
                  <w:spacing w:line="276" w:lineRule="auto"/>
                  <w:jc w:val="both"/>
                  <w:rPr>
                    <w:rFonts w:eastAsia="Calibri"/>
                    <w:szCs w:val="24"/>
                  </w:rPr>
                </w:pPr>
                <w:r>
                  <w:rPr>
                    <w:rFonts w:eastAsia="Calibri"/>
                    <w:szCs w:val="24"/>
                  </w:rPr>
                  <w:t>13.2.</w:t>
                </w:r>
              </w:p>
            </w:tc>
            <w:tc>
              <w:tcPr>
                <w:tcW w:w="2977" w:type="dxa"/>
              </w:tcPr>
              <w:p>
                <w:pPr>
                  <w:spacing w:line="276" w:lineRule="auto"/>
                  <w:rPr>
                    <w:rFonts w:eastAsia="Calibri"/>
                    <w:szCs w:val="24"/>
                  </w:rPr>
                </w:pPr>
                <w:r>
                  <w:rPr>
                    <w:rFonts w:eastAsia="Calibri"/>
                    <w:szCs w:val="24"/>
                  </w:rPr>
                  <w:t xml:space="preserve">Asplenija, po procedūros, </w:t>
                </w:r>
              </w:p>
              <w:p>
                <w:pPr>
                  <w:spacing w:line="276" w:lineRule="auto"/>
                  <w:rPr>
                    <w:rFonts w:eastAsia="Calibri"/>
                    <w:szCs w:val="24"/>
                  </w:rPr>
                </w:pPr>
                <w:r>
                  <w:rPr>
                    <w:rFonts w:eastAsia="Calibri"/>
                    <w:szCs w:val="24"/>
                  </w:rPr>
                  <w:t>D73.0</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Negali </w:t>
                </w:r>
                <w:r>
                  <w:rPr>
                    <w:rFonts w:eastAsia="Calibri"/>
                    <w:color w:val="000000"/>
                    <w:szCs w:val="24"/>
                  </w:rPr>
                  <w:t>dirbti jūrų ir vidaus vandenų laivuose po operacijos iki visiško</w:t>
                </w:r>
                <w:r>
                  <w:rPr>
                    <w:rFonts w:eastAsia="Calibri"/>
                    <w:szCs w:val="24"/>
                  </w:rPr>
                  <w:t xml:space="preserve"> pasveikimo. Vėliau sprendžiama individualiai </w:t>
                </w:r>
                <w:r>
                  <w:rPr>
                    <w:rFonts w:eastAsia="Calibri"/>
                    <w:color w:val="000000"/>
                    <w:szCs w:val="24"/>
                  </w:rPr>
                  <w:t>po gydytojo hematologo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13.3.</w:t>
                </w:r>
              </w:p>
            </w:tc>
            <w:tc>
              <w:tcPr>
                <w:tcW w:w="2977" w:type="dxa"/>
              </w:tcPr>
              <w:p>
                <w:pPr>
                  <w:spacing w:line="276" w:lineRule="auto"/>
                  <w:rPr>
                    <w:rFonts w:eastAsia="Calibri"/>
                    <w:szCs w:val="24"/>
                  </w:rPr>
                </w:pPr>
                <w:r>
                  <w:rPr>
                    <w:rFonts w:eastAsia="Calibri"/>
                    <w:szCs w:val="24"/>
                  </w:rPr>
                  <w:t>Galūnių arterijų aterosklerozė, I70.2</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w:t>
                </w:r>
                <w:r>
                  <w:rPr>
                    <w:rFonts w:eastAsia="Calibri"/>
                    <w:szCs w:val="24"/>
                  </w:rPr>
                  <w:t xml:space="preserve"> po operacinio gydymo </w:t>
                </w:r>
                <w:r>
                  <w:rPr>
                    <w:rFonts w:eastAsia="Calibri"/>
                    <w:color w:val="000000"/>
                    <w:szCs w:val="24"/>
                  </w:rPr>
                  <w:t>sprendžiama individualiai, po gydytojo kraujagyslių chirurgo konsultacijos.</w:t>
                </w:r>
              </w:p>
            </w:tc>
          </w:tr>
          <w:tr>
            <w:tc>
              <w:tcPr>
                <w:tcW w:w="816" w:type="dxa"/>
              </w:tcPr>
              <w:p>
                <w:pPr>
                  <w:spacing w:line="276" w:lineRule="auto"/>
                  <w:jc w:val="both"/>
                  <w:rPr>
                    <w:rFonts w:eastAsia="Calibri"/>
                    <w:szCs w:val="24"/>
                  </w:rPr>
                </w:pPr>
                <w:r>
                  <w:rPr>
                    <w:rFonts w:eastAsia="Calibri"/>
                    <w:szCs w:val="24"/>
                  </w:rPr>
                  <w:t>13.4.</w:t>
                </w:r>
              </w:p>
            </w:tc>
            <w:tc>
              <w:tcPr>
                <w:tcW w:w="2977" w:type="dxa"/>
              </w:tcPr>
              <w:p>
                <w:pPr>
                  <w:spacing w:line="276" w:lineRule="auto"/>
                  <w:rPr>
                    <w:rFonts w:eastAsia="Calibri"/>
                    <w:szCs w:val="24"/>
                  </w:rPr>
                </w:pPr>
                <w:r>
                  <w:rPr>
                    <w:rFonts w:eastAsia="Calibri"/>
                    <w:szCs w:val="24"/>
                  </w:rPr>
                  <w:t>Flebitas ir tromboflebitas, I80</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Po konservatyvaus gydymo gali dirbti jūrų ir vidaus vandenų laivuose</w:t>
                </w:r>
                <w:r>
                  <w:rPr>
                    <w:rFonts w:eastAsia="Calibri"/>
                    <w:color w:val="000000"/>
                    <w:szCs w:val="24"/>
                  </w:rPr>
                  <w:t>. Sprendžiama individualiai po gydytojo chirurgo ar gydytojo kraujagyslių chirurgo konsultacijos.</w:t>
                </w:r>
              </w:p>
            </w:tc>
          </w:tr>
          <w:tr>
            <w:tc>
              <w:tcPr>
                <w:tcW w:w="816" w:type="dxa"/>
              </w:tcPr>
              <w:p>
                <w:pPr>
                  <w:spacing w:line="276" w:lineRule="auto"/>
                  <w:jc w:val="both"/>
                  <w:rPr>
                    <w:rFonts w:eastAsia="Calibri"/>
                    <w:szCs w:val="24"/>
                  </w:rPr>
                </w:pPr>
                <w:r>
                  <w:rPr>
                    <w:rFonts w:eastAsia="Calibri"/>
                    <w:szCs w:val="24"/>
                  </w:rPr>
                  <w:t>13.5.</w:t>
                </w:r>
              </w:p>
            </w:tc>
            <w:tc>
              <w:tcPr>
                <w:tcW w:w="2977" w:type="dxa"/>
              </w:tcPr>
              <w:p>
                <w:pPr>
                  <w:spacing w:line="276" w:lineRule="auto"/>
                  <w:rPr>
                    <w:rFonts w:eastAsia="Calibri"/>
                    <w:szCs w:val="24"/>
                  </w:rPr>
                </w:pPr>
                <w:r>
                  <w:rPr>
                    <w:rFonts w:eastAsia="Calibri"/>
                    <w:szCs w:val="24"/>
                  </w:rPr>
                  <w:t>Tulžies pūslės akmuo, su kitu cholecistitu (lėtiniu), K80.1</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 sprendžiama individualiai, po operacinio gydymo</w:t>
                </w:r>
                <w:r>
                  <w:rPr>
                    <w:rFonts w:eastAsia="Calibri"/>
                    <w:szCs w:val="24"/>
                  </w:rPr>
                  <w:t xml:space="preserve"> praėjus 3 mėn., po </w:t>
                </w:r>
                <w:r>
                  <w:rPr>
                    <w:rFonts w:eastAsia="Calibri"/>
                    <w:color w:val="000000"/>
                    <w:szCs w:val="24"/>
                  </w:rPr>
                  <w:t>gydytojo chirurgo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13.6.</w:t>
                </w:r>
              </w:p>
            </w:tc>
            <w:tc>
              <w:tcPr>
                <w:tcW w:w="2977" w:type="dxa"/>
              </w:tcPr>
              <w:p>
                <w:pPr>
                  <w:spacing w:line="276" w:lineRule="auto"/>
                  <w:rPr>
                    <w:rFonts w:eastAsia="Calibri"/>
                    <w:szCs w:val="24"/>
                  </w:rPr>
                </w:pPr>
                <w:r>
                  <w:rPr>
                    <w:rFonts w:eastAsia="Calibri"/>
                    <w:szCs w:val="24"/>
                  </w:rPr>
                  <w:t>Kojų giliųjų venų trombozė, I80.2</w:t>
                </w:r>
              </w:p>
            </w:tc>
            <w:tc>
              <w:tcPr>
                <w:tcW w:w="4110" w:type="dxa"/>
              </w:tcPr>
              <w:p>
                <w:pPr>
                  <w:spacing w:line="276" w:lineRule="auto"/>
                  <w:jc w:val="both"/>
                  <w:rPr>
                    <w:rFonts w:eastAsia="Calibri"/>
                    <w:szCs w:val="24"/>
                  </w:rPr>
                </w:pPr>
                <w:r>
                  <w:rPr>
                    <w:rFonts w:eastAsia="Calibri"/>
                    <w:szCs w:val="24"/>
                  </w:rPr>
                  <w:t>Nė vienos profesinės grupės asmenys</w:t>
                </w:r>
                <w:r>
                  <w:rPr>
                    <w:rFonts w:eastAsia="Calibri"/>
                    <w:color w:val="000000"/>
                    <w:szCs w:val="24"/>
                  </w:rPr>
                  <w:t xml:space="preserve"> </w:t>
                </w:r>
                <w:r>
                  <w:rPr>
                    <w:rFonts w:eastAsia="Calibri"/>
                    <w:szCs w:val="24"/>
                  </w:rPr>
                  <w:t>negali dirbti jūrų laive.</w:t>
                </w:r>
              </w:p>
            </w:tc>
            <w:tc>
              <w:tcPr>
                <w:tcW w:w="4252" w:type="dxa"/>
              </w:tcPr>
              <w:p>
                <w:pPr>
                  <w:spacing w:line="276" w:lineRule="auto"/>
                  <w:jc w:val="both"/>
                  <w:rPr>
                    <w:rFonts w:eastAsia="Calibri"/>
                    <w:szCs w:val="24"/>
                  </w:rPr>
                </w:pPr>
                <w:r>
                  <w:rPr>
                    <w:rFonts w:eastAsia="Calibri"/>
                    <w:szCs w:val="24"/>
                  </w:rPr>
                  <w:t>Nė vienos profesinės grupės asmenys</w:t>
                </w:r>
                <w:r>
                  <w:rPr>
                    <w:rFonts w:eastAsia="Calibri"/>
                    <w:color w:val="000000"/>
                    <w:szCs w:val="24"/>
                  </w:rPr>
                  <w:t xml:space="preserve"> </w:t>
                </w:r>
                <w:r>
                  <w:rPr>
                    <w:rFonts w:eastAsia="Calibri"/>
                    <w:szCs w:val="24"/>
                  </w:rPr>
                  <w:t>negali dirbti vidaus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13.7.</w:t>
                </w:r>
              </w:p>
            </w:tc>
            <w:tc>
              <w:tcPr>
                <w:tcW w:w="2977" w:type="dxa"/>
              </w:tcPr>
              <w:p>
                <w:pPr>
                  <w:spacing w:line="276" w:lineRule="auto"/>
                  <w:rPr>
                    <w:rFonts w:eastAsia="Calibri"/>
                    <w:szCs w:val="24"/>
                  </w:rPr>
                </w:pPr>
                <w:r>
                  <w:rPr>
                    <w:rFonts w:eastAsia="Calibri"/>
                    <w:szCs w:val="24"/>
                  </w:rPr>
                  <w:t>Kojų venų varikozė, I83</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Dėl galimybės dirbti jūrų ir (ar) vidaus vandenų laivuose sprendžiama atsižvelgiant į klinikinius požymius (C):</w:t>
                </w:r>
              </w:p>
              <w:p>
                <w:pPr>
                  <w:spacing w:line="276" w:lineRule="auto"/>
                  <w:rPr>
                    <w:rFonts w:eastAsia="Calibri"/>
                    <w:szCs w:val="24"/>
                  </w:rPr>
                </w:pPr>
                <w:r>
                  <w:rPr>
                    <w:rFonts w:eastAsia="Calibri"/>
                    <w:szCs w:val="24"/>
                  </w:rPr>
                  <w:t>C</w:t>
                </w:r>
                <w:r>
                  <w:rPr>
                    <w:rFonts w:eastAsia="Calibri"/>
                    <w:szCs w:val="24"/>
                    <w:vertAlign w:val="subscript"/>
                  </w:rPr>
                  <w:t>1</w:t>
                </w:r>
                <w:r>
                  <w:rPr>
                    <w:rFonts w:eastAsia="Calibri"/>
                    <w:szCs w:val="24"/>
                  </w:rPr>
                  <w:t xml:space="preserve"> – tinklinės venos išsiplėtusios – gali dirbti laive,</w:t>
                </w:r>
              </w:p>
              <w:p>
                <w:pPr>
                  <w:spacing w:line="276" w:lineRule="auto"/>
                  <w:rPr>
                    <w:rFonts w:eastAsia="Calibri"/>
                    <w:szCs w:val="24"/>
                  </w:rPr>
                </w:pPr>
                <w:r>
                  <w:rPr>
                    <w:rFonts w:eastAsia="Calibri"/>
                    <w:szCs w:val="24"/>
                  </w:rPr>
                  <w:t>C</w:t>
                </w:r>
                <w:r>
                  <w:rPr>
                    <w:rFonts w:eastAsia="Calibri"/>
                    <w:szCs w:val="24"/>
                    <w:vertAlign w:val="subscript"/>
                  </w:rPr>
                  <w:t xml:space="preserve">2-6 </w:t>
                </w:r>
                <w:r>
                  <w:rPr>
                    <w:rFonts w:eastAsia="Calibri"/>
                    <w:szCs w:val="24"/>
                  </w:rPr>
                  <w:t>– varikozinės venos, galūnės edema, odos pigmentacija, egzema, susijusi ar aktyvi opa – po operacinio gydymo</w:t>
                </w:r>
                <w:r>
                  <w:rPr>
                    <w:rFonts w:eastAsia="Calibri"/>
                    <w:color w:val="000000"/>
                    <w:szCs w:val="24"/>
                  </w:rPr>
                  <w:t xml:space="preserve"> praėjus 3 mėn. gali dirbti jūrų ir</w:t>
                </w:r>
                <w:r>
                  <w:rPr>
                    <w:rFonts w:eastAsia="Calibri"/>
                    <w:szCs w:val="24"/>
                  </w:rPr>
                  <w:t xml:space="preserve"> vidaus vandenų laivuose. </w:t>
                </w:r>
              </w:p>
            </w:tc>
          </w:tr>
          <w:tr>
            <w:tc>
              <w:tcPr>
                <w:tcW w:w="816" w:type="dxa"/>
              </w:tcPr>
              <w:p>
                <w:pPr>
                  <w:spacing w:line="276" w:lineRule="auto"/>
                  <w:jc w:val="both"/>
                  <w:rPr>
                    <w:rFonts w:eastAsia="Calibri"/>
                    <w:szCs w:val="24"/>
                  </w:rPr>
                </w:pPr>
                <w:r>
                  <w:rPr>
                    <w:rFonts w:eastAsia="Calibri"/>
                    <w:szCs w:val="24"/>
                  </w:rPr>
                  <w:t>13.8.</w:t>
                </w:r>
              </w:p>
            </w:tc>
            <w:tc>
              <w:tcPr>
                <w:tcW w:w="2977" w:type="dxa"/>
              </w:tcPr>
              <w:p>
                <w:pPr>
                  <w:spacing w:line="276" w:lineRule="auto"/>
                  <w:rPr>
                    <w:rFonts w:eastAsia="Calibri"/>
                    <w:szCs w:val="24"/>
                  </w:rPr>
                </w:pPr>
                <w:r>
                  <w:rPr>
                    <w:rFonts w:eastAsia="Calibri"/>
                    <w:szCs w:val="24"/>
                  </w:rPr>
                  <w:t>Hemorojus, I84</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Esant kraujuojantiems, krentantiems hemorojiniams mazgams ar dažniems uždegimams, po operacinio gydymo </w:t>
                </w:r>
                <w:r>
                  <w:rPr>
                    <w:rFonts w:eastAsia="Calibri"/>
                    <w:color w:val="000000"/>
                    <w:szCs w:val="24"/>
                  </w:rPr>
                  <w:t>praėjus</w:t>
                </w:r>
                <w:r>
                  <w:rPr>
                    <w:rFonts w:eastAsia="Calibri"/>
                    <w:szCs w:val="24"/>
                  </w:rPr>
                  <w:t xml:space="preserve"> 3 mėn. gali dirbti jūrų ir vidaus vandenų laivuose.</w:t>
                </w:r>
              </w:p>
            </w:tc>
          </w:tr>
          <w:tr>
            <w:tc>
              <w:tcPr>
                <w:tcW w:w="816" w:type="dxa"/>
              </w:tcPr>
              <w:p>
                <w:pPr>
                  <w:spacing w:line="276" w:lineRule="auto"/>
                  <w:jc w:val="both"/>
                  <w:rPr>
                    <w:rFonts w:eastAsia="Calibri"/>
                    <w:szCs w:val="24"/>
                  </w:rPr>
                </w:pPr>
                <w:r>
                  <w:rPr>
                    <w:rFonts w:eastAsia="Calibri"/>
                    <w:szCs w:val="24"/>
                  </w:rPr>
                  <w:t>13.9.</w:t>
                </w:r>
              </w:p>
            </w:tc>
            <w:tc>
              <w:tcPr>
                <w:tcW w:w="2977" w:type="dxa"/>
              </w:tcPr>
              <w:p>
                <w:pPr>
                  <w:spacing w:line="276" w:lineRule="auto"/>
                  <w:rPr>
                    <w:rFonts w:eastAsia="Calibri"/>
                    <w:szCs w:val="24"/>
                  </w:rPr>
                </w:pPr>
                <w:r>
                  <w:rPr>
                    <w:rFonts w:eastAsia="Calibri"/>
                    <w:szCs w:val="24"/>
                  </w:rPr>
                  <w:t>Limfedema, I89.0</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tinkamumo </w:t>
                </w:r>
                <w:r>
                  <w:rPr>
                    <w:rFonts w:eastAsia="Calibri"/>
                    <w:color w:val="000000"/>
                    <w:szCs w:val="24"/>
                  </w:rPr>
                  <w:t>dirbti jūrų</w:t>
                </w:r>
                <w:r>
                  <w:rPr>
                    <w:rFonts w:eastAsia="Calibri"/>
                    <w:szCs w:val="24"/>
                  </w:rPr>
                  <w:t xml:space="preserve"> ir vidaus vandenų laivuose sprendžiama individualiai </w:t>
                </w:r>
                <w:r>
                  <w:rPr>
                    <w:rFonts w:eastAsia="Calibri"/>
                    <w:color w:val="000000"/>
                    <w:szCs w:val="24"/>
                  </w:rPr>
                  <w:t>po gydytojo chirurgo konsultacijos.</w:t>
                </w:r>
                <w:r>
                  <w:rPr>
                    <w:rFonts w:eastAsia="Calibri"/>
                    <w:szCs w:val="24"/>
                  </w:rPr>
                  <w:t xml:space="preserve"> Esant kompensuotai ligos eigai, gali dirbti jūrų ir vidaus vandenų laivuose.</w:t>
                </w:r>
              </w:p>
            </w:tc>
          </w:tr>
          <w:tr>
            <w:tc>
              <w:tcPr>
                <w:tcW w:w="816" w:type="dxa"/>
              </w:tcPr>
              <w:p>
                <w:pPr>
                  <w:spacing w:line="276" w:lineRule="auto"/>
                  <w:jc w:val="both"/>
                  <w:rPr>
                    <w:rFonts w:eastAsia="Calibri"/>
                    <w:szCs w:val="24"/>
                  </w:rPr>
                </w:pPr>
                <w:r>
                  <w:rPr>
                    <w:rFonts w:eastAsia="Calibri"/>
                    <w:szCs w:val="24"/>
                  </w:rPr>
                  <w:t>13.10.</w:t>
                </w:r>
              </w:p>
            </w:tc>
            <w:tc>
              <w:tcPr>
                <w:tcW w:w="2977" w:type="dxa"/>
              </w:tcPr>
              <w:p>
                <w:pPr>
                  <w:spacing w:line="276" w:lineRule="auto"/>
                  <w:rPr>
                    <w:rFonts w:eastAsia="Calibri"/>
                    <w:szCs w:val="24"/>
                  </w:rPr>
                </w:pPr>
                <w:r>
                  <w:rPr>
                    <w:rFonts w:eastAsia="Calibri"/>
                    <w:szCs w:val="24"/>
                  </w:rPr>
                  <w:t>Kirkšninė išvarža, K40 Bambinė išvarža, K42</w:t>
                </w:r>
              </w:p>
            </w:tc>
            <w:tc>
              <w:tcPr>
                <w:tcW w:w="4110" w:type="dxa"/>
              </w:tcPr>
              <w:p>
                <w:pPr>
                  <w:spacing w:line="276" w:lineRule="auto"/>
                  <w:rPr>
                    <w:rFonts w:eastAsia="Calibri"/>
                    <w:szCs w:val="24"/>
                  </w:rPr>
                </w:pPr>
                <w:r>
                  <w:rPr>
                    <w:rFonts w:eastAsia="Calibri"/>
                    <w:szCs w:val="24"/>
                  </w:rPr>
                  <w:t>Nė vienos profesinės grupės darbuotojai negali dirbti jūrų laive.</w:t>
                </w:r>
                <w:r>
                  <w:rPr>
                    <w:rFonts w:eastAsia="Calibri"/>
                    <w:sz w:val="22"/>
                    <w:szCs w:val="22"/>
                  </w:rPr>
                  <w:t xml:space="preserve"> </w:t>
                </w:r>
              </w:p>
            </w:tc>
            <w:tc>
              <w:tcPr>
                <w:tcW w:w="4252" w:type="dxa"/>
              </w:tcPr>
              <w:p>
                <w:pPr>
                  <w:spacing w:line="276" w:lineRule="auto"/>
                  <w:rPr>
                    <w:rFonts w:eastAsia="Calibri"/>
                    <w:color w:val="000000"/>
                    <w:szCs w:val="24"/>
                  </w:rPr>
                </w:pPr>
                <w:r>
                  <w:rPr>
                    <w:rFonts w:eastAsia="Calibri"/>
                    <w:color w:val="000000"/>
                    <w:szCs w:val="24"/>
                  </w:rPr>
                  <w:t xml:space="preserve">Nė vienos profesinės grupės </w:t>
                </w:r>
                <w:r>
                  <w:rPr>
                    <w:rFonts w:eastAsia="Calibri"/>
                    <w:szCs w:val="24"/>
                  </w:rPr>
                  <w:t xml:space="preserve">darbuotojai </w:t>
                </w:r>
                <w:r>
                  <w:rPr>
                    <w:rFonts w:eastAsia="Calibri"/>
                    <w:color w:val="000000"/>
                    <w:szCs w:val="24"/>
                  </w:rPr>
                  <w:t>negali dirbti vidaus vandenų laive.</w:t>
                </w: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w:t>
                </w:r>
                <w:r>
                  <w:rPr>
                    <w:rFonts w:eastAsia="Calibri"/>
                    <w:szCs w:val="24"/>
                  </w:rPr>
                  <w:t xml:space="preserve"> </w:t>
                </w:r>
                <w:r>
                  <w:rPr>
                    <w:rFonts w:eastAsia="Calibri"/>
                    <w:color w:val="000000"/>
                    <w:szCs w:val="24"/>
                  </w:rPr>
                  <w:t>sprendžiama individualiai,</w:t>
                </w:r>
                <w:r>
                  <w:rPr>
                    <w:rFonts w:eastAsia="Calibri"/>
                    <w:szCs w:val="24"/>
                  </w:rPr>
                  <w:t xml:space="preserve"> po operacinio gydymo praėjus 3 mėn., po </w:t>
                </w:r>
                <w:r>
                  <w:rPr>
                    <w:rFonts w:eastAsia="Calibri"/>
                    <w:color w:val="000000"/>
                    <w:szCs w:val="24"/>
                  </w:rPr>
                  <w:t>gydytojo</w:t>
                </w:r>
                <w:r>
                  <w:rPr>
                    <w:rFonts w:eastAsia="Calibri"/>
                    <w:szCs w:val="24"/>
                  </w:rPr>
                  <w:t xml:space="preserve"> chirurgo konsultacijos</w:t>
                </w:r>
                <w:r>
                  <w:rPr>
                    <w:rFonts w:eastAsia="Calibri"/>
                    <w:color w:val="000000"/>
                    <w:szCs w:val="24"/>
                  </w:rPr>
                  <w:t>. Diagnozavus bambos išvaržą sprendžiama individualiai po gydytojo chirurgo konsultacijos.</w:t>
                </w:r>
              </w:p>
            </w:tc>
          </w:tr>
          <w:tr>
            <w:tc>
              <w:tcPr>
                <w:tcW w:w="816" w:type="dxa"/>
              </w:tcPr>
              <w:p>
                <w:pPr>
                  <w:spacing w:line="276" w:lineRule="auto"/>
                  <w:jc w:val="both"/>
                  <w:rPr>
                    <w:rFonts w:eastAsia="Calibri"/>
                    <w:szCs w:val="24"/>
                  </w:rPr>
                </w:pPr>
                <w:r>
                  <w:rPr>
                    <w:rFonts w:eastAsia="Calibri"/>
                    <w:szCs w:val="24"/>
                  </w:rPr>
                  <w:t>13.11.</w:t>
                </w:r>
              </w:p>
            </w:tc>
            <w:tc>
              <w:tcPr>
                <w:tcW w:w="2977" w:type="dxa"/>
              </w:tcPr>
              <w:p>
                <w:pPr>
                  <w:spacing w:line="276" w:lineRule="auto"/>
                  <w:rPr>
                    <w:rFonts w:eastAsia="Calibri"/>
                    <w:szCs w:val="24"/>
                  </w:rPr>
                </w:pPr>
                <w:r>
                  <w:rPr>
                    <w:rFonts w:eastAsia="Calibri"/>
                    <w:szCs w:val="24"/>
                  </w:rPr>
                  <w:t>Išangės ir tiesiosios žarnos įplėšos bei fistulės, K60</w:t>
                </w:r>
              </w:p>
              <w:p>
                <w:pPr>
                  <w:spacing w:line="276" w:lineRule="auto"/>
                  <w:rPr>
                    <w:rFonts w:eastAsia="Calibri"/>
                    <w:szCs w:val="24"/>
                  </w:rPr>
                </w:pPr>
                <w:r>
                  <w:rPr>
                    <w:rFonts w:eastAsia="Calibri"/>
                    <w:szCs w:val="24"/>
                  </w:rPr>
                  <w:t>Tiesiosios žarnos iškritimas, K62.3</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w:t>
                </w:r>
                <w:r>
                  <w:rPr>
                    <w:rFonts w:eastAsia="Calibri"/>
                    <w:szCs w:val="24"/>
                  </w:rPr>
                  <w:t xml:space="preserve"> </w:t>
                </w:r>
                <w:r>
                  <w:rPr>
                    <w:rFonts w:eastAsia="Calibri"/>
                    <w:color w:val="000000"/>
                    <w:szCs w:val="24"/>
                  </w:rPr>
                  <w:t>sprendžiama individualiai,</w:t>
                </w:r>
                <w:r>
                  <w:rPr>
                    <w:rFonts w:eastAsia="Calibri"/>
                    <w:szCs w:val="24"/>
                  </w:rPr>
                  <w:t xml:space="preserve"> po operacinio gydymo praėjus 3 mėn., po </w:t>
                </w:r>
                <w:r>
                  <w:rPr>
                    <w:rFonts w:eastAsia="Calibri"/>
                    <w:color w:val="000000"/>
                    <w:szCs w:val="24"/>
                  </w:rPr>
                  <w:t>gydytojo</w:t>
                </w:r>
                <w:r>
                  <w:rPr>
                    <w:rFonts w:eastAsia="Calibri"/>
                    <w:szCs w:val="24"/>
                  </w:rPr>
                  <w:t xml:space="preserve"> chirurgo konsultacijos</w:t>
                </w:r>
                <w:r>
                  <w:rPr>
                    <w:rFonts w:eastAsia="Calibri"/>
                    <w:color w:val="000000"/>
                    <w:szCs w:val="24"/>
                  </w:rPr>
                  <w:t>.</w:t>
                </w:r>
              </w:p>
            </w:tc>
          </w:tr>
          <w:tr>
            <w:tc>
              <w:tcPr>
                <w:tcW w:w="816" w:type="dxa"/>
              </w:tcPr>
              <w:p>
                <w:pPr>
                  <w:spacing w:line="276" w:lineRule="auto"/>
                  <w:jc w:val="both"/>
                  <w:rPr>
                    <w:rFonts w:eastAsia="Calibri"/>
                    <w:szCs w:val="24"/>
                  </w:rPr>
                </w:pPr>
                <w:r>
                  <w:rPr>
                    <w:rFonts w:eastAsia="Calibri"/>
                    <w:szCs w:val="24"/>
                  </w:rPr>
                  <w:t>13.12.</w:t>
                </w:r>
              </w:p>
            </w:tc>
            <w:tc>
              <w:tcPr>
                <w:tcW w:w="2977" w:type="dxa"/>
              </w:tcPr>
              <w:p>
                <w:pPr>
                  <w:spacing w:line="276" w:lineRule="auto"/>
                  <w:rPr>
                    <w:rFonts w:eastAsia="Calibri"/>
                    <w:szCs w:val="24"/>
                  </w:rPr>
                </w:pPr>
                <w:r>
                  <w:rPr>
                    <w:rFonts w:eastAsia="Calibri"/>
                    <w:szCs w:val="24"/>
                  </w:rPr>
                  <w:t>Potrauminė koksartrozė, M16.5</w:t>
                </w:r>
              </w:p>
              <w:p>
                <w:pPr>
                  <w:spacing w:line="276" w:lineRule="auto"/>
                  <w:rPr>
                    <w:rFonts w:eastAsia="Calibri"/>
                    <w:szCs w:val="24"/>
                  </w:rPr>
                </w:pPr>
                <w:r>
                  <w:rPr>
                    <w:rFonts w:eastAsia="Calibri"/>
                    <w:szCs w:val="24"/>
                  </w:rPr>
                  <w:t>Potrauminė gonartrozė, M17.2</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 sprendžiama individualiai po gydytojo ortopedo traumatologo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13.13.</w:t>
                </w:r>
              </w:p>
            </w:tc>
            <w:tc>
              <w:tcPr>
                <w:tcW w:w="2977" w:type="dxa"/>
              </w:tcPr>
              <w:p>
                <w:pPr>
                  <w:spacing w:line="276" w:lineRule="auto"/>
                  <w:rPr>
                    <w:rFonts w:eastAsia="Calibri"/>
                    <w:szCs w:val="24"/>
                  </w:rPr>
                </w:pPr>
                <w:r>
                  <w:rPr>
                    <w:rFonts w:eastAsia="Calibri"/>
                    <w:szCs w:val="24"/>
                  </w:rPr>
                  <w:t>Delno fascijos fibromatozė (Diupitreno), M72.0</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w:t>
                </w:r>
                <w:r>
                  <w:rPr>
                    <w:rFonts w:eastAsia="Calibri"/>
                    <w:szCs w:val="24"/>
                  </w:rPr>
                  <w:t xml:space="preserve"> </w:t>
                </w:r>
                <w:r>
                  <w:rPr>
                    <w:rFonts w:eastAsia="Calibri"/>
                    <w:color w:val="000000"/>
                    <w:szCs w:val="24"/>
                  </w:rPr>
                  <w:t>sprendžiama individualiai, po operacinio gydymo praėjus 3 mėn., po gydytojo ortopedo traumatologo konsultacijos.</w:t>
                </w:r>
              </w:p>
            </w:tc>
          </w:tr>
          <w:tr>
            <w:tc>
              <w:tcPr>
                <w:tcW w:w="816" w:type="dxa"/>
              </w:tcPr>
              <w:p>
                <w:pPr>
                  <w:spacing w:line="276" w:lineRule="auto"/>
                  <w:jc w:val="both"/>
                  <w:rPr>
                    <w:rFonts w:eastAsia="Calibri"/>
                    <w:szCs w:val="24"/>
                  </w:rPr>
                </w:pPr>
                <w:r>
                  <w:rPr>
                    <w:rFonts w:eastAsia="Calibri"/>
                    <w:szCs w:val="24"/>
                  </w:rPr>
                  <w:t>13.14.</w:t>
                </w:r>
              </w:p>
            </w:tc>
            <w:tc>
              <w:tcPr>
                <w:tcW w:w="2977" w:type="dxa"/>
              </w:tcPr>
              <w:p>
                <w:pPr>
                  <w:spacing w:line="276" w:lineRule="auto"/>
                  <w:rPr>
                    <w:rFonts w:eastAsia="Calibri"/>
                    <w:szCs w:val="24"/>
                  </w:rPr>
                </w:pPr>
                <w:r>
                  <w:rPr>
                    <w:rFonts w:eastAsia="Calibri"/>
                    <w:szCs w:val="24"/>
                  </w:rPr>
                  <w:t>Osteomielitas, M86</w:t>
                </w:r>
              </w:p>
            </w:tc>
            <w:tc>
              <w:tcPr>
                <w:tcW w:w="4110" w:type="dxa"/>
              </w:tcPr>
              <w:p>
                <w:pPr>
                  <w:spacing w:line="276" w:lineRule="auto"/>
                  <w:jc w:val="both"/>
                  <w:rPr>
                    <w:rFonts w:eastAsia="Calibri"/>
                    <w:szCs w:val="24"/>
                  </w:rPr>
                </w:pPr>
                <w:r>
                  <w:rPr>
                    <w:rFonts w:eastAsia="Calibri"/>
                    <w:szCs w:val="24"/>
                  </w:rPr>
                  <w:t xml:space="preserve">Nė vienos profesinės grupės darbuotojai </w:t>
                </w:r>
                <w:r>
                  <w:rPr>
                    <w:rFonts w:eastAsia="Calibri"/>
                    <w:color w:val="000000"/>
                    <w:szCs w:val="24"/>
                  </w:rPr>
                  <w:t>negali dirbti jūrų laive.</w:t>
                </w: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vidaus vandenų laive</w:t>
                </w:r>
                <w:r>
                  <w:rPr>
                    <w:rFonts w:eastAsia="Calibri"/>
                    <w:szCs w:val="24"/>
                  </w:rPr>
                  <w:t xml:space="preserve"> </w:t>
                </w:r>
                <w:r>
                  <w:rPr>
                    <w:rFonts w:eastAsia="Calibri"/>
                    <w:color w:val="000000"/>
                    <w:szCs w:val="24"/>
                  </w:rPr>
                  <w:t>sprendžiama individualiai</w:t>
                </w:r>
                <w:r>
                  <w:rPr>
                    <w:rFonts w:eastAsia="Calibri"/>
                    <w:szCs w:val="24"/>
                  </w:rPr>
                  <w:t xml:space="preserve"> </w:t>
                </w:r>
                <w:r>
                  <w:rPr>
                    <w:rFonts w:eastAsia="Calibri"/>
                    <w:color w:val="000000"/>
                    <w:szCs w:val="24"/>
                  </w:rPr>
                  <w:t>po gydytojo chirurgo konsultacijos</w:t>
                </w:r>
                <w:r>
                  <w:rPr>
                    <w:rFonts w:eastAsia="Calibri"/>
                    <w:szCs w:val="24"/>
                  </w:rPr>
                  <w:t>.</w:t>
                </w:r>
              </w:p>
            </w:tc>
          </w:tr>
          <w:tr>
            <w:tc>
              <w:tcPr>
                <w:tcW w:w="816" w:type="dxa"/>
              </w:tcPr>
              <w:p>
                <w:pPr>
                  <w:spacing w:line="276" w:lineRule="auto"/>
                  <w:jc w:val="both"/>
                  <w:rPr>
                    <w:rFonts w:eastAsia="Calibri"/>
                    <w:szCs w:val="24"/>
                  </w:rPr>
                </w:pPr>
                <w:r>
                  <w:rPr>
                    <w:rFonts w:eastAsia="Calibri"/>
                    <w:szCs w:val="24"/>
                  </w:rPr>
                  <w:t>13.15.</w:t>
                </w:r>
              </w:p>
            </w:tc>
            <w:tc>
              <w:tcPr>
                <w:tcW w:w="2977" w:type="dxa"/>
              </w:tcPr>
              <w:p>
                <w:pPr>
                  <w:spacing w:line="276" w:lineRule="auto"/>
                  <w:rPr>
                    <w:rFonts w:eastAsia="Calibri"/>
                    <w:szCs w:val="24"/>
                  </w:rPr>
                </w:pPr>
                <w:r>
                  <w:rPr>
                    <w:rFonts w:eastAsia="Calibri"/>
                    <w:szCs w:val="24"/>
                  </w:rPr>
                  <w:t>Rankos sužalojimų padariniai, T92</w:t>
                </w:r>
              </w:p>
              <w:p>
                <w:pPr>
                  <w:spacing w:line="276" w:lineRule="auto"/>
                  <w:rPr>
                    <w:rFonts w:eastAsia="Calibri"/>
                    <w:szCs w:val="24"/>
                  </w:rPr>
                </w:pPr>
                <w:r>
                  <w:rPr>
                    <w:rFonts w:eastAsia="Calibri"/>
                    <w:szCs w:val="24"/>
                  </w:rPr>
                  <w:t xml:space="preserve">Kojos sužalojimų padariniai, T93 </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w:t>
                </w:r>
                <w:r>
                  <w:rPr>
                    <w:rFonts w:eastAsia="Calibri"/>
                    <w:szCs w:val="24"/>
                  </w:rPr>
                  <w:t xml:space="preserve"> </w:t>
                </w:r>
                <w:r>
                  <w:rPr>
                    <w:rFonts w:eastAsia="Calibri"/>
                    <w:color w:val="000000"/>
                    <w:szCs w:val="24"/>
                  </w:rPr>
                  <w:t>sprendžiama individualiai</w:t>
                </w:r>
                <w:r>
                  <w:rPr>
                    <w:rFonts w:eastAsia="Calibri"/>
                    <w:szCs w:val="24"/>
                  </w:rPr>
                  <w:t xml:space="preserve"> pagal galūnių </w:t>
                </w:r>
                <w:r>
                  <w:rPr>
                    <w:rFonts w:eastAsia="Calibri"/>
                    <w:color w:val="000000"/>
                    <w:szCs w:val="24"/>
                  </w:rPr>
                  <w:t>funkciją ir gydymo rezultatus po gydytojo ortopedo traumatologo konsultacijos.</w:t>
                </w:r>
              </w:p>
            </w:tc>
          </w:tr>
          <w:tr>
            <w:tc>
              <w:tcPr>
                <w:tcW w:w="816" w:type="dxa"/>
              </w:tcPr>
              <w:p>
                <w:pPr>
                  <w:spacing w:line="276" w:lineRule="auto"/>
                  <w:jc w:val="both"/>
                  <w:rPr>
                    <w:rFonts w:eastAsia="Calibri"/>
                    <w:szCs w:val="24"/>
                  </w:rPr>
                </w:pPr>
                <w:r>
                  <w:rPr>
                    <w:rFonts w:eastAsia="Calibri"/>
                    <w:szCs w:val="24"/>
                  </w:rPr>
                  <w:t>13.16.</w:t>
                </w:r>
              </w:p>
            </w:tc>
            <w:tc>
              <w:tcPr>
                <w:tcW w:w="2977" w:type="dxa"/>
              </w:tcPr>
              <w:p>
                <w:pPr>
                  <w:spacing w:line="276" w:lineRule="auto"/>
                  <w:rPr>
                    <w:rFonts w:eastAsia="Calibri"/>
                    <w:szCs w:val="24"/>
                  </w:rPr>
                </w:pPr>
                <w:r>
                  <w:rPr>
                    <w:rFonts w:eastAsia="Calibri"/>
                    <w:szCs w:val="24"/>
                  </w:rPr>
                  <w:t>Įgytas galūnės nebuvimas, Z89</w:t>
                </w:r>
              </w:p>
            </w:tc>
            <w:tc>
              <w:tcPr>
                <w:tcW w:w="4110" w:type="dxa"/>
              </w:tcPr>
              <w:p>
                <w:pPr>
                  <w:spacing w:line="276" w:lineRule="auto"/>
                  <w:jc w:val="both"/>
                  <w:rPr>
                    <w:rFonts w:eastAsia="Calibri"/>
                    <w:szCs w:val="24"/>
                  </w:rPr>
                </w:pPr>
                <w:r>
                  <w:rPr>
                    <w:rFonts w:eastAsia="Calibri"/>
                    <w:szCs w:val="24"/>
                  </w:rPr>
                  <w:t>Nė vienos profesinės grupės darbuotojai</w:t>
                </w:r>
                <w:r>
                  <w:rPr>
                    <w:rFonts w:eastAsia="Calibri"/>
                    <w:color w:val="000000"/>
                    <w:szCs w:val="24"/>
                  </w:rPr>
                  <w:t xml:space="preserve"> </w:t>
                </w:r>
                <w:r>
                  <w:rPr>
                    <w:rFonts w:eastAsia="Calibri"/>
                    <w:szCs w:val="24"/>
                  </w:rPr>
                  <w:t>negali dirbti jūrų laive.</w:t>
                </w:r>
              </w:p>
            </w:tc>
            <w:tc>
              <w:tcPr>
                <w:tcW w:w="4252" w:type="dxa"/>
              </w:tcPr>
              <w:p>
                <w:pPr>
                  <w:spacing w:line="276" w:lineRule="auto"/>
                  <w:jc w:val="both"/>
                  <w:rPr>
                    <w:rFonts w:eastAsia="Calibri"/>
                    <w:szCs w:val="24"/>
                  </w:rPr>
                </w:pPr>
                <w:r>
                  <w:rPr>
                    <w:rFonts w:eastAsia="Calibri"/>
                    <w:szCs w:val="24"/>
                  </w:rPr>
                  <w:t xml:space="preserve">Nė vienos profesinės grupės darbuotojai </w:t>
                </w:r>
                <w:r>
                  <w:rPr>
                    <w:rFonts w:eastAsia="Calibri"/>
                    <w:color w:val="000000"/>
                    <w:szCs w:val="24"/>
                  </w:rPr>
                  <w:t>negali dirbti vidaus</w:t>
                </w:r>
                <w:r>
                  <w:rPr>
                    <w:rFonts w:eastAsia="Calibri"/>
                    <w:szCs w:val="24"/>
                  </w:rPr>
                  <w:t xml:space="preserve">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13.17.</w:t>
                </w:r>
              </w:p>
            </w:tc>
            <w:tc>
              <w:tcPr>
                <w:tcW w:w="2977" w:type="dxa"/>
              </w:tcPr>
              <w:p>
                <w:pPr>
                  <w:spacing w:line="276" w:lineRule="auto"/>
                  <w:rPr>
                    <w:rFonts w:eastAsia="Calibri"/>
                    <w:szCs w:val="24"/>
                  </w:rPr>
                </w:pPr>
                <w:r>
                  <w:rPr>
                    <w:rFonts w:eastAsia="Calibri"/>
                    <w:szCs w:val="24"/>
                  </w:rPr>
                  <w:t>Piršto (-ų) (įskaitant nykštį) įgytas nebuvimas (plaštakos pirmojo piršto arba vienos plaštakos dviejų pirštų nebuvimas), Z89.0</w:t>
                </w:r>
              </w:p>
            </w:tc>
            <w:tc>
              <w:tcPr>
                <w:tcW w:w="4110" w:type="dxa"/>
              </w:tcPr>
              <w:p>
                <w:pPr>
                  <w:spacing w:line="276" w:lineRule="auto"/>
                  <w:jc w:val="both"/>
                  <w:rPr>
                    <w:rFonts w:eastAsia="Calibri"/>
                    <w:szCs w:val="24"/>
                  </w:rPr>
                </w:pPr>
                <w:r>
                  <w:rPr>
                    <w:rFonts w:eastAsia="Calibri"/>
                    <w:szCs w:val="24"/>
                  </w:rPr>
                  <w:t>Nė vienos profesinės grupės darbuotojai negali dirbti jūrų laive.</w:t>
                </w:r>
              </w:p>
            </w:tc>
            <w:tc>
              <w:tcPr>
                <w:tcW w:w="4252" w:type="dxa"/>
              </w:tcPr>
              <w:p>
                <w:pPr>
                  <w:spacing w:line="276" w:lineRule="auto"/>
                  <w:jc w:val="both"/>
                  <w:rPr>
                    <w:rFonts w:eastAsia="Calibri"/>
                    <w:szCs w:val="24"/>
                  </w:rPr>
                </w:pPr>
                <w:r>
                  <w:rPr>
                    <w:rFonts w:eastAsia="Calibri"/>
                    <w:szCs w:val="24"/>
                  </w:rPr>
                  <w:t>Nė vienos profesinės grupės darbuotojai negali dirbti vidaus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13.18.</w:t>
                </w:r>
              </w:p>
            </w:tc>
            <w:tc>
              <w:tcPr>
                <w:tcW w:w="2977" w:type="dxa"/>
              </w:tcPr>
              <w:p>
                <w:pPr>
                  <w:spacing w:line="276" w:lineRule="auto"/>
                  <w:rPr>
                    <w:rFonts w:eastAsia="Calibri"/>
                    <w:szCs w:val="24"/>
                  </w:rPr>
                </w:pPr>
                <w:r>
                  <w:rPr>
                    <w:rFonts w:eastAsia="Calibri"/>
                    <w:szCs w:val="24"/>
                  </w:rPr>
                  <w:t>Įgytas organų nebuvimas, Z90</w:t>
                </w:r>
              </w:p>
            </w:tc>
            <w:tc>
              <w:tcPr>
                <w:tcW w:w="4110" w:type="dxa"/>
              </w:tcPr>
              <w:p>
                <w:pPr>
                  <w:spacing w:line="276" w:lineRule="auto"/>
                  <w:jc w:val="both"/>
                  <w:rPr>
                    <w:rFonts w:eastAsia="Calibri"/>
                    <w:szCs w:val="24"/>
                  </w:rPr>
                </w:pPr>
                <w:r>
                  <w:rPr>
                    <w:rFonts w:eastAsia="Calibri"/>
                    <w:szCs w:val="24"/>
                  </w:rPr>
                  <w:t>Nė vienos profesinės grupės darbuotojai</w:t>
                </w:r>
                <w:r>
                  <w:rPr>
                    <w:rFonts w:eastAsia="Calibri"/>
                    <w:color w:val="000000"/>
                    <w:szCs w:val="24"/>
                  </w:rPr>
                  <w:t xml:space="preserve"> negali dirbti jūrų laive</w:t>
                </w:r>
                <w:r>
                  <w:rPr>
                    <w:rFonts w:eastAsia="Calibri"/>
                    <w:szCs w:val="24"/>
                  </w:rPr>
                  <w:t>.</w:t>
                </w: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vidaus vandenų laive sprendžiama individualiai po gydytojo chirurgo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13.19.</w:t>
                </w:r>
              </w:p>
            </w:tc>
            <w:tc>
              <w:tcPr>
                <w:tcW w:w="2977" w:type="dxa"/>
              </w:tcPr>
              <w:p>
                <w:pPr>
                  <w:spacing w:line="276" w:lineRule="auto"/>
                  <w:rPr>
                    <w:rFonts w:eastAsia="Calibri"/>
                    <w:szCs w:val="24"/>
                  </w:rPr>
                </w:pPr>
                <w:r>
                  <w:rPr>
                    <w:rFonts w:eastAsia="Calibri"/>
                    <w:szCs w:val="24"/>
                  </w:rPr>
                  <w:t>Klubo sąnario implantas, Z96.64</w:t>
                </w:r>
              </w:p>
              <w:p>
                <w:pPr>
                  <w:spacing w:line="276" w:lineRule="auto"/>
                  <w:rPr>
                    <w:rFonts w:eastAsia="Calibri"/>
                    <w:szCs w:val="24"/>
                  </w:rPr>
                </w:pPr>
                <w:r>
                  <w:rPr>
                    <w:rFonts w:eastAsia="Calibri"/>
                    <w:szCs w:val="24"/>
                  </w:rPr>
                  <w:t>Kelio sąnario implantas, Z96.65</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w:t>
                </w:r>
                <w:r>
                  <w:rPr>
                    <w:rFonts w:eastAsia="Calibri"/>
                    <w:szCs w:val="24"/>
                  </w:rPr>
                  <w:t xml:space="preserve"> </w:t>
                </w:r>
                <w:r>
                  <w:rPr>
                    <w:rFonts w:eastAsia="Calibri"/>
                    <w:color w:val="000000"/>
                    <w:szCs w:val="24"/>
                  </w:rPr>
                  <w:t>sprendžiama individualiai,</w:t>
                </w:r>
                <w:r>
                  <w:rPr>
                    <w:rFonts w:eastAsia="Calibri"/>
                    <w:szCs w:val="24"/>
                  </w:rPr>
                  <w:t xml:space="preserve"> po </w:t>
                </w:r>
                <w:r>
                  <w:rPr>
                    <w:rFonts w:eastAsia="Calibri"/>
                    <w:color w:val="000000"/>
                    <w:szCs w:val="24"/>
                  </w:rPr>
                  <w:t>operacinio gydymo praėjus 6 mėn., po gydytojo ortopedo traumatologo konsultacijos.</w:t>
                </w:r>
              </w:p>
            </w:tc>
          </w:tr>
          <w:tr>
            <w:tc>
              <w:tcPr>
                <w:tcW w:w="816" w:type="dxa"/>
              </w:tcPr>
              <w:p>
                <w:pPr>
                  <w:spacing w:line="276" w:lineRule="auto"/>
                  <w:jc w:val="both"/>
                  <w:rPr>
                    <w:rFonts w:eastAsia="Calibri"/>
                    <w:szCs w:val="24"/>
                  </w:rPr>
                </w:pPr>
                <w:r>
                  <w:rPr>
                    <w:rFonts w:eastAsia="Calibri"/>
                    <w:szCs w:val="24"/>
                  </w:rPr>
                  <w:t>13.20.</w:t>
                </w:r>
              </w:p>
            </w:tc>
            <w:tc>
              <w:tcPr>
                <w:tcW w:w="2977" w:type="dxa"/>
              </w:tcPr>
              <w:p>
                <w:pPr>
                  <w:spacing w:line="276" w:lineRule="auto"/>
                  <w:rPr>
                    <w:rFonts w:eastAsia="Calibri"/>
                    <w:szCs w:val="24"/>
                  </w:rPr>
                </w:pPr>
                <w:r>
                  <w:rPr>
                    <w:rFonts w:eastAsia="Calibri"/>
                    <w:szCs w:val="24"/>
                  </w:rPr>
                  <w:t>Dirbtinė galūnė, Z97.1</w:t>
                </w:r>
              </w:p>
            </w:tc>
            <w:tc>
              <w:tcPr>
                <w:tcW w:w="4110" w:type="dxa"/>
              </w:tcPr>
              <w:p>
                <w:pPr>
                  <w:spacing w:line="276" w:lineRule="auto"/>
                  <w:rPr>
                    <w:rFonts w:eastAsia="Calibri"/>
                    <w:szCs w:val="24"/>
                  </w:rPr>
                </w:pPr>
                <w:r>
                  <w:rPr>
                    <w:rFonts w:eastAsia="Calibri"/>
                    <w:szCs w:val="24"/>
                  </w:rPr>
                  <w:t>Nė vienos profesinės grupės asmenys negali dirbti jūrų laive.</w:t>
                </w:r>
              </w:p>
            </w:tc>
            <w:tc>
              <w:tcPr>
                <w:tcW w:w="4252" w:type="dxa"/>
              </w:tcPr>
              <w:p>
                <w:pPr>
                  <w:spacing w:line="276" w:lineRule="auto"/>
                  <w:rPr>
                    <w:rFonts w:eastAsia="Calibri"/>
                    <w:szCs w:val="24"/>
                  </w:rPr>
                </w:pPr>
                <w:r>
                  <w:rPr>
                    <w:rFonts w:eastAsia="Calibri"/>
                    <w:szCs w:val="24"/>
                  </w:rPr>
                  <w:t>Nė vienos profesinės grupės asmenys negali dirbti vidaus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b/>
                    <w:szCs w:val="24"/>
                  </w:rPr>
                </w:pPr>
                <w:r>
                  <w:rPr>
                    <w:rFonts w:eastAsia="Calibri"/>
                    <w:b/>
                    <w:szCs w:val="24"/>
                  </w:rPr>
                  <w:t>14.</w:t>
                </w:r>
              </w:p>
            </w:tc>
            <w:tc>
              <w:tcPr>
                <w:tcW w:w="14140" w:type="dxa"/>
                <w:gridSpan w:val="4"/>
              </w:tcPr>
              <w:p>
                <w:pPr>
                  <w:spacing w:line="276" w:lineRule="auto"/>
                  <w:jc w:val="center"/>
                  <w:rPr>
                    <w:rFonts w:eastAsia="Calibri"/>
                    <w:b/>
                    <w:szCs w:val="24"/>
                    <w:u w:val="single"/>
                  </w:rPr>
                </w:pPr>
                <w:r>
                  <w:rPr>
                    <w:rFonts w:eastAsia="Calibri"/>
                    <w:b/>
                    <w:szCs w:val="24"/>
                  </w:rPr>
                  <w:t xml:space="preserve">PSICHIKOS IR ELGESIO SUTRIKIMAI </w:t>
                </w:r>
              </w:p>
            </w:tc>
          </w:tr>
          <w:tr>
            <w:tc>
              <w:tcPr>
                <w:tcW w:w="816" w:type="dxa"/>
              </w:tcPr>
              <w:p>
                <w:pPr>
                  <w:spacing w:line="276" w:lineRule="auto"/>
                  <w:jc w:val="both"/>
                  <w:rPr>
                    <w:rFonts w:eastAsia="Calibri"/>
                    <w:szCs w:val="24"/>
                  </w:rPr>
                </w:pPr>
                <w:r>
                  <w:rPr>
                    <w:rFonts w:eastAsia="Calibri"/>
                    <w:szCs w:val="24"/>
                  </w:rPr>
                  <w:t>14.1.</w:t>
                </w:r>
              </w:p>
            </w:tc>
            <w:tc>
              <w:tcPr>
                <w:tcW w:w="2977" w:type="dxa"/>
              </w:tcPr>
              <w:p>
                <w:pPr>
                  <w:spacing w:line="276" w:lineRule="auto"/>
                  <w:rPr>
                    <w:rFonts w:eastAsia="Calibri"/>
                    <w:szCs w:val="24"/>
                  </w:rPr>
                </w:pPr>
                <w:r>
                  <w:rPr>
                    <w:rFonts w:eastAsia="Calibri"/>
                    <w:szCs w:val="24"/>
                  </w:rPr>
                  <w:t xml:space="preserve">Psichikos ir elgesio sutrikimai, F00–F99 </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color w:val="000000"/>
                    <w:szCs w:val="24"/>
                  </w:rPr>
                  <w:t>Dėl tinkamumo dirbti jūrų ir vidaus vandenų laivuose sprendžiama individualiai po gydytojo psichiatro konsultacijos.</w:t>
                </w:r>
              </w:p>
            </w:tc>
          </w:tr>
          <w:tr>
            <w:tc>
              <w:tcPr>
                <w:tcW w:w="816" w:type="dxa"/>
              </w:tcPr>
              <w:p>
                <w:pPr>
                  <w:spacing w:line="276" w:lineRule="auto"/>
                  <w:jc w:val="both"/>
                  <w:rPr>
                    <w:rFonts w:eastAsia="Calibri"/>
                    <w:b/>
                    <w:szCs w:val="24"/>
                  </w:rPr>
                </w:pPr>
                <w:r>
                  <w:rPr>
                    <w:rFonts w:eastAsia="Calibri"/>
                    <w:b/>
                    <w:szCs w:val="24"/>
                  </w:rPr>
                  <w:t>15.</w:t>
                </w:r>
              </w:p>
            </w:tc>
            <w:tc>
              <w:tcPr>
                <w:tcW w:w="14140" w:type="dxa"/>
                <w:gridSpan w:val="4"/>
              </w:tcPr>
              <w:p>
                <w:pPr>
                  <w:spacing w:line="276" w:lineRule="auto"/>
                  <w:jc w:val="center"/>
                  <w:rPr>
                    <w:rFonts w:eastAsia="Calibri"/>
                    <w:b/>
                    <w:szCs w:val="24"/>
                    <w:u w:val="single"/>
                  </w:rPr>
                </w:pPr>
                <w:r>
                  <w:rPr>
                    <w:rFonts w:eastAsia="Calibri"/>
                    <w:b/>
                    <w:szCs w:val="24"/>
                  </w:rPr>
                  <w:t>TAM TIKROS INFEKCINĖS IR PARAZITŲ SUKELIAMOS LIGOS</w:t>
                </w:r>
              </w:p>
            </w:tc>
          </w:tr>
          <w:tr>
            <w:tc>
              <w:tcPr>
                <w:tcW w:w="816" w:type="dxa"/>
              </w:tcPr>
              <w:p>
                <w:pPr>
                  <w:spacing w:line="276" w:lineRule="auto"/>
                  <w:jc w:val="both"/>
                  <w:rPr>
                    <w:rFonts w:eastAsia="Calibri"/>
                    <w:szCs w:val="24"/>
                  </w:rPr>
                </w:pPr>
                <w:r>
                  <w:rPr>
                    <w:rFonts w:eastAsia="Calibri"/>
                    <w:szCs w:val="24"/>
                  </w:rPr>
                  <w:t>15.1.</w:t>
                </w:r>
              </w:p>
            </w:tc>
            <w:tc>
              <w:tcPr>
                <w:tcW w:w="2977" w:type="dxa"/>
              </w:tcPr>
              <w:p>
                <w:pPr>
                  <w:spacing w:line="276" w:lineRule="auto"/>
                  <w:rPr>
                    <w:rFonts w:eastAsia="Calibri"/>
                    <w:szCs w:val="24"/>
                  </w:rPr>
                </w:pPr>
                <w:r>
                  <w:rPr>
                    <w:rFonts w:eastAsia="Calibri"/>
                    <w:szCs w:val="24"/>
                  </w:rPr>
                  <w:t>Žarnyno infekcinės ligos, A00–A09</w:t>
                </w:r>
              </w:p>
              <w:p>
                <w:pPr>
                  <w:spacing w:line="276" w:lineRule="auto"/>
                  <w:rPr>
                    <w:rFonts w:eastAsia="Calibri"/>
                    <w:szCs w:val="24"/>
                  </w:rPr>
                </w:pPr>
                <w:r>
                  <w:rPr>
                    <w:rFonts w:eastAsia="Calibri"/>
                    <w:szCs w:val="24"/>
                  </w:rPr>
                  <w:t>Tam tikros bakterinės zoonozinės ligos, A20–A28</w:t>
                </w:r>
              </w:p>
              <w:p>
                <w:pPr>
                  <w:spacing w:line="276" w:lineRule="auto"/>
                  <w:rPr>
                    <w:rFonts w:eastAsia="Calibri"/>
                    <w:szCs w:val="24"/>
                  </w:rPr>
                </w:pPr>
                <w:r>
                  <w:rPr>
                    <w:rFonts w:eastAsia="Calibri"/>
                    <w:szCs w:val="24"/>
                  </w:rPr>
                  <w:t>Kitos bakterijų sukeltos ligos, A30–A49</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Visų profesinių grupių darbuotojai, visiškai pasveikę po gydymo, gali dirbti jūrų ir vidaus vandenų laivuose.</w:t>
                </w:r>
              </w:p>
            </w:tc>
          </w:tr>
          <w:tr>
            <w:tc>
              <w:tcPr>
                <w:tcW w:w="816" w:type="dxa"/>
              </w:tcPr>
              <w:p>
                <w:pPr>
                  <w:spacing w:line="276" w:lineRule="auto"/>
                  <w:jc w:val="both"/>
                  <w:rPr>
                    <w:rFonts w:eastAsia="Calibri"/>
                    <w:szCs w:val="24"/>
                  </w:rPr>
                </w:pPr>
                <w:r>
                  <w:rPr>
                    <w:rFonts w:eastAsia="Calibri"/>
                    <w:szCs w:val="24"/>
                  </w:rPr>
                  <w:t>15.2.</w:t>
                </w:r>
              </w:p>
            </w:tc>
            <w:tc>
              <w:tcPr>
                <w:tcW w:w="2977" w:type="dxa"/>
              </w:tcPr>
              <w:p>
                <w:pPr>
                  <w:spacing w:line="276" w:lineRule="auto"/>
                  <w:rPr>
                    <w:rFonts w:eastAsia="Calibri"/>
                    <w:szCs w:val="24"/>
                  </w:rPr>
                </w:pPr>
                <w:r>
                  <w:rPr>
                    <w:rFonts w:eastAsia="Calibri"/>
                    <w:szCs w:val="24"/>
                  </w:rPr>
                  <w:t>Dažniausiai lytiškai plintančios infekcijos, A50–A64</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tinkamumo </w:t>
                </w:r>
                <w:r>
                  <w:rPr>
                    <w:rFonts w:eastAsia="Calibri"/>
                    <w:color w:val="000000"/>
                    <w:szCs w:val="24"/>
                  </w:rPr>
                  <w:t>dirbti jūrų ir vidaus vandenų</w:t>
                </w:r>
                <w:r>
                  <w:rPr>
                    <w:rFonts w:eastAsia="Calibri"/>
                    <w:szCs w:val="24"/>
                  </w:rPr>
                  <w:t xml:space="preserve"> laivuose </w:t>
                </w:r>
                <w:r>
                  <w:rPr>
                    <w:rFonts w:eastAsia="Calibri"/>
                    <w:color w:val="000000"/>
                    <w:szCs w:val="24"/>
                  </w:rPr>
                  <w:t>sprendžiama individualiai po gydytojo dermatovenerologo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15.3.</w:t>
                </w:r>
              </w:p>
            </w:tc>
            <w:tc>
              <w:tcPr>
                <w:tcW w:w="2977" w:type="dxa"/>
              </w:tcPr>
              <w:p>
                <w:pPr>
                  <w:spacing w:line="276" w:lineRule="auto"/>
                  <w:rPr>
                    <w:rFonts w:eastAsia="Calibri"/>
                    <w:szCs w:val="24"/>
                  </w:rPr>
                </w:pPr>
                <w:r>
                  <w:rPr>
                    <w:rFonts w:eastAsia="Calibri"/>
                    <w:szCs w:val="24"/>
                  </w:rPr>
                  <w:t>Besimptomis užkrėstumas žmogaus imunodeficito (ŽIV) virusu, Z21</w:t>
                </w:r>
              </w:p>
              <w:p>
                <w:pPr>
                  <w:spacing w:line="276" w:lineRule="auto"/>
                  <w:rPr>
                    <w:rFonts w:eastAsia="Calibri"/>
                    <w:szCs w:val="24"/>
                  </w:rPr>
                </w:pPr>
                <w:r>
                  <w:rPr>
                    <w:rFonts w:eastAsia="Calibri"/>
                    <w:szCs w:val="24"/>
                  </w:rPr>
                  <w:t>Žmogaus imunodeficito viruso (ŽIV) sukelta liga, B20–B24</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infekuotų ŽIV asmenų tinkamumo dirbti jūrų ir vidaus vandenų laivuose sprendžiama individualiai po gydytojo infektologo konsultacijos. Asmenys, sergantys AIDS, </w:t>
                </w:r>
                <w:r>
                  <w:rPr>
                    <w:rFonts w:eastAsia="Calibri"/>
                    <w:color w:val="000000"/>
                    <w:szCs w:val="24"/>
                  </w:rPr>
                  <w:t>negali dirbti jūrų ir vidaus vandenų</w:t>
                </w:r>
                <w:r>
                  <w:rPr>
                    <w:rFonts w:eastAsia="Calibri"/>
                    <w:szCs w:val="24"/>
                  </w:rPr>
                  <w:t xml:space="preserve"> laivuose.</w:t>
                </w:r>
              </w:p>
            </w:tc>
          </w:tr>
          <w:tr>
            <w:tc>
              <w:tcPr>
                <w:tcW w:w="816" w:type="dxa"/>
              </w:tcPr>
              <w:p>
                <w:pPr>
                  <w:spacing w:line="276" w:lineRule="auto"/>
                  <w:jc w:val="both"/>
                  <w:rPr>
                    <w:rFonts w:eastAsia="Calibri"/>
                    <w:b/>
                    <w:szCs w:val="24"/>
                  </w:rPr>
                </w:pPr>
                <w:r>
                  <w:rPr>
                    <w:rFonts w:eastAsia="Calibri"/>
                    <w:b/>
                    <w:szCs w:val="24"/>
                  </w:rPr>
                  <w:t>16.</w:t>
                </w:r>
              </w:p>
            </w:tc>
            <w:tc>
              <w:tcPr>
                <w:tcW w:w="14140" w:type="dxa"/>
                <w:gridSpan w:val="4"/>
              </w:tcPr>
              <w:p>
                <w:pPr>
                  <w:spacing w:line="276" w:lineRule="auto"/>
                  <w:jc w:val="center"/>
                  <w:rPr>
                    <w:rFonts w:eastAsia="Calibri"/>
                    <w:b/>
                    <w:szCs w:val="24"/>
                  </w:rPr>
                </w:pPr>
                <w:r>
                  <w:rPr>
                    <w:rFonts w:eastAsia="Calibri"/>
                    <w:b/>
                    <w:szCs w:val="24"/>
                  </w:rPr>
                  <w:t>ODOS IR POODŽIO LIGOS</w:t>
                </w:r>
              </w:p>
            </w:tc>
          </w:tr>
          <w:tr>
            <w:tc>
              <w:tcPr>
                <w:tcW w:w="816" w:type="dxa"/>
              </w:tcPr>
              <w:p>
                <w:pPr>
                  <w:spacing w:line="276" w:lineRule="auto"/>
                  <w:jc w:val="both"/>
                  <w:rPr>
                    <w:rFonts w:eastAsia="Calibri"/>
                    <w:szCs w:val="24"/>
                  </w:rPr>
                </w:pPr>
                <w:r>
                  <w:rPr>
                    <w:rFonts w:eastAsia="Calibri"/>
                    <w:szCs w:val="24"/>
                  </w:rPr>
                  <w:t>16.1.</w:t>
                </w:r>
              </w:p>
            </w:tc>
            <w:tc>
              <w:tcPr>
                <w:tcW w:w="2977" w:type="dxa"/>
              </w:tcPr>
              <w:p>
                <w:pPr>
                  <w:spacing w:line="276" w:lineRule="auto"/>
                  <w:rPr>
                    <w:rFonts w:eastAsia="Calibri"/>
                    <w:szCs w:val="24"/>
                  </w:rPr>
                </w:pPr>
                <w:r>
                  <w:rPr>
                    <w:rFonts w:eastAsia="Calibri"/>
                    <w:szCs w:val="24"/>
                  </w:rPr>
                  <w:t>Mikozės, B35–B49</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szCs w:val="24"/>
                  </w:rPr>
                  <w:t xml:space="preserve">Dėl tinkamumo </w:t>
                </w:r>
                <w:r>
                  <w:rPr>
                    <w:rFonts w:eastAsia="Calibri"/>
                    <w:color w:val="000000"/>
                    <w:szCs w:val="24"/>
                  </w:rPr>
                  <w:t>dirbti jūrų ir vidaus vandenų</w:t>
                </w:r>
                <w:r>
                  <w:rPr>
                    <w:rFonts w:eastAsia="Calibri"/>
                    <w:szCs w:val="24"/>
                  </w:rPr>
                  <w:t xml:space="preserve"> laivuose </w:t>
                </w:r>
                <w:r>
                  <w:rPr>
                    <w:rFonts w:eastAsia="Calibri"/>
                    <w:color w:val="000000"/>
                    <w:szCs w:val="24"/>
                  </w:rPr>
                  <w:t>sprendžiama individualiai po gydytojo dermatovenerologo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16.2.</w:t>
                </w:r>
              </w:p>
            </w:tc>
            <w:tc>
              <w:tcPr>
                <w:tcW w:w="2977" w:type="dxa"/>
              </w:tcPr>
              <w:p>
                <w:pPr>
                  <w:spacing w:line="276" w:lineRule="auto"/>
                  <w:rPr>
                    <w:rFonts w:eastAsia="Calibri"/>
                    <w:szCs w:val="24"/>
                  </w:rPr>
                </w:pPr>
                <w:r>
                  <w:rPr>
                    <w:rFonts w:eastAsia="Calibri"/>
                    <w:szCs w:val="24"/>
                  </w:rPr>
                  <w:t>Kiti dermatitai, L30</w:t>
                </w:r>
              </w:p>
              <w:p>
                <w:pPr>
                  <w:spacing w:line="276" w:lineRule="auto"/>
                  <w:rPr>
                    <w:rFonts w:eastAsia="Calibri"/>
                    <w:szCs w:val="24"/>
                  </w:rPr>
                </w:pP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color w:val="000000"/>
                    <w:szCs w:val="24"/>
                  </w:rPr>
                </w:pPr>
                <w:r>
                  <w:rPr>
                    <w:rFonts w:eastAsia="Calibri"/>
                    <w:szCs w:val="24"/>
                  </w:rPr>
                  <w:t xml:space="preserve">Dėl tinkamumo </w:t>
                </w:r>
                <w:r>
                  <w:rPr>
                    <w:rFonts w:eastAsia="Calibri"/>
                    <w:color w:val="000000"/>
                    <w:szCs w:val="24"/>
                  </w:rPr>
                  <w:t>dirbti jūrų ir vidaus vandenų</w:t>
                </w:r>
                <w:r>
                  <w:rPr>
                    <w:rFonts w:eastAsia="Calibri"/>
                    <w:szCs w:val="24"/>
                  </w:rPr>
                  <w:t xml:space="preserve"> laivuose </w:t>
                </w:r>
                <w:r>
                  <w:rPr>
                    <w:rFonts w:eastAsia="Calibri"/>
                    <w:color w:val="000000"/>
                    <w:szCs w:val="24"/>
                  </w:rPr>
                  <w:t>sprendžiama individualiai po gydytojo dermatovenerologo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16.3.</w:t>
                </w:r>
              </w:p>
            </w:tc>
            <w:tc>
              <w:tcPr>
                <w:tcW w:w="2977" w:type="dxa"/>
              </w:tcPr>
              <w:p>
                <w:pPr>
                  <w:spacing w:line="276" w:lineRule="auto"/>
                  <w:rPr>
                    <w:rFonts w:eastAsia="Calibri"/>
                    <w:szCs w:val="24"/>
                  </w:rPr>
                </w:pPr>
                <w:r>
                  <w:rPr>
                    <w:rFonts w:eastAsia="Calibri"/>
                    <w:szCs w:val="24"/>
                  </w:rPr>
                  <w:t>Infekcinis dermatitas, L30.3</w:t>
                </w:r>
              </w:p>
            </w:tc>
            <w:tc>
              <w:tcPr>
                <w:tcW w:w="4110" w:type="dxa"/>
              </w:tcPr>
              <w:p>
                <w:pPr>
                  <w:spacing w:line="276" w:lineRule="auto"/>
                  <w:rPr>
                    <w:rFonts w:eastAsia="Calibri"/>
                    <w:szCs w:val="24"/>
                  </w:rPr>
                </w:pPr>
                <w:r>
                  <w:rPr>
                    <w:rFonts w:eastAsia="Calibri"/>
                    <w:szCs w:val="24"/>
                  </w:rPr>
                  <w:t>Nė vienos profesinės grupės darbuotojai negali dirbti jūrų laive.</w:t>
                </w:r>
              </w:p>
            </w:tc>
            <w:tc>
              <w:tcPr>
                <w:tcW w:w="4252" w:type="dxa"/>
              </w:tcPr>
              <w:p>
                <w:pPr>
                  <w:spacing w:line="276" w:lineRule="auto"/>
                  <w:rPr>
                    <w:rFonts w:eastAsia="Calibri"/>
                    <w:szCs w:val="24"/>
                  </w:rPr>
                </w:pPr>
              </w:p>
            </w:tc>
            <w:tc>
              <w:tcPr>
                <w:tcW w:w="2801" w:type="dxa"/>
              </w:tcPr>
              <w:p>
                <w:pPr>
                  <w:spacing w:line="276" w:lineRule="auto"/>
                  <w:rPr>
                    <w:rFonts w:eastAsia="Calibri"/>
                    <w:color w:val="000000"/>
                    <w:szCs w:val="24"/>
                  </w:rPr>
                </w:pPr>
                <w:r>
                  <w:rPr>
                    <w:rFonts w:eastAsia="Calibri"/>
                    <w:color w:val="000000"/>
                    <w:szCs w:val="24"/>
                  </w:rPr>
                  <w:t>Dėl tinkamumo dirbti vidaus vandenų laive sprendžiama individualiai po gydytojo dermatovenerologo konsultacijos.</w:t>
                </w:r>
              </w:p>
            </w:tc>
          </w:tr>
          <w:tr>
            <w:tc>
              <w:tcPr>
                <w:tcW w:w="816" w:type="dxa"/>
              </w:tcPr>
              <w:p>
                <w:pPr>
                  <w:spacing w:line="276" w:lineRule="auto"/>
                  <w:jc w:val="both"/>
                  <w:rPr>
                    <w:rFonts w:eastAsia="Calibri"/>
                    <w:szCs w:val="24"/>
                  </w:rPr>
                </w:pPr>
                <w:r>
                  <w:rPr>
                    <w:rFonts w:eastAsia="Calibri"/>
                    <w:szCs w:val="24"/>
                  </w:rPr>
                  <w:t>16.4.</w:t>
                </w:r>
              </w:p>
            </w:tc>
            <w:tc>
              <w:tcPr>
                <w:tcW w:w="2977" w:type="dxa"/>
              </w:tcPr>
              <w:p>
                <w:pPr>
                  <w:spacing w:line="276" w:lineRule="auto"/>
                  <w:rPr>
                    <w:rFonts w:eastAsia="Calibri"/>
                    <w:szCs w:val="24"/>
                  </w:rPr>
                </w:pPr>
                <w:r>
                  <w:rPr>
                    <w:rFonts w:eastAsia="Calibri"/>
                    <w:szCs w:val="24"/>
                  </w:rPr>
                  <w:t>Psoriazė, L40</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tinkamumo </w:t>
                </w:r>
                <w:r>
                  <w:rPr>
                    <w:rFonts w:eastAsia="Calibri"/>
                    <w:color w:val="000000"/>
                    <w:szCs w:val="24"/>
                  </w:rPr>
                  <w:t>dirbti jūrų ir vidaus vandenų</w:t>
                </w:r>
                <w:r>
                  <w:rPr>
                    <w:rFonts w:eastAsia="Calibri"/>
                    <w:szCs w:val="24"/>
                  </w:rPr>
                  <w:t xml:space="preserve"> laivuose </w:t>
                </w:r>
                <w:r>
                  <w:rPr>
                    <w:rFonts w:eastAsia="Calibri"/>
                    <w:color w:val="000000"/>
                    <w:szCs w:val="24"/>
                  </w:rPr>
                  <w:t>sprendžiama individualiai po gydytojo dermatovenerologo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16.5.</w:t>
                </w:r>
              </w:p>
            </w:tc>
            <w:tc>
              <w:tcPr>
                <w:tcW w:w="2977" w:type="dxa"/>
              </w:tcPr>
              <w:p>
                <w:pPr>
                  <w:spacing w:line="276" w:lineRule="auto"/>
                  <w:rPr>
                    <w:rFonts w:eastAsia="Calibri"/>
                    <w:szCs w:val="24"/>
                  </w:rPr>
                </w:pPr>
                <w:r>
                  <w:rPr>
                    <w:rFonts w:eastAsia="Calibri"/>
                    <w:szCs w:val="24"/>
                  </w:rPr>
                  <w:t>Dažnai pasikartojanti dilgėlinė, L50</w:t>
                </w:r>
              </w:p>
            </w:tc>
            <w:tc>
              <w:tcPr>
                <w:tcW w:w="4110" w:type="dxa"/>
              </w:tcPr>
              <w:p>
                <w:pPr>
                  <w:spacing w:line="276" w:lineRule="auto"/>
                  <w:rPr>
                    <w:rFonts w:eastAsia="Calibri"/>
                    <w:szCs w:val="24"/>
                  </w:rPr>
                </w:pPr>
                <w:r>
                  <w:rPr>
                    <w:rFonts w:eastAsia="Calibri"/>
                    <w:szCs w:val="24"/>
                  </w:rPr>
                  <w:t>Nė vienos profesinės grupės darbuotojai negali dirbti jūrų laive.</w:t>
                </w: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szCs w:val="24"/>
                  </w:rPr>
                  <w:t xml:space="preserve">Dėl tinkamumo </w:t>
                </w:r>
                <w:r>
                  <w:rPr>
                    <w:rFonts w:eastAsia="Calibri"/>
                    <w:color w:val="000000"/>
                    <w:szCs w:val="24"/>
                  </w:rPr>
                  <w:t>dirbti vidaus vandenų</w:t>
                </w:r>
                <w:r>
                  <w:rPr>
                    <w:rFonts w:eastAsia="Calibri"/>
                    <w:szCs w:val="24"/>
                  </w:rPr>
                  <w:t xml:space="preserve"> laive </w:t>
                </w:r>
                <w:r>
                  <w:rPr>
                    <w:rFonts w:eastAsia="Calibri"/>
                    <w:color w:val="000000"/>
                    <w:szCs w:val="24"/>
                  </w:rPr>
                  <w:t>sprendžiama individualiai po gydytojo dermatovenerologo ar gydytojo alergologo ir klinikinio imunologo</w:t>
                </w:r>
                <w:r>
                  <w:rPr>
                    <w:rFonts w:eastAsia="Calibri"/>
                    <w:szCs w:val="24"/>
                  </w:rPr>
                  <w:t xml:space="preserve"> konsultacijos.</w:t>
                </w:r>
              </w:p>
            </w:tc>
          </w:tr>
          <w:tr>
            <w:tc>
              <w:tcPr>
                <w:tcW w:w="816" w:type="dxa"/>
              </w:tcPr>
              <w:p>
                <w:pPr>
                  <w:spacing w:line="276" w:lineRule="auto"/>
                  <w:jc w:val="both"/>
                  <w:rPr>
                    <w:rFonts w:eastAsia="Calibri"/>
                    <w:b/>
                    <w:szCs w:val="24"/>
                  </w:rPr>
                </w:pPr>
                <w:r>
                  <w:rPr>
                    <w:rFonts w:eastAsia="Calibri"/>
                    <w:b/>
                    <w:szCs w:val="24"/>
                  </w:rPr>
                  <w:t>17.</w:t>
                </w:r>
              </w:p>
            </w:tc>
            <w:tc>
              <w:tcPr>
                <w:tcW w:w="14140" w:type="dxa"/>
                <w:gridSpan w:val="4"/>
              </w:tcPr>
              <w:p>
                <w:pPr>
                  <w:spacing w:line="276" w:lineRule="auto"/>
                  <w:jc w:val="center"/>
                  <w:rPr>
                    <w:rFonts w:eastAsia="Calibri"/>
                    <w:b/>
                    <w:szCs w:val="24"/>
                  </w:rPr>
                </w:pPr>
                <w:r>
                  <w:rPr>
                    <w:rFonts w:eastAsia="Calibri"/>
                    <w:b/>
                    <w:szCs w:val="24"/>
                  </w:rPr>
                  <w:t>PIKTYBINIAI NAVIKAI</w:t>
                </w:r>
              </w:p>
            </w:tc>
          </w:tr>
          <w:tr>
            <w:tc>
              <w:tcPr>
                <w:tcW w:w="816" w:type="dxa"/>
              </w:tcPr>
              <w:p>
                <w:pPr>
                  <w:spacing w:line="276" w:lineRule="auto"/>
                  <w:jc w:val="both"/>
                  <w:rPr>
                    <w:rFonts w:eastAsia="Calibri"/>
                    <w:color w:val="000000"/>
                    <w:szCs w:val="24"/>
                  </w:rPr>
                </w:pPr>
                <w:r>
                  <w:rPr>
                    <w:rFonts w:eastAsia="Calibri"/>
                    <w:color w:val="000000"/>
                    <w:szCs w:val="24"/>
                  </w:rPr>
                  <w:t>17.1.</w:t>
                </w:r>
              </w:p>
            </w:tc>
            <w:tc>
              <w:tcPr>
                <w:tcW w:w="2977" w:type="dxa"/>
              </w:tcPr>
              <w:p>
                <w:pPr>
                  <w:spacing w:line="276" w:lineRule="auto"/>
                  <w:rPr>
                    <w:rFonts w:eastAsia="Calibri"/>
                    <w:color w:val="000000"/>
                    <w:szCs w:val="24"/>
                  </w:rPr>
                </w:pPr>
                <w:r>
                  <w:rPr>
                    <w:rFonts w:eastAsia="Calibri"/>
                    <w:color w:val="000000"/>
                    <w:szCs w:val="24"/>
                  </w:rPr>
                  <w:t>Išplitę piktybiniai navikai, C00–C96</w:t>
                </w:r>
              </w:p>
            </w:tc>
            <w:tc>
              <w:tcPr>
                <w:tcW w:w="4110" w:type="dxa"/>
              </w:tcPr>
              <w:p>
                <w:pPr>
                  <w:spacing w:line="276" w:lineRule="auto"/>
                  <w:rPr>
                    <w:rFonts w:eastAsia="Calibri"/>
                    <w:color w:val="000000"/>
                    <w:szCs w:val="24"/>
                  </w:rPr>
                </w:pPr>
                <w:r>
                  <w:rPr>
                    <w:rFonts w:eastAsia="Calibri"/>
                    <w:color w:val="000000"/>
                    <w:szCs w:val="24"/>
                  </w:rPr>
                  <w:t xml:space="preserve">Nė vienos profesinės grupės </w:t>
                </w:r>
                <w:r>
                  <w:rPr>
                    <w:rFonts w:eastAsia="Calibri"/>
                    <w:szCs w:val="24"/>
                  </w:rPr>
                  <w:t>darbuotojai</w:t>
                </w:r>
                <w:r>
                  <w:rPr>
                    <w:rFonts w:eastAsia="Calibri"/>
                    <w:color w:val="000000"/>
                    <w:szCs w:val="24"/>
                  </w:rPr>
                  <w:t xml:space="preserve"> negali dirbti jūrų laive.</w:t>
                </w:r>
              </w:p>
            </w:tc>
            <w:tc>
              <w:tcPr>
                <w:tcW w:w="4252" w:type="dxa"/>
              </w:tcPr>
              <w:p>
                <w:pPr>
                  <w:spacing w:line="276" w:lineRule="auto"/>
                  <w:rPr>
                    <w:rFonts w:eastAsia="Calibri"/>
                    <w:color w:val="000000"/>
                    <w:szCs w:val="24"/>
                  </w:rPr>
                </w:pPr>
                <w:r>
                  <w:rPr>
                    <w:rFonts w:eastAsia="Calibri"/>
                    <w:color w:val="000000"/>
                    <w:szCs w:val="24"/>
                  </w:rPr>
                  <w:t xml:space="preserve">Nė vienos profesinės grupės </w:t>
                </w:r>
                <w:r>
                  <w:rPr>
                    <w:rFonts w:eastAsia="Calibri"/>
                    <w:szCs w:val="24"/>
                  </w:rPr>
                  <w:t>darbuotojai</w:t>
                </w:r>
                <w:r>
                  <w:rPr>
                    <w:rFonts w:eastAsia="Calibri"/>
                    <w:color w:val="000000"/>
                    <w:szCs w:val="24"/>
                  </w:rPr>
                  <w:t xml:space="preserve"> negali dirbti vidaus vandenų laive.</w:t>
                </w:r>
              </w:p>
            </w:tc>
            <w:tc>
              <w:tcPr>
                <w:tcW w:w="2801" w:type="dxa"/>
              </w:tcPr>
              <w:p>
                <w:pPr>
                  <w:spacing w:line="276" w:lineRule="auto"/>
                  <w:rPr>
                    <w:rFonts w:eastAsia="Calibri"/>
                    <w:strike/>
                    <w:color w:val="000000"/>
                    <w:szCs w:val="24"/>
                  </w:rPr>
                </w:pPr>
              </w:p>
            </w:tc>
          </w:tr>
          <w:tr>
            <w:tc>
              <w:tcPr>
                <w:tcW w:w="816" w:type="dxa"/>
              </w:tcPr>
              <w:p>
                <w:pPr>
                  <w:spacing w:line="276" w:lineRule="auto"/>
                  <w:jc w:val="both"/>
                  <w:rPr>
                    <w:rFonts w:eastAsia="Calibri"/>
                    <w:szCs w:val="24"/>
                  </w:rPr>
                </w:pPr>
                <w:r>
                  <w:rPr>
                    <w:rFonts w:eastAsia="Calibri"/>
                    <w:szCs w:val="24"/>
                  </w:rPr>
                  <w:t>17.2.</w:t>
                </w:r>
              </w:p>
            </w:tc>
            <w:tc>
              <w:tcPr>
                <w:tcW w:w="2977" w:type="dxa"/>
              </w:tcPr>
              <w:p>
                <w:pPr>
                  <w:spacing w:line="276" w:lineRule="auto"/>
                  <w:rPr>
                    <w:rFonts w:eastAsia="Calibri"/>
                    <w:szCs w:val="24"/>
                  </w:rPr>
                </w:pPr>
                <w:r>
                  <w:rPr>
                    <w:rFonts w:eastAsia="Calibri"/>
                    <w:szCs w:val="24"/>
                  </w:rPr>
                  <w:t>Būklė po piktybinių navikų operacinio ar kito kompleksinio gydymo</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Dėl tinkamumo dirbti jūrų ir vidaus vandenų laivuose sprendžiama individualiai po gydytojo onkologo radioterapeuto ar gydytojo onkologo chemoterapeuto konsultacijos.</w:t>
                </w:r>
              </w:p>
            </w:tc>
          </w:tr>
          <w:tr>
            <w:tc>
              <w:tcPr>
                <w:tcW w:w="816" w:type="dxa"/>
              </w:tcPr>
              <w:p>
                <w:pPr>
                  <w:spacing w:line="276" w:lineRule="auto"/>
                  <w:jc w:val="both"/>
                  <w:rPr>
                    <w:rFonts w:eastAsia="Calibri"/>
                    <w:b/>
                    <w:szCs w:val="24"/>
                  </w:rPr>
                </w:pPr>
                <w:r>
                  <w:rPr>
                    <w:rFonts w:eastAsia="Calibri"/>
                    <w:b/>
                    <w:szCs w:val="24"/>
                  </w:rPr>
                  <w:t>18.</w:t>
                </w:r>
              </w:p>
            </w:tc>
            <w:tc>
              <w:tcPr>
                <w:tcW w:w="2977" w:type="dxa"/>
              </w:tcPr>
              <w:p>
                <w:pPr>
                  <w:spacing w:line="276" w:lineRule="auto"/>
                  <w:rPr>
                    <w:rFonts w:eastAsia="Calibri"/>
                    <w:b/>
                    <w:szCs w:val="24"/>
                  </w:rPr>
                </w:pPr>
                <w:r>
                  <w:rPr>
                    <w:rFonts w:eastAsia="Calibri"/>
                    <w:b/>
                    <w:szCs w:val="24"/>
                  </w:rPr>
                  <w:t>KITOS NEPAMINĖTOS LIGOS</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Sprendžiama individualiai.</w:t>
                </w:r>
              </w:p>
            </w:tc>
          </w:tr>
        </w:tbl>
        <w:p>
          <w:pPr>
            <w:ind w:right="27"/>
            <w:jc w:val="both"/>
          </w:pP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fd07d0a53f11e3aeb49a67165e3ad3">
            <w:r w:rsidRPr="00532B9F">
              <w:rPr>
                <w:rFonts w:ascii="Times New Roman" w:eastAsia="MS Mincho" w:hAnsi="Times New Roman"/>
                <w:sz w:val="20"/>
                <w:i/>
                <w:iCs/>
                <w:color w:val="0000FF" w:themeColor="hyperlink"/>
                <w:u w:val="single"/>
              </w:rPr>
              <w:t>V-320</w:t>
            </w:r>
          </w:fldSimple>
          <w:r>
            <w:rPr>
              <w:rFonts w:ascii="Times New Roman" w:eastAsia="MS Mincho" w:hAnsi="Times New Roman"/>
              <w:sz w:val="20"/>
              <w:i/>
              <w:iCs/>
            </w:rPr>
            <w:t>,
2014-03-05,
paskelbta TAR 2014-03-06, i. k. 2014-02740        </w:t>
          </w:r>
        </w:p>
        <w:p/>
      </w:sdtContent>
    </w:sdt>
    <w:sdt>
      <w:sdtPr>
        <w:alias w:val="2 pr."/>
        <w:tag w:val="part_6ecd0c54a1c84b008f94cc83bd1aea88"/>
        <w:lock w:val="sdtLocked"/>
        <w:richText/>
      </w:sdtPr>
      <w:sdtContent>
        <w:p>
          <w:pPr>
            <w:ind w:left="5184"/>
            <w:jc w:val="both"/>
            <w:sectPr>
              <w:headerReference w:type="even" r:id="rId82"/>
              <w:headerReference w:type="default" r:id="rId83"/>
              <w:pgSz w:w="16838" w:h="11906" w:orient="landscape" w:code="9"/>
              <w:pgMar w:top="709" w:right="680" w:bottom="567" w:left="1418" w:header="567" w:footer="567" w:gutter="0"/>
              <w:pgNumType w:start="1"/>
              <w:cols w:space="1296"/>
              <w:titlePg/>
              <w:docGrid w:linePitch="360"/>
            </w:sectPr>
          </w:pPr>
        </w:p>
        <w:p>
          <w:pPr>
            <w:ind w:left="5184"/>
            <w:jc w:val="both"/>
            <w:rPr>
              <w:szCs w:val="24"/>
            </w:rPr>
          </w:pPr>
          <w:r>
            <w:rPr>
              <w:szCs w:val="24"/>
            </w:rPr>
            <w:t xml:space="preserve">Jūrininkų ir vidaus vandenų transporto specialistų bei motorinių pramoginių laivų ir kitų motorinių plaukiojimo priemonių laivavedžių sveikatos tikrinimo tvarkos aprašo </w:t>
          </w:r>
        </w:p>
        <w:p>
          <w:pPr>
            <w:ind w:left="5184"/>
            <w:jc w:val="both"/>
            <w:rPr>
              <w:szCs w:val="24"/>
            </w:rPr>
          </w:pPr>
          <w:sdt>
            <w:sdtPr>
              <w:alias w:val="Numeris"/>
              <w:tag w:val="nr_6ecd0c54a1c84b008f94cc83bd1aea88"/>
              <w:lock w:val="sdtLocked"/>
              <w:richText/>
            </w:sdtPr>
            <w:sdtContent>
              <w:r>
                <w:rPr>
                  <w:szCs w:val="24"/>
                </w:rPr>
                <w:t>2</w:t>
              </w:r>
            </w:sdtContent>
          </w:sdt>
          <w:r>
            <w:rPr>
              <w:szCs w:val="24"/>
            </w:rPr>
            <w:t xml:space="preserve"> priedas</w:t>
          </w:r>
        </w:p>
        <w:p>
          <w:pPr>
            <w:jc w:val="center"/>
            <w:rPr>
              <w:b/>
              <w:szCs w:val="24"/>
            </w:rPr>
          </w:pPr>
        </w:p>
        <w:sdt>
          <w:sdtPr>
            <w:alias w:val="Pavadinimas"/>
            <w:tag w:val="title_6ecd0c54a1c84b008f94cc83bd1aea88"/>
            <w:lock w:val="sdtLocked"/>
            <w:richText/>
          </w:sdtPr>
          <w:sdtContent>
            <w:p>
              <w:pPr>
                <w:jc w:val="center"/>
                <w:rPr>
                  <w:b/>
                  <w:color w:val="000000"/>
                  <w:szCs w:val="24"/>
                </w:rPr>
              </w:pPr>
              <w:r>
                <w:rPr>
                  <w:b/>
                  <w:color w:val="000000"/>
                  <w:szCs w:val="24"/>
                </w:rPr>
                <w:t>JŪRININKO AR VIDAUS VANDENŲ TRANSPORTO SPECIALISTO BEI MOTORINIŲ PRAMOGINIŲ LAIVŲ IR KITŲ MOTORINIŲ PLAUKIOJIMO PRIEMONIŲ LAIVAVEDŽIO GARBĖS DEKLARACIJA (SVEIKATOS TIKRINIMO KLAUSIMYNAS)</w:t>
              </w:r>
            </w:p>
            <w:p>
              <w:pPr>
                <w:jc w:val="center"/>
                <w:rPr>
                  <w:b/>
                  <w:i/>
                  <w:szCs w:val="24"/>
                </w:rPr>
              </w:pPr>
              <w:r>
                <w:rPr>
                  <w:b/>
                  <w:color w:val="000000"/>
                  <w:szCs w:val="24"/>
                </w:rPr>
                <w:t xml:space="preserve">/ </w:t>
              </w:r>
              <w:r>
                <w:rPr>
                  <w:b/>
                  <w:i/>
                  <w:color w:val="000000"/>
                  <w:szCs w:val="24"/>
                </w:rPr>
                <w:t>SEAFARERS OR NAVIGATOR‘S OF MOTOR PLEASURE AND OTHER CRAFT</w:t>
              </w:r>
              <w:r>
                <w:rPr>
                  <w:b/>
                  <w:i/>
                  <w:szCs w:val="24"/>
                </w:rPr>
                <w:t xml:space="preserve"> DECLARATION OF HONOUR</w:t>
              </w:r>
            </w:p>
          </w:sdtContent>
        </w:sdt>
        <w:p>
          <w:pPr>
            <w:jc w:val="center"/>
            <w:rPr>
              <w:b/>
              <w:szCs w:val="24"/>
            </w:rPr>
          </w:pPr>
          <w:r>
            <w:rPr>
              <w:b/>
              <w:szCs w:val="24"/>
            </w:rPr>
            <w:t>__________________</w:t>
          </w:r>
        </w:p>
        <w:p>
          <w:pPr>
            <w:jc w:val="center"/>
            <w:rPr>
              <w:sz w:val="20"/>
            </w:rPr>
          </w:pPr>
          <w:r>
            <w:rPr>
              <w:sz w:val="20"/>
            </w:rPr>
            <w:t xml:space="preserve">(data / </w:t>
          </w:r>
          <w:r>
            <w:rPr>
              <w:i/>
              <w:sz w:val="20"/>
            </w:rPr>
            <w:t>date</w:t>
          </w:r>
          <w:r>
            <w:rPr>
              <w:sz w:val="20"/>
            </w:rPr>
            <w:t>)</w:t>
          </w:r>
        </w:p>
        <w:p>
          <w:pPr>
            <w:jc w:val="center"/>
            <w:rPr>
              <w:b/>
              <w:szCs w:val="24"/>
            </w:rPr>
          </w:pPr>
          <w:r>
            <w:rPr>
              <w:b/>
              <w:szCs w:val="24"/>
            </w:rPr>
            <w:t>________________________</w:t>
          </w:r>
        </w:p>
        <w:p>
          <w:pPr>
            <w:jc w:val="center"/>
            <w:rPr>
              <w:sz w:val="20"/>
            </w:rPr>
          </w:pPr>
          <w:r>
            <w:rPr>
              <w:sz w:val="20"/>
            </w:rPr>
            <w:t xml:space="preserve">(užpildymo vieta  / </w:t>
          </w:r>
          <w:r>
            <w:rPr>
              <w:i/>
              <w:sz w:val="20"/>
            </w:rPr>
            <w:t>place</w:t>
          </w:r>
          <w:r>
            <w:rPr>
              <w:sz w:val="20"/>
            </w:rPr>
            <w:t>)</w:t>
          </w:r>
        </w:p>
        <w:p>
          <w:pPr>
            <w:rPr>
              <w:rFonts w:ascii="Calibri" w:hAnsi="Calibri"/>
              <w:sz w:val="22"/>
              <w:szCs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288"/>
          </w:tblGrid>
          <w:tr>
            <w:trPr>
              <w:trHeight w:val="3501"/>
            </w:trPr>
            <w:tc>
              <w:tcPr>
                <w:tcW w:w="9854" w:type="dxa"/>
                <w:tcBorders>
                  <w:top w:val="single" w:sz="4" w:space="0" w:color="auto"/>
                  <w:left w:val="single" w:sz="4" w:space="0" w:color="auto"/>
                  <w:bottom w:val="single" w:sz="4" w:space="0" w:color="auto"/>
                  <w:right w:val="single" w:sz="4" w:space="0" w:color="auto"/>
                </w:tcBorders>
              </w:tcPr>
              <w:p>
                <w:pPr>
                  <w:rPr>
                    <w:szCs w:val="24"/>
                  </w:rPr>
                </w:pPr>
              </w:p>
              <w:p>
                <w:pPr>
                  <w:rPr>
                    <w:szCs w:val="24"/>
                  </w:rPr>
                </w:pPr>
                <w:r>
                  <w:rPr>
                    <w:szCs w:val="24"/>
                  </w:rPr>
                  <w:t xml:space="preserve">______________________          ________________________________</w:t>
                </w:r>
              </w:p>
              <w:p>
                <w:pPr>
                  <w:ind w:firstLine="600"/>
                  <w:rPr>
                    <w:szCs w:val="24"/>
                  </w:rPr>
                </w:pPr>
                <w:r>
                  <w:rPr>
                    <w:szCs w:val="24"/>
                  </w:rPr>
                  <w:t xml:space="preserve">(vardas / </w:t>
                </w:r>
                <w:r>
                  <w:rPr>
                    <w:i/>
                    <w:szCs w:val="24"/>
                  </w:rPr>
                  <w:t>name</w:t>
                </w:r>
                <w:r>
                  <w:rPr>
                    <w:szCs w:val="24"/>
                  </w:rPr>
                  <w:t xml:space="preserve">)                                         (pavardė / </w:t>
                </w:r>
                <w:r>
                  <w:rPr>
                    <w:i/>
                    <w:szCs w:val="24"/>
                  </w:rPr>
                  <w:t>surname</w:t>
                </w:r>
                <w:r>
                  <w:rPr>
                    <w:szCs w:val="24"/>
                  </w:rPr>
                  <w:t>)</w:t>
                </w:r>
              </w:p>
              <w:p>
                <w:pPr>
                  <w:rPr>
                    <w:szCs w:val="24"/>
                  </w:rPr>
                </w:pPr>
                <w:r>
                  <w:rPr>
                    <w:szCs w:val="24"/>
                  </w:rPr>
                  <w:t xml:space="preserve">_______________________         _______________________________        ____________</w:t>
                </w:r>
              </w:p>
              <w:p>
                <w:pPr>
                  <w:rPr>
                    <w:szCs w:val="24"/>
                  </w:rPr>
                </w:pPr>
                <w:r>
                  <w:rPr>
                    <w:szCs w:val="24"/>
                  </w:rPr>
                  <w:t xml:space="preserve">(gimimo data / </w:t>
                </w:r>
                <w:r>
                  <w:rPr>
                    <w:i/>
                    <w:szCs w:val="24"/>
                  </w:rPr>
                  <w:t>date of birth</w:t>
                </w:r>
                <w:r>
                  <w:rPr>
                    <w:szCs w:val="24"/>
                  </w:rPr>
                  <w:t xml:space="preserve">)          (asmens kodas / </w:t>
                </w:r>
                <w:r>
                  <w:rPr>
                    <w:i/>
                    <w:szCs w:val="24"/>
                  </w:rPr>
                  <w:t>identity code</w:t>
                </w:r>
                <w:r>
                  <w:rPr>
                    <w:szCs w:val="24"/>
                  </w:rPr>
                  <w:t xml:space="preserve">)                   (lytis / </w:t>
                </w:r>
                <w:r>
                  <w:rPr>
                    <w:i/>
                    <w:szCs w:val="24"/>
                  </w:rPr>
                  <w:t>gender</w:t>
                </w:r>
                <w:r>
                  <w:rPr>
                    <w:szCs w:val="24"/>
                  </w:rPr>
                  <w:t>)</w:t>
                </w:r>
              </w:p>
              <w:p>
                <w:pPr>
                  <w:rPr>
                    <w:szCs w:val="24"/>
                  </w:rPr>
                </w:pPr>
                <w:r>
                  <w:rPr>
                    <w:szCs w:val="24"/>
                  </w:rPr>
                  <w:t>_________________________________________________________________________</w:t>
                </w:r>
              </w:p>
              <w:p>
                <w:pPr>
                  <w:ind w:firstLine="2580"/>
                  <w:rPr>
                    <w:szCs w:val="24"/>
                  </w:rPr>
                </w:pPr>
                <w:r>
                  <w:rPr>
                    <w:szCs w:val="24"/>
                  </w:rPr>
                  <w:t xml:space="preserve">(nuolatinė gyvenamoji vieta / </w:t>
                </w:r>
                <w:r>
                  <w:rPr>
                    <w:i/>
                    <w:szCs w:val="24"/>
                  </w:rPr>
                  <w:t>domicile</w:t>
                </w:r>
                <w:r>
                  <w:rPr>
                    <w:szCs w:val="24"/>
                  </w:rPr>
                  <w:t>)</w:t>
                </w:r>
              </w:p>
              <w:p>
                <w:pPr>
                  <w:rPr>
                    <w:szCs w:val="24"/>
                  </w:rPr>
                </w:pPr>
                <w:r>
                  <w:rPr>
                    <w:szCs w:val="24"/>
                  </w:rPr>
                  <w:t>___________________________________________</w:t>
                </w:r>
              </w:p>
              <w:p>
                <w:pPr>
                  <w:ind w:firstLine="1380"/>
                  <w:rPr>
                    <w:szCs w:val="24"/>
                  </w:rPr>
                </w:pPr>
                <w:r>
                  <w:rPr>
                    <w:szCs w:val="24"/>
                  </w:rPr>
                  <w:t xml:space="preserve">(pareigos / </w:t>
                </w:r>
                <w:r>
                  <w:rPr>
                    <w:i/>
                    <w:szCs w:val="24"/>
                  </w:rPr>
                  <w:t>position</w:t>
                </w:r>
                <w:r>
                  <w:rPr>
                    <w:szCs w:val="24"/>
                  </w:rPr>
                  <w:t>)</w:t>
                </w:r>
              </w:p>
              <w:p>
                <w:pPr>
                  <w:widowControl w:val="0"/>
                  <w:tabs>
                    <w:tab w:val="left" w:pos="1080"/>
                  </w:tabs>
                  <w:jc w:val="both"/>
                  <w:rPr>
                    <w:szCs w:val="24"/>
                  </w:rPr>
                </w:pPr>
                <w:r>
                  <w:rPr>
                    <w:szCs w:val="24"/>
                  </w:rPr>
                  <w:t>Profesinės grupės pagal darbo pobūdį:</w:t>
                </w:r>
              </w:p>
              <w:p>
                <w:pPr>
                  <w:jc w:val="both"/>
                  <w:rPr>
                    <w:szCs w:val="24"/>
                  </w:rPr>
                </w:pPr>
                <w:r>
                  <w:rPr>
                    <w:szCs w:val="24"/>
                  </w:rPr>
                  <w:t>I profesinė grupė – Denio tarnyba. Vykdantys navigacinį budėjimą kapitonai, kapitonų padėjėjai, laivų škiperiai ir jų padėjėjai, kvalifikuoti jūreiviai, jūreiviai, upeiviai, locmanai ir pan.</w:t>
                </w:r>
              </w:p>
              <w:p>
                <w:pPr>
                  <w:jc w:val="both"/>
                  <w:rPr>
                    <w:szCs w:val="24"/>
                  </w:rPr>
                </w:pPr>
                <w:r>
                  <w:rPr>
                    <w:szCs w:val="24"/>
                  </w:rPr>
                  <w:t>II profesinė grupė – Mašinų (Jėgainės) tarnyba. Vykdantys mašinų (jėgainės) eigos budėjimą visų grupių mechanikai, kvalifikuoti motoristai, motoristai, elektrikai ir pan.</w:t>
                </w:r>
              </w:p>
              <w:p>
                <w:pPr>
                  <w:jc w:val="both"/>
                  <w:rPr>
                    <w:szCs w:val="24"/>
                  </w:rPr>
                </w:pPr>
                <w:r>
                  <w:rPr>
                    <w:szCs w:val="24"/>
                  </w:rPr>
                  <w:t>III profesinė grupė – Aptarnavimo tarnyba. Laivus ir jų personalą bei keleivius aptarnaujantys sveikatos priežiūros specialistai ir kiti darbuotojai, saugos pareigūnai, virėjai, narai ir pan.</w:t>
                </w:r>
              </w:p>
              <w:p>
                <w:pPr>
                  <w:jc w:val="both"/>
                  <w:rPr>
                    <w:color w:val="C0504D"/>
                    <w:szCs w:val="24"/>
                  </w:rPr>
                </w:pPr>
                <w:r>
                  <w:rPr>
                    <w:szCs w:val="24"/>
                  </w:rPr>
                  <w:t xml:space="preserve">IV profesinė grupė – </w:t>
                </w:r>
                <w:r>
                  <w:rPr>
                    <w:color w:val="000000"/>
                    <w:szCs w:val="24"/>
                  </w:rPr>
                  <w:t>Motorinių pramoginių laivų ir kitų motorinių plaukiojimo priemonių laivavedžiai.</w:t>
                </w:r>
              </w:p>
            </w:tc>
          </w:tr>
        </w:tbl>
        <w:p>
          <w:pPr>
            <w:jc w:val="both"/>
            <w:rPr>
              <w:b/>
              <w:szCs w:val="24"/>
            </w:rPr>
          </w:pPr>
        </w:p>
        <w:p>
          <w:pPr>
            <w:ind w:firstLine="360"/>
            <w:jc w:val="both"/>
            <w:rPr>
              <w:b/>
              <w:szCs w:val="24"/>
            </w:rPr>
          </w:pPr>
          <w:r>
            <w:rPr>
              <w:szCs w:val="24"/>
            </w:rPr>
            <w:t xml:space="preserve">Į pateiktus klausimus atsakykite pažymėdami Jums tinkantį variantą / </w:t>
          </w:r>
          <w:r>
            <w:rPr>
              <w:i/>
              <w:szCs w:val="24"/>
            </w:rPr>
            <w:t>Please answer the questions below and select the options</w:t>
          </w:r>
          <w:r>
            <w:rPr>
              <w:szCs w:val="24"/>
            </w:rPr>
            <w:t xml:space="preserve"> (Taip / </w:t>
          </w:r>
          <w:r>
            <w:rPr>
              <w:i/>
              <w:szCs w:val="24"/>
            </w:rPr>
            <w:t>Yes</w:t>
          </w:r>
          <w:r>
            <w:rPr>
              <w:szCs w:val="24"/>
            </w:rPr>
            <w:t xml:space="preserve">; Ne / </w:t>
          </w:r>
          <w:r>
            <w:rPr>
              <w:i/>
              <w:szCs w:val="24"/>
            </w:rPr>
            <w:t>No</w:t>
          </w:r>
          <w:r>
            <w:rPr>
              <w:szCs w:val="24"/>
            </w:rPr>
            <w:t xml:space="preserve">) </w:t>
          </w:r>
        </w:p>
        <w:p>
          <w:pPr>
            <w:jc w:val="both"/>
            <w:rPr>
              <w:szCs w:val="24"/>
            </w:rPr>
          </w:pPr>
        </w:p>
        <w:tbl>
          <w:tblPr>
            <w:tblW w:w="98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75"/>
            <w:gridCol w:w="6096"/>
            <w:gridCol w:w="1559"/>
            <w:gridCol w:w="1559"/>
          </w:tblGrid>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Jums anksčiau buvo atliktas medicininis patikrinimas dėl darbo jūroje? / </w:t>
                </w:r>
                <w:r>
                  <w:rPr>
                    <w:i/>
                    <w:color w:val="333333"/>
                    <w:szCs w:val="24"/>
                    <w:lang w:val="en"/>
                  </w:rPr>
                  <w:t>Have you previously performed a medical examination for a job at sea?</w:t>
                </w:r>
                <w:r>
                  <w:rPr>
                    <w:szCs w:val="24"/>
                    <w:lang w:val="en"/>
                  </w:rPr>
                  <w:t xml:space="preserve"> </w:t>
                </w:r>
              </w:p>
            </w:tc>
            <w:tc>
              <w:tcPr>
                <w:tcW w:w="1559"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 xml:space="preserve">Taip / </w:t>
                </w:r>
                <w:r>
                  <w:rPr>
                    <w:i/>
                    <w:szCs w:val="24"/>
                  </w:rPr>
                  <w:t>Yes</w:t>
                </w:r>
              </w:p>
            </w:tc>
            <w:tc>
              <w:tcPr>
                <w:tcW w:w="1559"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 xml:space="preserve">Ne / </w:t>
                </w:r>
                <w:r>
                  <w:rPr>
                    <w:i/>
                    <w:szCs w:val="24"/>
                  </w:rPr>
                  <w:t>No</w:t>
                </w: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2.</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buvote pripažintas netinkamu dirbti jūroje ir (ar) buvo taikyti apribojimai dėl darbo jūroje? / </w:t>
                </w:r>
                <w:r>
                  <w:rPr>
                    <w:i/>
                    <w:color w:val="333333"/>
                    <w:szCs w:val="24"/>
                    <w:lang w:val="en"/>
                  </w:rPr>
                  <w:t>Have you ever been declared unfit for work at sea and (or) the restrictions applicable to the work at sea?</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3.</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per pastaruosius dvejus metus gydėtės ligoninėje? </w:t>
                </w:r>
                <w:r>
                  <w:rPr>
                    <w:i/>
                    <w:szCs w:val="24"/>
                  </w:rPr>
                  <w:t>/ Have you been admitted to the hospital in the last two years?</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4.</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per pastaruosius dvejus metus buvote nepertraukiamai nedarbingas ilgiau nei 30 dienų? / </w:t>
                </w:r>
                <w:r>
                  <w:rPr>
                    <w:i/>
                    <w:szCs w:val="24"/>
                  </w:rPr>
                  <w:t>Have you had unfitted period of sickness leave for more than 30 days in the last two years?</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5.</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esate sirgęs plaučių ligomis (tuberkulioze, bronchine astma)? / </w:t>
                </w:r>
                <w:r>
                  <w:rPr>
                    <w:i/>
                    <w:szCs w:val="24"/>
                  </w:rPr>
                  <w:t>Have you been sick with lung diseases including tuberculosis, asthma?</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6.</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esate sirgęs širdies ir kraujagyslių ligomis? / </w:t>
                </w:r>
                <w:r>
                  <w:rPr>
                    <w:i/>
                    <w:szCs w:val="24"/>
                  </w:rPr>
                  <w:t>Have you ever been sick with any heart and circulatory diseases?</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7.</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esate sirgęs klausos organų ligomis? / </w:t>
                </w:r>
                <w:r>
                  <w:rPr>
                    <w:i/>
                    <w:szCs w:val="24"/>
                  </w:rPr>
                  <w:t>Have you ever been sick with any ear diseases?</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8.</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esate sirgęs regos organų ligomis? / </w:t>
                </w:r>
                <w:r>
                  <w:rPr>
                    <w:i/>
                    <w:szCs w:val="24"/>
                  </w:rPr>
                  <w:t>Have you ever been sick with any eye diseases?</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9.</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esate sirgęs epilepsija? / </w:t>
                </w:r>
                <w:r>
                  <w:rPr>
                    <w:i/>
                    <w:szCs w:val="24"/>
                  </w:rPr>
                  <w:t>Have you been sick with epilepsy?</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10.</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sergate cukriniu diabetu? / </w:t>
                </w:r>
                <w:r>
                  <w:rPr>
                    <w:i/>
                    <w:szCs w:val="24"/>
                  </w:rPr>
                  <w:t>Have you sick with diabetes?</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11.</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Jums yra buvę sunkių alerginių reakcijų / egzemos / odos ligų? / </w:t>
                </w:r>
                <w:r>
                  <w:rPr>
                    <w:i/>
                    <w:szCs w:val="24"/>
                  </w:rPr>
                  <w:t>Have you had any serious allergic reaction / eczema / skin disease?</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12.</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esate turėjęs psichikos sutrikimų? / </w:t>
                </w:r>
                <w:r>
                  <w:rPr>
                    <w:i/>
                    <w:szCs w:val="24"/>
                  </w:rPr>
                  <w:t>Have you had any mental disturbances?</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13.</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esate turėjęs problemų dėl priklausomybės nuo alkoholio ir narkotikų vartojimo? / </w:t>
                </w:r>
                <w:r>
                  <w:rPr>
                    <w:i/>
                    <w:szCs w:val="24"/>
                  </w:rPr>
                  <w:t>Have you had problems with addiction to alcohol and drugs use?</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14.</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esate turėjęs kokių nors nugaros skausmo problemų (traumą, reumatą)? / </w:t>
                </w:r>
                <w:r>
                  <w:rPr>
                    <w:i/>
                    <w:szCs w:val="24"/>
                  </w:rPr>
                  <w:t>Have you had any painful back trouble, including lumbago and sciatica?</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15.</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dirbdamas jūroje esate patyręs sunkių traumų? / </w:t>
                </w:r>
                <w:r>
                  <w:rPr>
                    <w:i/>
                    <w:szCs w:val="24"/>
                  </w:rPr>
                  <w:t>Have you been suffered by serious injury leaving permanent effects as consequences of the work at sea?</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16.</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esate turėjęs virškinimo sutrikimų, dėl kurių buvo paskirtas gydymas? / </w:t>
                </w:r>
                <w:r>
                  <w:rPr>
                    <w:i/>
                    <w:szCs w:val="24"/>
                  </w:rPr>
                  <w:t>Have you had any digestive problems, which were being treated?</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17.</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reguliariai vartojate kokius nors vaistinius preparatus? / </w:t>
                </w:r>
                <w:r>
                  <w:rPr>
                    <w:i/>
                    <w:szCs w:val="24"/>
                  </w:rPr>
                  <w:t>Do you use medicament on prescription regularly?</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18.</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nešiojate akinius ar kontaktinius lešius? / </w:t>
                </w:r>
                <w:r>
                  <w:rPr>
                    <w:i/>
                    <w:szCs w:val="24"/>
                  </w:rPr>
                  <w:t>Do you wear glasses or contact lenses to improve your eyesight?</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19.</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Jums sunku orientuotis prietemoje? / </w:t>
                </w:r>
                <w:r>
                  <w:rPr>
                    <w:i/>
                    <w:szCs w:val="24"/>
                  </w:rPr>
                  <w:t>Do you find difficulties in orienteering yourself in dusk / twilit?</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20.</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skiriate spalvas? / </w:t>
                </w:r>
                <w:r>
                  <w:rPr>
                    <w:i/>
                    <w:szCs w:val="24"/>
                    <w:lang w:val="en-US"/>
                  </w:rPr>
                  <w:t>Do you have difficulties in colors differentiation?</w:t>
                </w:r>
                <w:r>
                  <w:rPr>
                    <w:szCs w:val="24"/>
                    <w:lang w:val="en-US"/>
                  </w:rPr>
                  <w:t xml:space="preserve"> </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21.</w:t>
                </w:r>
              </w:p>
            </w:tc>
            <w:tc>
              <w:tcPr>
                <w:tcW w:w="6096" w:type="dxa"/>
                <w:tcBorders>
                  <w:top w:val="single" w:sz="4" w:space="0" w:color="auto"/>
                  <w:left w:val="single" w:sz="4" w:space="0" w:color="auto"/>
                  <w:bottom w:val="single" w:sz="4" w:space="0" w:color="auto"/>
                  <w:right w:val="single" w:sz="4" w:space="0" w:color="auto"/>
                </w:tcBorders>
                <w:hideMark/>
              </w:tcPr>
              <w:p>
                <w:pPr>
                  <w:jc w:val="both"/>
                  <w:rPr>
                    <w:i/>
                    <w:sz w:val="20"/>
                  </w:rPr>
                </w:pPr>
                <w:r>
                  <w:rPr>
                    <w:i/>
                    <w:sz w:val="20"/>
                  </w:rPr>
                  <w:t>Neteko galios nuo 2018-09-05</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22.</w:t>
                </w:r>
              </w:p>
            </w:tc>
            <w:tc>
              <w:tcPr>
                <w:tcW w:w="6096" w:type="dxa"/>
                <w:tcBorders>
                  <w:top w:val="single" w:sz="4" w:space="0" w:color="auto"/>
                  <w:left w:val="single" w:sz="4" w:space="0" w:color="auto"/>
                  <w:bottom w:val="single" w:sz="4" w:space="0" w:color="auto"/>
                  <w:right w:val="single" w:sz="4" w:space="0" w:color="auto"/>
                </w:tcBorders>
              </w:tcPr>
              <w:p>
                <w:pPr>
                  <w:jc w:val="both"/>
                  <w:rPr>
                    <w:szCs w:val="24"/>
                  </w:rPr>
                </w:pPr>
                <w:r>
                  <w:rPr>
                    <w:szCs w:val="24"/>
                  </w:rPr>
                  <w:t>Papildomas klausimas /</w:t>
                </w:r>
                <w:r>
                  <w:rPr>
                    <w:i/>
                    <w:szCs w:val="24"/>
                  </w:rPr>
                  <w:t>Any other addressed question</w:t>
                </w:r>
              </w:p>
              <w:p>
                <w:pPr>
                  <w:jc w:val="both"/>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bl>
        <w:p>
          <w:pPr>
            <w:jc w:val="both"/>
            <w:rPr>
              <w:rFonts w:ascii="Calibri" w:hAnsi="Calibri"/>
              <w:szCs w:val="24"/>
            </w:rPr>
          </w:pPr>
        </w:p>
        <w:p>
          <w:pPr>
            <w:jc w:val="both"/>
            <w:rPr>
              <w:szCs w:val="24"/>
            </w:rPr>
          </w:pPr>
          <w:r>
            <w:rPr>
              <w:szCs w:val="24"/>
            </w:rPr>
            <w:t>Patvirtinu, kad pateiktus klausimus supratau, atsakiau į juos sąžiningai.</w:t>
          </w:r>
        </w:p>
        <w:p>
          <w:pPr>
            <w:jc w:val="both"/>
            <w:rPr>
              <w:i/>
              <w:szCs w:val="24"/>
            </w:rPr>
          </w:pPr>
          <w:r>
            <w:rPr>
              <w:i/>
              <w:szCs w:val="24"/>
            </w:rPr>
            <w:t>I hereby confirm that the questions were fully understood and replied in good faith.</w:t>
          </w:r>
        </w:p>
        <w:p>
          <w:pPr>
            <w:jc w:val="both"/>
            <w:rPr>
              <w:i/>
              <w:szCs w:val="24"/>
            </w:rPr>
          </w:pPr>
        </w:p>
        <w:p>
          <w:pPr>
            <w:jc w:val="both"/>
            <w:rPr>
              <w:szCs w:val="24"/>
            </w:rPr>
          </w:pPr>
          <w:r>
            <w:rPr>
              <w:szCs w:val="24"/>
            </w:rPr>
            <w:t>Suprantu, kad pablogėjus sveikatos būklei, turiu nedelsdamas (-a) kreiptis į gydytoją.</w:t>
          </w:r>
        </w:p>
        <w:p>
          <w:pPr>
            <w:jc w:val="both"/>
            <w:rPr>
              <w:i/>
              <w:szCs w:val="24"/>
            </w:rPr>
          </w:pPr>
          <w:r>
            <w:rPr>
              <w:i/>
              <w:szCs w:val="24"/>
            </w:rPr>
            <w:t>Due to my deteriorating state of health, I must seek medical care immediately.</w:t>
          </w:r>
        </w:p>
        <w:p>
          <w:pPr>
            <w:jc w:val="both"/>
            <w:rPr>
              <w:szCs w:val="24"/>
            </w:rPr>
          </w:pPr>
        </w:p>
        <w:p>
          <w:pPr>
            <w:jc w:val="both"/>
            <w:rPr>
              <w:szCs w:val="24"/>
            </w:rPr>
          </w:pPr>
          <w:r>
            <w:rPr>
              <w:color w:val="000000"/>
              <w:szCs w:val="24"/>
            </w:rPr>
            <w:t xml:space="preserve">Asmens, kuriam tikrinama sveikata, parašas / </w:t>
          </w:r>
          <w:r>
            <w:rPr>
              <w:i/>
              <w:color w:val="000000"/>
              <w:szCs w:val="24"/>
            </w:rPr>
            <w:t>Examined person‘s signature</w:t>
          </w:r>
          <w:r>
            <w:rPr>
              <w:szCs w:val="24"/>
            </w:rPr>
            <w:t xml:space="preserve"> ______________ </w:t>
          </w:r>
        </w:p>
        <w:p>
          <w:pPr>
            <w:ind w:right="27"/>
            <w:jc w:val="both"/>
            <w:rPr>
              <w:color w:val="000000"/>
            </w:rPr>
          </w:pP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fd07d0a53f11e3aeb49a67165e3ad3">
            <w:r w:rsidRPr="00532B9F">
              <w:rPr>
                <w:rFonts w:ascii="Times New Roman" w:eastAsia="MS Mincho" w:hAnsi="Times New Roman"/>
                <w:sz w:val="20"/>
                <w:i/>
                <w:iCs/>
                <w:color w:val="0000FF" w:themeColor="hyperlink"/>
                <w:u w:val="single"/>
              </w:rPr>
              <w:t>V-320</w:t>
            </w:r>
          </w:fldSimple>
          <w:r>
            <w:rPr>
              <w:rFonts w:ascii="Times New Roman" w:eastAsia="MS Mincho" w:hAnsi="Times New Roman"/>
              <w:sz w:val="20"/>
              <w:i/>
              <w:iCs/>
            </w:rPr>
            <w:t>,
2014-03-05,
paskelbta TAR 2014-03-06, i. k. 2014-02740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03834b0b03d11e88f64a5ecc703f89b">
            <w:r w:rsidRPr="00532B9F">
              <w:rPr>
                <w:rFonts w:ascii="Times New Roman" w:eastAsia="MS Mincho" w:hAnsi="Times New Roman"/>
                <w:sz w:val="20"/>
                <w:i/>
                <w:iCs/>
                <w:color w:val="0000FF" w:themeColor="hyperlink"/>
                <w:u w:val="single"/>
              </w:rPr>
              <w:t>V-976</w:t>
            </w:r>
          </w:fldSimple>
          <w:r>
            <w:rPr>
              <w:rFonts w:ascii="Times New Roman" w:eastAsia="MS Mincho" w:hAnsi="Times New Roman"/>
              <w:sz w:val="20"/>
              <w:i/>
              <w:iCs/>
            </w:rPr>
            <w:t>,
2018-09-04,
paskelbta TAR 2018-09-04, i. k. 2018-13962            </w:t>
          </w:r>
        </w:p>
        <w:p/>
      </w:sdtContent>
    </w:sdt>
    <w:sdt>
      <w:sdtPr>
        <w:alias w:val="12 pr."/>
        <w:tag w:val="part_e0739932a7b84df6ac56c5a859829502"/>
        <w:lock w:val="sdtLocked"/>
        <w:richText/>
      </w:sdtPr>
      <w:sdtContent>
        <w:p>
          <w:pPr>
            <w:ind w:left="3666" w:firstLine="1296"/>
            <w:rPr>
              <w:color w:val="000000"/>
              <w:szCs w:val="24"/>
              <w:lang w:eastAsia="lt-LT"/>
            </w:rPr>
            <w:sectPr>
              <w:pgSz w:w="11907" w:h="16840" w:code="9"/>
              <w:pgMar w:top="1134" w:right="1134" w:bottom="1134" w:left="1701" w:header="567" w:footer="284" w:gutter="0"/>
              <w:pgNumType w:start="1"/>
              <w:cols w:space="1296"/>
              <w:titlePg/>
              <w:docGrid w:linePitch="360"/>
            </w:sectPr>
          </w:pPr>
        </w:p>
        <w:p>
          <w:pPr>
            <w:ind w:left="3666" w:firstLine="1296"/>
            <w:rPr>
              <w:color w:val="000000"/>
              <w:szCs w:val="24"/>
              <w:lang w:eastAsia="lt-LT"/>
            </w:rPr>
          </w:pPr>
          <w:r>
            <w:rPr>
              <w:color w:val="000000"/>
              <w:szCs w:val="24"/>
              <w:lang w:eastAsia="lt-LT"/>
            </w:rPr>
            <w:t>PATVIRTINTA</w:t>
          </w:r>
        </w:p>
        <w:p>
          <w:pPr>
            <w:ind w:left="4962"/>
            <w:rPr>
              <w:color w:val="000000"/>
              <w:szCs w:val="24"/>
              <w:lang w:eastAsia="lt-LT"/>
            </w:rPr>
          </w:pPr>
          <w:r>
            <w:rPr>
              <w:color w:val="000000"/>
              <w:szCs w:val="24"/>
              <w:lang w:eastAsia="lt-LT"/>
            </w:rPr>
            <w:t>Lietuvos Respublikos sveikatos</w:t>
          </w:r>
        </w:p>
        <w:p>
          <w:pPr>
            <w:ind w:left="4962"/>
            <w:rPr>
              <w:color w:val="000000"/>
              <w:szCs w:val="24"/>
              <w:lang w:eastAsia="lt-LT"/>
            </w:rPr>
          </w:pPr>
          <w:r>
            <w:rPr>
              <w:color w:val="000000"/>
              <w:szCs w:val="24"/>
              <w:lang w:eastAsia="lt-LT"/>
            </w:rPr>
            <w:t>apsaugos ministro 2000 m. gegužės 31 d.</w:t>
          </w:r>
        </w:p>
        <w:p>
          <w:pPr>
            <w:ind w:left="4962"/>
            <w:rPr>
              <w:color w:val="000000"/>
              <w:szCs w:val="24"/>
              <w:lang w:eastAsia="lt-LT"/>
            </w:rPr>
          </w:pPr>
          <w:r>
            <w:rPr>
              <w:color w:val="000000"/>
              <w:szCs w:val="24"/>
              <w:lang w:eastAsia="lt-LT"/>
            </w:rPr>
            <w:t>įsakymu Nr. 301</w:t>
          </w:r>
        </w:p>
        <w:p>
          <w:pPr>
            <w:ind w:left="4962"/>
            <w:rPr>
              <w:color w:val="000000"/>
              <w:szCs w:val="24"/>
              <w:lang w:eastAsia="lt-LT"/>
            </w:rPr>
          </w:pPr>
          <w:r>
            <w:rPr>
              <w:color w:val="000000"/>
              <w:szCs w:val="24"/>
              <w:lang w:eastAsia="lt-LT"/>
            </w:rPr>
            <w:t xml:space="preserve">(Lietuvos Respublikos sveikatos apsaugos </w:t>
          </w:r>
        </w:p>
        <w:p>
          <w:pPr>
            <w:ind w:left="4962"/>
            <w:rPr>
              <w:color w:val="000000"/>
              <w:szCs w:val="24"/>
              <w:lang w:eastAsia="lt-LT"/>
            </w:rPr>
          </w:pPr>
          <w:r>
            <w:rPr>
              <w:color w:val="000000"/>
              <w:szCs w:val="24"/>
              <w:lang w:eastAsia="lt-LT"/>
            </w:rPr>
            <w:t xml:space="preserve">ministro 2023 m. balandžio </w:t>
          </w:r>
          <w:r>
            <w:rPr>
              <w:color w:val="000000"/>
              <w:szCs w:val="24"/>
              <w:lang w:val="es-ES" w:eastAsia="lt-LT"/>
            </w:rPr>
            <w:t>25</w:t>
          </w:r>
          <w:r>
            <w:rPr>
              <w:color w:val="000000"/>
              <w:szCs w:val="24"/>
              <w:lang w:eastAsia="lt-LT"/>
            </w:rPr>
            <w:t xml:space="preserve"> d.</w:t>
          </w:r>
        </w:p>
        <w:p>
          <w:pPr>
            <w:ind w:left="4962"/>
            <w:rPr>
              <w:color w:val="000000"/>
              <w:szCs w:val="24"/>
              <w:lang w:eastAsia="lt-LT"/>
            </w:rPr>
          </w:pPr>
          <w:r>
            <w:rPr>
              <w:color w:val="000000"/>
              <w:szCs w:val="24"/>
              <w:lang w:eastAsia="lt-LT"/>
            </w:rPr>
            <w:t>įsakymo Nr. </w:t>
          </w:r>
          <w:r>
            <w:rPr>
              <w:szCs w:val="24"/>
            </w:rPr>
            <w:t>V-506</w:t>
          </w:r>
        </w:p>
        <w:p>
          <w:pPr>
            <w:ind w:left="4962"/>
            <w:rPr>
              <w:color w:val="000000"/>
              <w:szCs w:val="24"/>
              <w:lang w:eastAsia="lt-LT"/>
            </w:rPr>
          </w:pPr>
          <w:r>
            <w:rPr>
              <w:color w:val="000000"/>
              <w:szCs w:val="24"/>
              <w:lang w:eastAsia="lt-LT"/>
            </w:rPr>
            <w:t>redakcija)</w:t>
          </w:r>
        </w:p>
        <w:p>
          <w:pPr>
            <w:ind w:left="4962"/>
            <w:rPr>
              <w:color w:val="000000"/>
              <w:szCs w:val="24"/>
              <w:lang w:eastAsia="lt-LT"/>
            </w:rPr>
          </w:pPr>
          <w:sdt>
            <w:sdtPr>
              <w:alias w:val="Numeris"/>
              <w:tag w:val="nr_e0739932a7b84df6ac56c5a859829502"/>
              <w:lock w:val="sdtLocked"/>
              <w:richText/>
            </w:sdtPr>
            <w:sdtContent>
              <w:r>
                <w:rPr>
                  <w:color w:val="000000"/>
                  <w:szCs w:val="24"/>
                  <w:lang w:eastAsia="lt-LT"/>
                </w:rPr>
                <w:t>12</w:t>
              </w:r>
            </w:sdtContent>
          </w:sdt>
          <w:r>
            <w:rPr>
              <w:color w:val="000000"/>
              <w:szCs w:val="24"/>
              <w:lang w:eastAsia="lt-LT"/>
            </w:rPr>
            <w:t> priedas</w:t>
          </w:r>
        </w:p>
        <w:p>
          <w:pPr>
            <w:jc w:val="center"/>
            <w:rPr>
              <w:b/>
              <w:bCs/>
              <w:caps/>
              <w:color w:val="000000"/>
              <w:sz w:val="27"/>
              <w:szCs w:val="27"/>
              <w:lang w:eastAsia="lt-LT"/>
            </w:rPr>
          </w:pPr>
        </w:p>
        <w:p>
          <w:pPr>
            <w:jc w:val="center"/>
            <w:rPr>
              <w:b/>
              <w:bCs/>
              <w:color w:val="000000"/>
              <w:szCs w:val="24"/>
              <w:lang w:eastAsia="lt-LT"/>
            </w:rPr>
          </w:pPr>
          <w:sdt>
            <w:sdtPr>
              <w:alias w:val="Pavadinimas"/>
              <w:tag w:val="title_e0739932a7b84df6ac56c5a859829502"/>
              <w:lock w:val="sdtLocked"/>
              <w:richText/>
            </w:sdtPr>
            <w:sdtContent>
              <w:r>
                <w:rPr>
                  <w:b/>
                  <w:bCs/>
                  <w:caps/>
                  <w:color w:val="000000"/>
                  <w:szCs w:val="24"/>
                  <w:lang w:eastAsia="lt-LT"/>
                </w:rPr>
                <w:t xml:space="preserve">TRAUKINIO MAŠINISTŲ IR </w:t>
              </w:r>
              <w:r>
                <w:rPr>
                  <w:b/>
                  <w:bCs/>
                  <w:color w:val="000000"/>
                  <w:szCs w:val="24"/>
                </w:rPr>
                <w:t>DARBUOTOJŲ, ATLIEKANČIŲ EISMO SAUGAI UŽTIKRINTI SVARBIAS UŽDUOTIS</w:t>
              </w:r>
              <w:r>
                <w:rPr>
                  <w:b/>
                  <w:bCs/>
                  <w:caps/>
                  <w:color w:val="000000"/>
                  <w:szCs w:val="24"/>
                  <w:lang w:eastAsia="lt-LT"/>
                </w:rPr>
                <w:t>, SVEIKATOS TIKRINIMO TVARKOS APRAŠAS</w:t>
              </w:r>
            </w:sdtContent>
          </w:sdt>
        </w:p>
        <w:p>
          <w:pPr>
            <w:ind w:firstLine="67"/>
            <w:jc w:val="both"/>
            <w:rPr>
              <w:color w:val="000000"/>
              <w:sz w:val="27"/>
              <w:szCs w:val="27"/>
              <w:lang w:eastAsia="lt-LT"/>
            </w:rPr>
          </w:pPr>
        </w:p>
        <w:sdt>
          <w:sdtPr>
            <w:alias w:val="skyrius"/>
            <w:tag w:val="part_cbf26392758145acafe93bf6e8b8e334"/>
            <w:lock w:val="sdtLocked"/>
            <w:richText/>
          </w:sdtPr>
          <w:sdtContent>
            <w:p>
              <w:pPr>
                <w:jc w:val="center"/>
                <w:rPr>
                  <w:b/>
                  <w:bCs/>
                  <w:caps/>
                  <w:color w:val="000000"/>
                  <w:szCs w:val="24"/>
                  <w:lang w:eastAsia="lt-LT"/>
                </w:rPr>
              </w:pPr>
              <w:sdt>
                <w:sdtPr>
                  <w:alias w:val="Numeris"/>
                  <w:tag w:val="nr_cbf26392758145acafe93bf6e8b8e334"/>
                  <w:lock w:val="sdtLocked"/>
                  <w:richText/>
                </w:sdtPr>
                <w:sdtContent>
                  <w:r>
                    <w:rPr>
                      <w:b/>
                      <w:bCs/>
                      <w:caps/>
                      <w:color w:val="000000"/>
                      <w:szCs w:val="24"/>
                      <w:lang w:eastAsia="lt-LT"/>
                    </w:rPr>
                    <w:t>I</w:t>
                  </w:r>
                </w:sdtContent>
              </w:sdt>
              <w:r>
                <w:rPr>
                  <w:b/>
                  <w:bCs/>
                  <w:caps/>
                  <w:color w:val="000000"/>
                  <w:szCs w:val="24"/>
                  <w:lang w:eastAsia="lt-LT"/>
                </w:rPr>
                <w:t xml:space="preserve"> SKYRIUS</w:t>
              </w:r>
            </w:p>
            <w:p>
              <w:pPr>
                <w:jc w:val="center"/>
                <w:rPr>
                  <w:color w:val="000000"/>
                  <w:szCs w:val="24"/>
                  <w:lang w:eastAsia="lt-LT"/>
                </w:rPr>
              </w:pPr>
              <w:sdt>
                <w:sdtPr>
                  <w:alias w:val="Pavadinimas"/>
                  <w:tag w:val="title_cbf26392758145acafe93bf6e8b8e334"/>
                  <w:lock w:val="sdtLocked"/>
                  <w:richText/>
                </w:sdtPr>
                <w:sdtContent>
                  <w:r>
                    <w:rPr>
                      <w:b/>
                      <w:bCs/>
                      <w:caps/>
                      <w:color w:val="000000"/>
                      <w:szCs w:val="24"/>
                      <w:lang w:eastAsia="lt-LT"/>
                    </w:rPr>
                    <w:t>BENDROSIOS NUOSTATOS</w:t>
                  </w:r>
                </w:sdtContent>
              </w:sdt>
            </w:p>
            <w:p>
              <w:pPr>
                <w:ind w:firstLine="62"/>
                <w:jc w:val="both"/>
                <w:rPr>
                  <w:color w:val="000000"/>
                  <w:szCs w:val="24"/>
                  <w:lang w:eastAsia="lt-LT"/>
                </w:rPr>
              </w:pPr>
            </w:p>
            <w:sdt>
              <w:sdtPr>
                <w:alias w:val="12 pr. 1 p."/>
                <w:tag w:val="part_af48608cf66b462a8429d3b3453de04c"/>
                <w:lock w:val="sdtLocked"/>
                <w:richText/>
              </w:sdtPr>
              <w:sdtContent>
                <w:p>
                  <w:pPr>
                    <w:ind w:firstLine="567"/>
                    <w:jc w:val="both"/>
                    <w:rPr>
                      <w:color w:val="000000"/>
                      <w:szCs w:val="24"/>
                      <w:lang w:eastAsia="lt-LT"/>
                    </w:rPr>
                  </w:pPr>
                  <w:sdt>
                    <w:sdtPr>
                      <w:alias w:val="Numeris"/>
                      <w:tag w:val="nr_af48608cf66b462a8429d3b3453de04c"/>
                      <w:lock w:val="sdtLocked"/>
                      <w:richText/>
                    </w:sdtPr>
                    <w:sdtContent>
                      <w:r>
                        <w:rPr>
                          <w:color w:val="000000"/>
                          <w:szCs w:val="24"/>
                          <w:lang w:eastAsia="lt-LT"/>
                        </w:rPr>
                        <w:t>1</w:t>
                      </w:r>
                    </w:sdtContent>
                  </w:sdt>
                  <w:r>
                    <w:rPr>
                      <w:color w:val="000000"/>
                      <w:szCs w:val="24"/>
                      <w:lang w:eastAsia="lt-LT"/>
                    </w:rPr>
                    <w:t xml:space="preserve">. Traukinio mašinistų ir </w:t>
                  </w:r>
                  <w:r>
                    <w:rPr>
                      <w:color w:val="000000"/>
                      <w:szCs w:val="24"/>
                    </w:rPr>
                    <w:t>darbuotojų, atliekančių eismo saugai užtikrinti svarbias užduotis</w:t>
                  </w:r>
                  <w:r>
                    <w:rPr>
                      <w:color w:val="000000"/>
                      <w:szCs w:val="24"/>
                      <w:lang w:eastAsia="lt-LT"/>
                    </w:rPr>
                    <w:t xml:space="preserve">, sveikatos tikrinimo tvarkos aprašas (toliau – Aprašas) nustato </w:t>
                  </w:r>
                  <w:r>
                    <w:rPr>
                      <w:color w:val="000000"/>
                    </w:rPr>
                    <w:t xml:space="preserve">asmenų, pageidaujančių gauti traukinio mašinisto pažymėjimą ir įsidarbinti ar dirbti traukinio mašinistais, bei </w:t>
                  </w:r>
                  <w:r>
                    <w:rPr>
                      <w:color w:val="000000"/>
                      <w:szCs w:val="24"/>
                    </w:rPr>
                    <w:t xml:space="preserve">darbuotojų, pageidaujančių atlikti arba atliekančių eismo saugai užtikrinti svarbias užduotis, </w:t>
                  </w:r>
                  <w:r>
                    <w:rPr>
                      <w:color w:val="000000"/>
                    </w:rPr>
                    <w:t>bendruosius sveikatos būklės reikalavimus,</w:t>
                  </w:r>
                  <w:r>
                    <w:rPr>
                      <w:color w:val="000000"/>
                      <w:szCs w:val="24"/>
                      <w:lang w:eastAsia="lt-LT"/>
                    </w:rPr>
                    <w:t xml:space="preserve"> sveikatos tikrinimo (toliau – privalomas sveikatos tikrinimas) reikalavimus ir tvarką.</w:t>
                  </w:r>
                </w:p>
              </w:sdtContent>
            </w:sdt>
            <w:sdt>
              <w:sdtPr>
                <w:alias w:val="12 pr. 2 p."/>
                <w:tag w:val="part_1cabc372d2ff472baf8f2f94992b0be1"/>
                <w:lock w:val="sdtLocked"/>
                <w:richText/>
              </w:sdtPr>
              <w:sdtContent>
                <w:p>
                  <w:pPr>
                    <w:widowControl w:val="0"/>
                    <w:suppressAutoHyphens/>
                    <w:ind w:firstLine="567"/>
                    <w:jc w:val="both"/>
                    <w:rPr>
                      <w:color w:val="000000"/>
                      <w:szCs w:val="22"/>
                    </w:rPr>
                  </w:pPr>
                  <w:sdt>
                    <w:sdtPr>
                      <w:alias w:val="Numeris"/>
                      <w:tag w:val="nr_1cabc372d2ff472baf8f2f94992b0be1"/>
                      <w:lock w:val="sdtLocked"/>
                      <w:richText/>
                    </w:sdtPr>
                    <w:sdtContent>
                      <w:r>
                        <w:rPr>
                          <w:color w:val="000000"/>
                        </w:rPr>
                        <w:t>2</w:t>
                      </w:r>
                    </w:sdtContent>
                  </w:sdt>
                  <w:r>
                    <w:rPr>
                      <w:color w:val="000000"/>
                    </w:rPr>
                    <w:t xml:space="preserve">. Privalomo sveikatos tikrinimo tikslas – nustatyti, ar tikrinamo asmens fizinė ir psichikos sveikatos būklė atitinka Apraše nustatytus reikalavimus traukinio mašinistams ir </w:t>
                  </w:r>
                  <w:r>
                    <w:rPr>
                      <w:color w:val="000000"/>
                      <w:szCs w:val="24"/>
                    </w:rPr>
                    <w:t>darbuotojams, atliekantiems eismo saugai užtikrinti svarbias užduotis</w:t>
                  </w:r>
                  <w:r>
                    <w:rPr>
                      <w:color w:val="000000"/>
                    </w:rPr>
                    <w:t>.</w:t>
                  </w:r>
                </w:p>
              </w:sdtContent>
            </w:sdt>
            <w:sdt>
              <w:sdtPr>
                <w:alias w:val="12 pr. 3 p."/>
                <w:tag w:val="part_b2e00d1512564aab8639f3d4410f99d0"/>
                <w:lock w:val="sdtLocked"/>
                <w:richText/>
              </w:sdtPr>
              <w:sdtContent>
                <w:p>
                  <w:pPr>
                    <w:widowControl w:val="0"/>
                    <w:suppressAutoHyphens/>
                    <w:ind w:firstLine="567"/>
                    <w:jc w:val="both"/>
                    <w:rPr>
                      <w:color w:val="000000"/>
                      <w:szCs w:val="24"/>
                      <w:lang w:eastAsia="lt-LT"/>
                    </w:rPr>
                  </w:pPr>
                  <w:sdt>
                    <w:sdtPr>
                      <w:alias w:val="Numeris"/>
                      <w:tag w:val="nr_b2e00d1512564aab8639f3d4410f99d0"/>
                      <w:lock w:val="sdtLocked"/>
                      <w:richText/>
                    </w:sdtPr>
                    <w:sdtContent>
                      <w:r>
                        <w:rPr>
                          <w:color w:val="000000"/>
                          <w:szCs w:val="24"/>
                          <w:lang w:eastAsia="lt-LT"/>
                        </w:rPr>
                        <w:t>3</w:t>
                      </w:r>
                    </w:sdtContent>
                  </w:sdt>
                  <w:r>
                    <w:rPr>
                      <w:color w:val="000000"/>
                      <w:szCs w:val="24"/>
                      <w:lang w:eastAsia="lt-LT"/>
                    </w:rPr>
                    <w:t xml:space="preserve">. Apraše vartojamos sąvokos atitinka Lietuvos Respublikos geležinkelių transporto eismo saugos įstatyme, Lietuvos Respublikos geležinkelių transporto kodekse, </w:t>
                  </w:r>
                  <w:r>
                    <w:rPr>
                      <w:color w:val="000000"/>
                      <w:szCs w:val="24"/>
                    </w:rPr>
                    <w:t>2019 m. gegužės 16 d. Europos Komisijos įgyvendinimo reglamente (ES) 2019/773 dėl Europos Sąjungos geležinkelių sistemos traukinių eismo organizavimo ir valdymo posistemio sąveikos techninės specifikacijos, kuriuo panaikinamas Sprendimas 2012/757/ES, su paskutiniais pakeitimais, padarytais 2022 m. liepos 12 d. Komisijos įgyvendinimo reglamentu (ES) 2020/77</w:t>
                  </w:r>
                  <w:r>
                    <w:rPr>
                      <w:color w:val="000000"/>
                      <w:szCs w:val="24"/>
                      <w:lang w:eastAsia="lt-LT"/>
                    </w:rPr>
                    <w:t>ir kituose Lietuvos Respublikos bei Europos Sąjungos teisės aktuose, reglamentuojančiuose sveikatos priežiūrą, apibrėžtas sąvokas.</w:t>
                  </w:r>
                </w:p>
                <w:p>
                  <w:pPr>
                    <w:widowControl w:val="0"/>
                    <w:suppressAutoHyphens/>
                    <w:ind w:firstLine="567"/>
                    <w:jc w:val="both"/>
                    <w:rPr>
                      <w:color w:val="000000"/>
                      <w:szCs w:val="24"/>
                      <w:lang w:eastAsia="lt-LT"/>
                    </w:rPr>
                  </w:pPr>
                </w:p>
              </w:sdtContent>
            </w:sdt>
          </w:sdtContent>
        </w:sdt>
        <w:sdt>
          <w:sdtPr>
            <w:alias w:val="skyrius"/>
            <w:tag w:val="part_c865d5b0b7e04d32b8d5893e844bf611"/>
            <w:lock w:val="sdtLocked"/>
            <w:richText/>
          </w:sdtPr>
          <w:sdtContent>
            <w:p>
              <w:pPr>
                <w:jc w:val="center"/>
                <w:rPr>
                  <w:b/>
                  <w:bCs/>
                  <w:caps/>
                  <w:color w:val="000000"/>
                  <w:szCs w:val="24"/>
                  <w:lang w:eastAsia="lt-LT"/>
                </w:rPr>
              </w:pPr>
              <w:sdt>
                <w:sdtPr>
                  <w:alias w:val="Numeris"/>
                  <w:tag w:val="nr_c865d5b0b7e04d32b8d5893e844bf611"/>
                  <w:lock w:val="sdtLocked"/>
                  <w:richText/>
                </w:sdtPr>
                <w:sdtContent>
                  <w:r>
                    <w:rPr>
                      <w:b/>
                      <w:bCs/>
                      <w:caps/>
                      <w:color w:val="000000"/>
                      <w:szCs w:val="24"/>
                      <w:lang w:eastAsia="lt-LT"/>
                    </w:rPr>
                    <w:t>II</w:t>
                  </w:r>
                </w:sdtContent>
              </w:sdt>
              <w:r>
                <w:rPr>
                  <w:b/>
                  <w:bCs/>
                  <w:caps/>
                  <w:color w:val="000000"/>
                  <w:szCs w:val="24"/>
                  <w:lang w:eastAsia="lt-LT"/>
                </w:rPr>
                <w:t xml:space="preserve"> SKYRIUS</w:t>
              </w:r>
            </w:p>
            <w:p>
              <w:pPr>
                <w:jc w:val="center"/>
                <w:rPr>
                  <w:b/>
                  <w:bCs/>
                  <w:caps/>
                  <w:color w:val="000000"/>
                  <w:szCs w:val="24"/>
                  <w:lang w:eastAsia="lt-LT"/>
                </w:rPr>
              </w:pPr>
              <w:sdt>
                <w:sdtPr>
                  <w:alias w:val="Pavadinimas"/>
                  <w:tag w:val="title_c865d5b0b7e04d32b8d5893e844bf611"/>
                  <w:lock w:val="sdtLocked"/>
                  <w:richText/>
                </w:sdtPr>
                <w:sdtContent>
                  <w:r>
                    <w:rPr>
                      <w:b/>
                      <w:bCs/>
                      <w:caps/>
                      <w:color w:val="000000"/>
                      <w:szCs w:val="24"/>
                      <w:lang w:eastAsia="lt-LT"/>
                    </w:rPr>
                    <w:t>PRIVALOMO SVEIKATOS TIKRINIMO REIKALAVIMAI IR TVARKA</w:t>
                  </w:r>
                </w:sdtContent>
              </w:sdt>
            </w:p>
            <w:p>
              <w:pPr>
                <w:jc w:val="center"/>
                <w:rPr>
                  <w:color w:val="000000"/>
                  <w:szCs w:val="24"/>
                  <w:lang w:eastAsia="lt-LT"/>
                </w:rPr>
              </w:pPr>
            </w:p>
            <w:sdt>
              <w:sdtPr>
                <w:alias w:val="12 pr. 4 p."/>
                <w:tag w:val="part_3cf580a15a5e4f8cbb6f03b88984f28d"/>
                <w:lock w:val="sdtLocked"/>
                <w:richText/>
              </w:sdtPr>
              <w:sdtContent>
                <w:p>
                  <w:pPr>
                    <w:widowControl w:val="0"/>
                    <w:suppressAutoHyphens/>
                    <w:ind w:firstLine="567"/>
                    <w:jc w:val="both"/>
                    <w:rPr>
                      <w:color w:val="000000"/>
                      <w:szCs w:val="24"/>
                      <w:lang w:eastAsia="lt-LT"/>
                    </w:rPr>
                  </w:pPr>
                  <w:sdt>
                    <w:sdtPr>
                      <w:alias w:val="Numeris"/>
                      <w:tag w:val="nr_3cf580a15a5e4f8cbb6f03b88984f28d"/>
                      <w:lock w:val="sdtLocked"/>
                      <w:richText/>
                    </w:sdtPr>
                    <w:sdtContent>
                      <w:r>
                        <w:rPr>
                          <w:color w:val="000000"/>
                        </w:rPr>
                        <w:t>4</w:t>
                      </w:r>
                    </w:sdtContent>
                  </w:sdt>
                  <w:r>
                    <w:rPr>
                      <w:color w:val="000000"/>
                    </w:rPr>
                    <w:t>.</w:t>
                  </w:r>
                  <w:r>
                    <w:rPr>
                      <w:color w:val="000000"/>
                      <w:szCs w:val="24"/>
                    </w:rPr>
                    <w:t xml:space="preserve"> Asmenys, pageidaujantys gauti traukinio mašinisto pažymėjimą ir įsidarbinti ar dirbti traukinio mašinistais, bei darbuotojai, pageidaujantys atlikti eismo saugai užtikrinti svarbias užduotis, pasitikrina sveikatą prieš įsidarbindami bei vėliau dirbdami tikrinasi ją Geležinkelių transporto eismo saugos įstatymo 32 straipsnio 2 dalyje ir</w:t>
                  </w:r>
                  <w:r>
                    <w:rPr>
                      <w:b/>
                      <w:bCs/>
                      <w:color w:val="000000"/>
                      <w:szCs w:val="24"/>
                    </w:rPr>
                    <w:t xml:space="preserve"> </w:t>
                  </w:r>
                  <w:r>
                    <w:rPr>
                      <w:color w:val="000000"/>
                      <w:szCs w:val="24"/>
                    </w:rPr>
                    <w:t>Reglamento (ES) 2019/773 priedo 4.7.2.2.1 skirsnyje nustatytu periodiškumu Apraše nustatyta tvarka.</w:t>
                  </w:r>
                </w:p>
              </w:sdtContent>
            </w:sdt>
            <w:sdt>
              <w:sdtPr>
                <w:alias w:val="12 pr. 5 p."/>
                <w:tag w:val="part_5f0b0bcace1c45fa87f6e25f2e916164"/>
                <w:lock w:val="sdtLocked"/>
                <w:richText/>
              </w:sdtPr>
              <w:sdtContent>
                <w:p>
                  <w:pPr>
                    <w:ind w:firstLine="567"/>
                    <w:jc w:val="both"/>
                    <w:rPr>
                      <w:color w:val="000000"/>
                      <w:szCs w:val="24"/>
                      <w:lang w:eastAsia="lt-LT"/>
                    </w:rPr>
                  </w:pPr>
                  <w:sdt>
                    <w:sdtPr>
                      <w:alias w:val="Numeris"/>
                      <w:tag w:val="nr_5f0b0bcace1c45fa87f6e25f2e916164"/>
                      <w:lock w:val="sdtLocked"/>
                      <w:richText/>
                    </w:sdtPr>
                    <w:sdtContent>
                      <w:r>
                        <w:rPr>
                          <w:color w:val="000000"/>
                          <w:szCs w:val="24"/>
                          <w:lang w:eastAsia="lt-LT"/>
                        </w:rPr>
                        <w:t>5</w:t>
                      </w:r>
                    </w:sdtContent>
                  </w:sdt>
                  <w:r>
                    <w:rPr>
                      <w:color w:val="000000"/>
                      <w:szCs w:val="24"/>
                      <w:lang w:eastAsia="lt-LT"/>
                    </w:rPr>
                    <w:t>. Aprašo 4 punkte nurodytų asmenų sveikatos būklė turi atitikti bendruosius sveikatos būklės reikalavimus, nurodytus Aprašo III skyriuje, įvertinus</w:t>
                  </w:r>
                  <w:r>
                    <w:rPr>
                      <w:b/>
                      <w:bCs/>
                      <w:color w:val="000000"/>
                      <w:szCs w:val="24"/>
                      <w:lang w:eastAsia="lt-LT"/>
                    </w:rPr>
                    <w:t xml:space="preserve"> </w:t>
                  </w:r>
                  <w:r>
                    <w:rPr>
                      <w:color w:val="000000"/>
                      <w:szCs w:val="24"/>
                      <w:lang w:eastAsia="lt-LT"/>
                    </w:rPr>
                    <w:t>ribojimus, taikomus asmenims, siekiantiems įsidarbinti ar dirbti traukinio mašinistais, nurodytus Aprašo 1 lentelėje.</w:t>
                  </w:r>
                </w:p>
              </w:sdtContent>
            </w:sdt>
            <w:sdt>
              <w:sdtPr>
                <w:alias w:val="12 pr. 6 p."/>
                <w:tag w:val="part_7d106e6cce234fe1b61f62362986ca6e"/>
                <w:lock w:val="sdtLocked"/>
                <w:richText/>
              </w:sdtPr>
              <w:sdtContent>
                <w:p>
                  <w:pPr>
                    <w:ind w:firstLine="567"/>
                    <w:jc w:val="both"/>
                    <w:rPr>
                      <w:color w:val="000000"/>
                      <w:szCs w:val="24"/>
                      <w:lang w:eastAsia="lt-LT"/>
                    </w:rPr>
                  </w:pPr>
                  <w:sdt>
                    <w:sdtPr>
                      <w:alias w:val="Numeris"/>
                      <w:tag w:val="nr_7d106e6cce234fe1b61f62362986ca6e"/>
                      <w:lock w:val="sdtLocked"/>
                      <w:richText/>
                    </w:sdtPr>
                    <w:sdtContent>
                      <w:r>
                        <w:rPr>
                          <w:color w:val="000000"/>
                          <w:szCs w:val="24"/>
                          <w:lang w:eastAsia="lt-LT"/>
                        </w:rPr>
                        <w:t>6</w:t>
                      </w:r>
                    </w:sdtContent>
                  </w:sdt>
                  <w:r>
                    <w:rPr>
                      <w:color w:val="000000"/>
                      <w:szCs w:val="24"/>
                      <w:lang w:eastAsia="lt-LT"/>
                    </w:rPr>
                    <w:t xml:space="preserve">. </w:t>
                  </w:r>
                  <w:r>
                    <w:rPr>
                      <w:color w:val="000000"/>
                      <w:szCs w:val="24"/>
                    </w:rPr>
                    <w:t xml:space="preserve">Asmenims, pageidaujantiems gauti traukinio mašinisto pažymėjimą ir įsidarbinti traukinio mašinistais, (toliau </w:t>
                  </w:r>
                  <w:r>
                    <w:rPr>
                      <w:color w:val="000000"/>
                    </w:rPr>
                    <w:t>– į</w:t>
                  </w:r>
                  <w:r>
                    <w:rPr>
                      <w:color w:val="000000"/>
                      <w:szCs w:val="24"/>
                      <w:lang w:eastAsia="lt-LT"/>
                    </w:rPr>
                    <w:t>sidarbinantieji traukinio mašinistai) turi būti atlikti Aprašo IV skyriuje nurodyti sveikatos patikrinimai.</w:t>
                  </w:r>
                </w:p>
              </w:sdtContent>
            </w:sdt>
            <w:sdt>
              <w:sdtPr>
                <w:alias w:val="12 pr. 7 p."/>
                <w:tag w:val="part_7283e0ab9c634fa88580f86150c311e9"/>
                <w:lock w:val="sdtLocked"/>
                <w:richText/>
              </w:sdtPr>
              <w:sdtContent>
                <w:p>
                  <w:pPr>
                    <w:ind w:firstLine="567"/>
                    <w:jc w:val="both"/>
                    <w:rPr>
                      <w:color w:val="000000"/>
                      <w:szCs w:val="24"/>
                      <w:lang w:eastAsia="lt-LT"/>
                    </w:rPr>
                  </w:pPr>
                  <w:sdt>
                    <w:sdtPr>
                      <w:alias w:val="Numeris"/>
                      <w:tag w:val="nr_7283e0ab9c634fa88580f86150c311e9"/>
                      <w:lock w:val="sdtLocked"/>
                      <w:richText/>
                    </w:sdtPr>
                    <w:sdtContent>
                      <w:r>
                        <w:rPr>
                          <w:color w:val="000000"/>
                          <w:szCs w:val="24"/>
                          <w:lang w:eastAsia="lt-LT"/>
                        </w:rPr>
                        <w:t>7</w:t>
                      </w:r>
                    </w:sdtContent>
                  </w:sdt>
                  <w:r>
                    <w:rPr>
                      <w:color w:val="000000"/>
                      <w:szCs w:val="24"/>
                      <w:lang w:eastAsia="lt-LT"/>
                    </w:rPr>
                    <w:t>. Traukinio mašinistų ir</w:t>
                  </w:r>
                  <w:r>
                    <w:rPr>
                      <w:color w:val="000000"/>
                      <w:szCs w:val="24"/>
                    </w:rPr>
                    <w:t xml:space="preserve"> darbuotojų, atliekančių eismo saugai užtikrinti svarbias užduotis (toliau </w:t>
                  </w:r>
                  <w:r>
                    <w:rPr>
                      <w:color w:val="000000"/>
                    </w:rPr>
                    <w:t xml:space="preserve">– geležinkeliečiai) </w:t>
                  </w:r>
                  <w:r>
                    <w:rPr>
                      <w:color w:val="000000"/>
                      <w:szCs w:val="24"/>
                      <w:lang w:eastAsia="lt-LT"/>
                    </w:rPr>
                    <w:t>periodinis privalomas sveikatos tikrinimas atliekamas vadovaujantis Aprašo V skyriuje nurodytais reikalavimais.</w:t>
                  </w:r>
                </w:p>
              </w:sdtContent>
            </w:sdt>
            <w:sdt>
              <w:sdtPr>
                <w:alias w:val="12 pr. 8 p."/>
                <w:tag w:val="part_1ce91bf4c80a43ffbdcb2f44ffa54ff7"/>
                <w:lock w:val="sdtLocked"/>
                <w:richText/>
              </w:sdtPr>
              <w:sdtContent>
                <w:p>
                  <w:pPr>
                    <w:ind w:firstLine="567"/>
                    <w:jc w:val="both"/>
                    <w:rPr>
                      <w:color w:val="000000"/>
                      <w:szCs w:val="24"/>
                      <w:lang w:eastAsia="lt-LT"/>
                    </w:rPr>
                  </w:pPr>
                  <w:sdt>
                    <w:sdtPr>
                      <w:alias w:val="Numeris"/>
                      <w:tag w:val="nr_1ce91bf4c80a43ffbdcb2f44ffa54ff7"/>
                      <w:lock w:val="sdtLocked"/>
                      <w:richText/>
                    </w:sdtPr>
                    <w:sdtContent>
                      <w:r>
                        <w:rPr>
                          <w:color w:val="000000"/>
                          <w:szCs w:val="24"/>
                          <w:lang w:eastAsia="lt-LT"/>
                        </w:rPr>
                        <w:t>8</w:t>
                      </w:r>
                    </w:sdtContent>
                  </w:sdt>
                  <w:r>
                    <w:rPr>
                      <w:color w:val="000000"/>
                      <w:szCs w:val="24"/>
                      <w:lang w:eastAsia="lt-LT"/>
                    </w:rPr>
                    <w:t>. Aprašo 4 punkte nurodytų asmenų privalomas sveikatos tikrinimas atliekamas asmens sveikatos priežiūros įstaigoje (toliau – ASPĮ), turinčioje licenciją teikti sveikatos priežiūros paslaugas. Prieš privalomą sveikatos tikrinimą, norintis įsidarbinti ar dirbti traukinio mašinistu asmuo, užpildo ir pasirašo Traukinio mašinisto garbės deklaraciją (sveikatos patikrinimo klausimyną), nurodytą Aprašo 2 lentelėje.</w:t>
                  </w:r>
                </w:p>
              </w:sdtContent>
            </w:sdt>
            <w:sdt>
              <w:sdtPr>
                <w:alias w:val="12 pr. 9 p."/>
                <w:tag w:val="part_cf763685cedd4446bdd9913dabe58308"/>
                <w:lock w:val="sdtLocked"/>
                <w:richText/>
              </w:sdtPr>
              <w:sdtContent>
                <w:p>
                  <w:pPr>
                    <w:suppressAutoHyphens/>
                    <w:ind w:firstLine="567"/>
                    <w:jc w:val="both"/>
                    <w:rPr>
                      <w:color w:val="000000"/>
                      <w:szCs w:val="24"/>
                      <w:lang w:eastAsia="lt-LT"/>
                    </w:rPr>
                  </w:pPr>
                  <w:sdt>
                    <w:sdtPr>
                      <w:alias w:val="Numeris"/>
                      <w:tag w:val="nr_cf763685cedd4446bdd9913dabe58308"/>
                      <w:lock w:val="sdtLocked"/>
                      <w:richText/>
                    </w:sdtPr>
                    <w:sdtContent>
                      <w:r>
                        <w:rPr>
                          <w:color w:val="000000"/>
                          <w:szCs w:val="24"/>
                          <w:lang w:eastAsia="lt-LT"/>
                        </w:rPr>
                        <w:t>9</w:t>
                      </w:r>
                    </w:sdtContent>
                  </w:sdt>
                  <w:r>
                    <w:rPr>
                      <w:color w:val="000000"/>
                      <w:szCs w:val="24"/>
                      <w:lang w:eastAsia="lt-LT"/>
                    </w:rPr>
                    <w:t xml:space="preserve">. Privalomus sveikatos tikrinimus atlieka šeimos medicinos paslaugas teikiantys gydytojai, kurie yra išklausę ne mažiau kaip 36 valandų darbo medicinos kursą, kurio programa suderinta su Lietuvos Respublikos sveikatos apsaugos ministerija (šis reikalavimas netaikomas šeimos gydytojams, baigusiems </w:t>
                  </w:r>
                  <w:r>
                    <w:rPr>
                      <w:szCs w:val="24"/>
                    </w:rPr>
                    <w:t xml:space="preserve">Lietuvos sveikatos mokslų universitetą 2012 m. ir vėliau, bei </w:t>
                  </w:r>
                  <w:r>
                    <w:rPr>
                      <w:color w:val="000000"/>
                      <w:szCs w:val="24"/>
                      <w:lang w:eastAsia="lt-LT"/>
                    </w:rPr>
                    <w:t>šeimos gydytojams, baigusiems</w:t>
                  </w:r>
                  <w:r>
                    <w:rPr>
                      <w:szCs w:val="24"/>
                    </w:rPr>
                    <w:t xml:space="preserve"> Vilniaus universitetą 2005 m. ir vėliau)</w:t>
                  </w:r>
                  <w:r>
                    <w:rPr>
                      <w:color w:val="000000"/>
                      <w:szCs w:val="24"/>
                      <w:lang w:eastAsia="lt-LT"/>
                    </w:rPr>
                    <w:t xml:space="preserve">, arba darbo medicinos gydytojas ir gydytojas psichiatras, privalomai arba prireikus konsultuodamiesi su Apraše nurodytų profesinių kvalifikacijų gydytojais, medicinos psichologais ir, esant indikacijų, skirdami reikiamus tyrimus. </w:t>
                  </w:r>
                </w:p>
              </w:sdtContent>
            </w:sdt>
            <w:sdt>
              <w:sdtPr>
                <w:alias w:val="12 pr. 10 p."/>
                <w:tag w:val="part_adf0a649e9d54e36a9058ce456e3f6e6"/>
                <w:lock w:val="sdtLocked"/>
                <w:richText/>
              </w:sdtPr>
              <w:sdtContent>
                <w:p>
                  <w:pPr>
                    <w:ind w:firstLine="567"/>
                    <w:jc w:val="both"/>
                    <w:rPr>
                      <w:color w:val="000000"/>
                      <w:szCs w:val="24"/>
                      <w:lang w:eastAsia="lt-LT"/>
                    </w:rPr>
                  </w:pPr>
                  <w:sdt>
                    <w:sdtPr>
                      <w:alias w:val="Numeris"/>
                      <w:tag w:val="nr_adf0a649e9d54e36a9058ce456e3f6e6"/>
                      <w:lock w:val="sdtLocked"/>
                      <w:richText/>
                    </w:sdtPr>
                    <w:sdtContent>
                      <w:r>
                        <w:rPr>
                          <w:color w:val="000000"/>
                          <w:szCs w:val="24"/>
                          <w:lang w:eastAsia="lt-LT"/>
                        </w:rPr>
                        <w:t>10</w:t>
                      </w:r>
                    </w:sdtContent>
                  </w:sdt>
                  <w:r>
                    <w:rPr>
                      <w:color w:val="000000"/>
                      <w:szCs w:val="24"/>
                      <w:lang w:eastAsia="lt-LT"/>
                    </w:rPr>
                    <w:t>. Atliekant privalomą sveikatos tikrinimą psichikos sveikatą tikrina paciento pasirinktos ASPĮ, kurioje pacientas prisirašęs, aptarnaujančio psichikos sveikatos centro gydytojas psichiatras, įvertinęs medicinos psichologo atlikto psichologinio tyrimo rezultatus.</w:t>
                  </w:r>
                </w:p>
              </w:sdtContent>
            </w:sdt>
            <w:sdt>
              <w:sdtPr>
                <w:alias w:val="12 pr. 11 p."/>
                <w:tag w:val="part_e9a26d532fa048359b5aa2a9931a6c30"/>
                <w:lock w:val="sdtLocked"/>
                <w:richText/>
              </w:sdtPr>
              <w:sdtContent>
                <w:p>
                  <w:pPr>
                    <w:ind w:firstLine="567"/>
                    <w:jc w:val="both"/>
                    <w:rPr>
                      <w:color w:val="000000"/>
                      <w:szCs w:val="24"/>
                      <w:lang w:eastAsia="lt-LT"/>
                    </w:rPr>
                  </w:pPr>
                  <w:sdt>
                    <w:sdtPr>
                      <w:alias w:val="Numeris"/>
                      <w:tag w:val="nr_e9a26d532fa048359b5aa2a9931a6c30"/>
                      <w:lock w:val="sdtLocked"/>
                      <w:richText/>
                    </w:sdtPr>
                    <w:sdtContent>
                      <w:r>
                        <w:rPr>
                          <w:color w:val="000000"/>
                          <w:szCs w:val="24"/>
                          <w:lang w:eastAsia="lt-LT"/>
                        </w:rPr>
                        <w:t>11</w:t>
                      </w:r>
                    </w:sdtContent>
                  </w:sdt>
                  <w:r>
                    <w:rPr>
                      <w:color w:val="000000"/>
                      <w:szCs w:val="24"/>
                      <w:lang w:eastAsia="lt-LT"/>
                    </w:rPr>
                    <w:t xml:space="preserve">. Siekdamas įvertinti, ar tikrinamas asmuo </w:t>
                  </w:r>
                  <w:r>
                    <w:rPr>
                      <w:color w:val="000000"/>
                      <w:szCs w:val="24"/>
                    </w:rPr>
                    <w:t>neturi psichologinių trūkumų ar asmeninių savybių, kurios galėtų kliudyti saugiai vykdyti pareigas ir atlikti skirtas užduotis,</w:t>
                  </w:r>
                  <w:r>
                    <w:rPr>
                      <w:color w:val="000000"/>
                      <w:szCs w:val="24"/>
                      <w:lang w:eastAsia="lt-LT"/>
                    </w:rPr>
                    <w:t xml:space="preserve"> medicinos psichologas, įgijęs universitetinį išsilavinimą ir vadovaudamasis Aprašu, gydytojui psichiatrui skyrus, atlieka asmens psichologinį tyrimą ir tyrimo rezultatus pateikia gydytojui psichiatrui.</w:t>
                  </w:r>
                </w:p>
              </w:sdtContent>
            </w:sdt>
            <w:sdt>
              <w:sdtPr>
                <w:alias w:val="12 pr. 12 p."/>
                <w:tag w:val="part_45757292db98446297646de3a04a550d"/>
                <w:lock w:val="sdtLocked"/>
                <w:richText/>
              </w:sdtPr>
              <w:sdtContent>
                <w:p>
                  <w:pPr>
                    <w:ind w:firstLine="567"/>
                    <w:jc w:val="both"/>
                    <w:rPr>
                      <w:color w:val="000000"/>
                      <w:szCs w:val="24"/>
                      <w:lang w:eastAsia="lt-LT"/>
                    </w:rPr>
                  </w:pPr>
                  <w:sdt>
                    <w:sdtPr>
                      <w:alias w:val="Numeris"/>
                      <w:tag w:val="nr_45757292db98446297646de3a04a550d"/>
                      <w:lock w:val="sdtLocked"/>
                      <w:richText/>
                    </w:sdtPr>
                    <w:sdtContent>
                      <w:r>
                        <w:rPr>
                          <w:color w:val="000000"/>
                          <w:szCs w:val="24"/>
                          <w:lang w:eastAsia="lt-LT"/>
                        </w:rPr>
                        <w:t>12</w:t>
                      </w:r>
                    </w:sdtContent>
                  </w:sdt>
                  <w:r>
                    <w:rPr>
                      <w:color w:val="000000"/>
                      <w:szCs w:val="24"/>
                      <w:lang w:eastAsia="lt-LT"/>
                    </w:rPr>
                    <w:t>.</w:t>
                  </w:r>
                  <w:r>
                    <w:rPr>
                      <w:szCs w:val="24"/>
                    </w:rPr>
                    <w:t xml:space="preserve"> </w:t>
                  </w:r>
                  <w:r>
                    <w:rPr>
                      <w:color w:val="000000"/>
                      <w:szCs w:val="24"/>
                      <w:lang w:eastAsia="lt-LT"/>
                    </w:rPr>
                    <w:t xml:space="preserve">Atlikdami privalomą sveikatos tikrinimą, </w:t>
                  </w:r>
                  <w:r>
                    <w:rPr>
                      <w:szCs w:val="24"/>
                    </w:rPr>
                    <w:t xml:space="preserve">gydytojai, nurodyti Aprašo 9 punkte, įvertina </w:t>
                  </w:r>
                  <w:r>
                    <w:rPr>
                      <w:rFonts w:eastAsia="Calibri"/>
                      <w:szCs w:val="24"/>
                    </w:rPr>
                    <w:t xml:space="preserve">Elektroninės sveikatos paslaugų ir bendradarbiavimo infrastruktūros informacinėje sistemoje (toliau </w:t>
                  </w:r>
                  <w:r>
                    <w:rPr>
                      <w:color w:val="000000"/>
                    </w:rPr>
                    <w:t xml:space="preserve">– </w:t>
                  </w:r>
                  <w:r>
                    <w:rPr>
                      <w:rFonts w:eastAsia="Calibri"/>
                      <w:szCs w:val="24"/>
                    </w:rPr>
                    <w:t xml:space="preserve">ESPBI IS) pateiktus </w:t>
                  </w:r>
                  <w:r>
                    <w:rPr>
                      <w:szCs w:val="24"/>
                    </w:rPr>
                    <w:t>paciento sveikatos duomenis, paskiria tyrimus, nustato jų dažnumą, vadovaudamiesi Aprašu, bei atsako už privalomo sveikatos tikrinimo kokybę</w:t>
                  </w:r>
                  <w:r>
                    <w:rPr>
                      <w:color w:val="000000"/>
                      <w:szCs w:val="24"/>
                      <w:lang w:eastAsia="lt-LT"/>
                    </w:rPr>
                    <w:t>.</w:t>
                  </w:r>
                </w:p>
              </w:sdtContent>
            </w:sdt>
            <w:sdt>
              <w:sdtPr>
                <w:alias w:val="12 pr. 13 p."/>
                <w:tag w:val="part_7187de4b51354128bfa42b5c860a60d4"/>
                <w:lock w:val="sdtLocked"/>
                <w:richText/>
              </w:sdtPr>
              <w:sdtContent>
                <w:p>
                  <w:pPr>
                    <w:ind w:firstLine="567"/>
                    <w:jc w:val="both"/>
                    <w:rPr>
                      <w:color w:val="000000"/>
                      <w:szCs w:val="24"/>
                      <w:lang w:eastAsia="lt-LT"/>
                    </w:rPr>
                  </w:pPr>
                  <w:sdt>
                    <w:sdtPr>
                      <w:alias w:val="Numeris"/>
                      <w:tag w:val="nr_7187de4b51354128bfa42b5c860a60d4"/>
                      <w:lock w:val="sdtLocked"/>
                      <w:richText/>
                    </w:sdtPr>
                    <w:sdtContent>
                      <w:r>
                        <w:rPr>
                          <w:szCs w:val="24"/>
                        </w:rPr>
                        <w:t>13</w:t>
                      </w:r>
                    </w:sdtContent>
                  </w:sdt>
                  <w:r>
                    <w:rPr>
                      <w:szCs w:val="24"/>
                    </w:rPr>
                    <w:t xml:space="preserve">. Privalomą sveikatos patikrinimą atliekantys gydytojai turi teisę gauti informaciją apie tikrinamojo asmens sveikatos būklę iš kitų ASPĮ, o pastarosios tokią informaciją privalo teikti </w:t>
                  </w:r>
                  <w:r>
                    <w:rPr>
                      <w:color w:val="000000"/>
                      <w:szCs w:val="24"/>
                    </w:rPr>
                    <w:t xml:space="preserve">Informacijos apie pacientą valstybės institucijoms ir kitoms įstaigoms teikimo tvarkos aprašo, patvirtinto </w:t>
                  </w:r>
                  <w:r>
                    <w:rPr>
                      <w:szCs w:val="24"/>
                    </w:rPr>
                    <w:t>Lietuvos Respublikos sveikatos apsaugos ministro 2001 m. vasario 1 d. įsakymu Nr. 65 „D</w:t>
                  </w:r>
                  <w:r>
                    <w:rPr>
                      <w:color w:val="000000"/>
                      <w:szCs w:val="24"/>
                      <w:lang w:eastAsia="lt-LT"/>
                    </w:rPr>
                    <w:t xml:space="preserve">ėl Informacijos apie pacientą valstybės institucijoms ir kitoms įstaigoms teikimo tvarkos aprašo patvirtinimo ir asmens sveikatos paslapties kriterijų nustatymo“, </w:t>
                  </w:r>
                  <w:r>
                    <w:rPr>
                      <w:szCs w:val="24"/>
                    </w:rPr>
                    <w:t>nustatyta tvarka.</w:t>
                  </w:r>
                </w:p>
              </w:sdtContent>
            </w:sdt>
            <w:sdt>
              <w:sdtPr>
                <w:alias w:val="12 pr. 14 p."/>
                <w:tag w:val="part_43c8161213bf4ca68de6307c0ed63059"/>
                <w:lock w:val="sdtLocked"/>
                <w:richText/>
              </w:sdtPr>
              <w:sdtContent>
                <w:p>
                  <w:pPr>
                    <w:ind w:firstLine="567"/>
                    <w:jc w:val="both"/>
                    <w:rPr>
                      <w:color w:val="000000"/>
                      <w:szCs w:val="24"/>
                      <w:lang w:eastAsia="lt-LT"/>
                    </w:rPr>
                  </w:pPr>
                  <w:sdt>
                    <w:sdtPr>
                      <w:alias w:val="Numeris"/>
                      <w:tag w:val="nr_43c8161213bf4ca68de6307c0ed63059"/>
                      <w:lock w:val="sdtLocked"/>
                      <w:richText/>
                    </w:sdtPr>
                    <w:sdtContent>
                      <w:r>
                        <w:rPr>
                          <w:color w:val="000000"/>
                          <w:szCs w:val="24"/>
                          <w:lang w:eastAsia="lt-LT"/>
                        </w:rPr>
                        <w:t>14</w:t>
                      </w:r>
                    </w:sdtContent>
                  </w:sdt>
                  <w:r>
                    <w:rPr>
                      <w:color w:val="000000"/>
                      <w:szCs w:val="24"/>
                      <w:lang w:eastAsia="lt-LT"/>
                    </w:rPr>
                    <w:t xml:space="preserve">. Tikrinant traukinio mašinistų ir geležinkeliečių, kurių darbo aplinkoje galima profesinė rizika, sveikatą, vadovaujamasi Asmenų, dirbančių </w:t>
                  </w:r>
                  <w:r>
                    <w:rPr>
                      <w:color w:val="000000"/>
                      <w:szCs w:val="24"/>
                    </w:rPr>
                    <w:t>darbo aplinkoje, kurioje galima profesinė rizika (kenksmingų veiksnių poveikis ir (ar) pavojingas darbas), privalomo sveikatos tikrinimo tvarkos aprašu</w:t>
                  </w:r>
                  <w:r>
                    <w:rPr>
                      <w:color w:val="000000"/>
                      <w:szCs w:val="24"/>
                      <w:lang w:eastAsia="lt-LT"/>
                    </w:rPr>
                    <w:t>, patvirtintu Lietuvos Respublikos sveikatos apsaugos ministro 2000 m. gegužės 31 d. įsakymu Nr. 301 „Dėl profilaktinių sveikatos tikrinimų sveikatos priežiūros įstaigose“ (toliau – Įsakymas Nr. 301).</w:t>
                  </w:r>
                </w:p>
              </w:sdtContent>
            </w:sdt>
            <w:sdt>
              <w:sdtPr>
                <w:alias w:val="12 pr. 15 p."/>
                <w:tag w:val="part_c89e871cdda44f518f8c73250ea21d9a"/>
                <w:lock w:val="sdtLocked"/>
                <w:richText/>
              </w:sdtPr>
              <w:sdtContent>
                <w:p>
                  <w:pPr>
                    <w:tabs>
                      <w:tab w:val="left" w:pos="0"/>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rPr>
                      <w:color w:val="000000"/>
                      <w:szCs w:val="24"/>
                      <w:lang w:eastAsia="lt-LT"/>
                    </w:rPr>
                  </w:pPr>
                  <w:sdt>
                    <w:sdtPr>
                      <w:alias w:val="Numeris"/>
                      <w:tag w:val="nr_c89e871cdda44f518f8c73250ea21d9a"/>
                      <w:lock w:val="sdtLocked"/>
                      <w:richText/>
                    </w:sdtPr>
                    <w:sdtContent>
                      <w:r>
                        <w:rPr>
                          <w:color w:val="000000"/>
                          <w:szCs w:val="24"/>
                        </w:rPr>
                        <w:t>15</w:t>
                      </w:r>
                    </w:sdtContent>
                  </w:sdt>
                  <w:r>
                    <w:rPr>
                      <w:color w:val="000000"/>
                      <w:szCs w:val="24"/>
                    </w:rPr>
                    <w:t>. Privalomo sveikatos tikrinimo duomenys įrašomi paciento elektroniniame dokumente E025 „Ambulatorinio apsilankymo aprašymas“ (toliau – forma Nr. E025), nurodytame Elektroninės sveikatos paslaugų ir bendradarbiavimo infrastruktūros informacinės sistemos naudojimo tvarkos aprašo, patvirtinto Lietuvos Respublikos sveikatos apsaugos ministro 2015 m. gegužės 26 d. įsakymu Nr. V-657 „Dėl Elektroninės sveikatos paslaugų ir bendradarbiavimo infrastruktūros informacinės sistemos naudojimo tvarkos aprašo patvirtinimo“ (toliau – Elektroninės sveikatos paslaugų ir bendradarbiavimo infrastruktūros informacinės sistemos naudojimo tvarkos aprašas), priede, išvada apie darbuotojo profesinį tinkamumą („dirbti gali“ „dirbti gali, bet ribotai“ (nurodant, kaip), „dirbti negali“) – į Privalomo sveikatos patikrinimo medicininės pažymos formą (toliau – forma Nr. 047/a) (įsidarbinančiam) ar Asmens medicininę knygelę (sveikatos pasą) (toliau – forma Nr. 048/a) (dirbančiajam), nurodytas Privalomų sveikatos statistikos apskaitos ir kitų tipinių formų, pildomų sveikatos priežiūros įstaigose, sąraše ir saugojimo terminuose, patvirtintuose Lietuvos Respublikos sveikatos apsaugos ministro 1999 m. lapkričio 29 d. įsakymu Nr. 515 „Dėl sveikatos priežiūros įstaigų veiklos apskaitos ir atskaitomybės tvarkos“, arba į elektroninės statistinės apskaitos formą „Privalomo sveikatos patikrinimo medicininė pažyma“ (toliau – forma Nr.  E047) ar elektroninės statistinės apskaitos formą „Asmens medicininė knygelė (sveikatos pasas)“ (toliau – forma Nr. E048), nurodytas Elektroninės sveikatos paslaugų ir bendradarbiavimo infrastruktūros informacinės sistemos naudojimo tvarkos aprašo priede.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c1d914846111efabdbb4a1fc8b0b63">
                    <w:r w:rsidRPr="00532B9F">
                      <w:rPr>
                        <w:rFonts w:ascii="Times New Roman" w:eastAsia="MS Mincho" w:hAnsi="Times New Roman"/>
                        <w:sz w:val="20"/>
                        <w:i/>
                        <w:iCs/>
                        <w:color w:val="0000FF" w:themeColor="hyperlink"/>
                        <w:u w:val="single"/>
                      </w:rPr>
                      <w:t>V-966</w:t>
                    </w:r>
                  </w:fldSimple>
                  <w:r>
                    <w:rPr>
                      <w:rFonts w:ascii="Times New Roman" w:eastAsia="MS Mincho" w:hAnsi="Times New Roman"/>
                      <w:sz w:val="20"/>
                      <w:i/>
                      <w:iCs/>
                    </w:rPr>
                    <w:t>,
2024-10-07,
paskelbta TAR 2024-10-07, i. k. 2024-17546            </w:t>
                  </w:r>
                </w:p>
                <w:p/>
              </w:sdtContent>
            </w:sdt>
            <w:sdt>
              <w:sdtPr>
                <w:alias w:val="12 pr. 16 p."/>
                <w:tag w:val="part_598fec1947cb4c6a839a4aeccc9d1eec"/>
                <w:lock w:val="sdtLocked"/>
                <w:richText/>
              </w:sdtPr>
              <w:sdtContent>
                <w:p>
                  <w:pPr>
                    <w:tabs>
                      <w:tab w:val="left" w:pos="0"/>
                      <w:tab w:val="left" w:pos="142"/>
                      <w:tab w:val="left" w:pos="1134"/>
                      <w:tab w:val="left" w:pos="1560"/>
                      <w:tab w:val="left" w:pos="243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rPr>
                      <w:color w:val="000000"/>
                      <w:szCs w:val="24"/>
                      <w:lang w:eastAsia="lt-LT"/>
                    </w:rPr>
                  </w:pPr>
                  <w:sdt>
                    <w:sdtPr>
                      <w:alias w:val="Numeris"/>
                      <w:tag w:val="nr_598fec1947cb4c6a839a4aeccc9d1eec"/>
                      <w:lock w:val="sdtLocked"/>
                      <w:richText/>
                    </w:sdtPr>
                    <w:sdtContent>
                      <w:r>
                        <w:rPr>
                          <w:color w:val="000000"/>
                          <w:szCs w:val="24"/>
                        </w:rPr>
                        <w:t>16</w:t>
                      </w:r>
                    </w:sdtContent>
                  </w:sdt>
                  <w:r>
                    <w:rPr>
                      <w:color w:val="000000"/>
                      <w:szCs w:val="24"/>
                    </w:rPr>
                    <w:t>. Gydytojas, privalomo sveikatos tikrinimo metu nustatęs, kad tikrinamas asmuo dėl ribojimų, nurodytų Aprašo 1 lentelėje, arba kitų Apraše nustatytų reikalavimų negali dirbti traukinio mašinistu ar geležinkeliečiu, tikrinimo netęsia ir tikrinimo duomenis bei išvadas įrašo į formą Nr. E025, o išvadą darbdaviui – į formą Nr. 047/a (ar formą Nr. E047) arba į formą Nr. 048/a (ar formą Nr. E048) ir  pasirašo. Pasirašytos formos Nr. 047/a ir Nr. 048/a patvirtinamos gydytojo asmeniniu spaudu bei ASPĮ antspaudu.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c1d914846111efabdbb4a1fc8b0b63">
                    <w:r w:rsidRPr="00532B9F">
                      <w:rPr>
                        <w:rFonts w:ascii="Times New Roman" w:eastAsia="MS Mincho" w:hAnsi="Times New Roman"/>
                        <w:sz w:val="20"/>
                        <w:i/>
                        <w:iCs/>
                        <w:color w:val="0000FF" w:themeColor="hyperlink"/>
                        <w:u w:val="single"/>
                      </w:rPr>
                      <w:t>V-966</w:t>
                    </w:r>
                  </w:fldSimple>
                  <w:r>
                    <w:rPr>
                      <w:rFonts w:ascii="Times New Roman" w:eastAsia="MS Mincho" w:hAnsi="Times New Roman"/>
                      <w:sz w:val="20"/>
                      <w:i/>
                      <w:iCs/>
                    </w:rPr>
                    <w:t>,
2024-10-07,
paskelbta TAR 2024-10-07, i. k. 2024-17546            </w:t>
                  </w:r>
                </w:p>
                <w:p/>
              </w:sdtContent>
            </w:sdt>
            <w:sdt>
              <w:sdtPr>
                <w:alias w:val="12 pr. 17 p."/>
                <w:tag w:val="part_75eec6c5baf44eb1b22d548c4c74685e"/>
                <w:lock w:val="sdtLocked"/>
                <w:richText/>
              </w:sdtPr>
              <w:sdtContent>
                <w:p>
                  <w:pPr>
                    <w:ind w:firstLine="567"/>
                    <w:jc w:val="both"/>
                    <w:rPr>
                      <w:color w:val="000000"/>
                      <w:szCs w:val="24"/>
                      <w:lang w:eastAsia="lt-LT"/>
                    </w:rPr>
                  </w:pPr>
                  <w:sdt>
                    <w:sdtPr>
                      <w:alias w:val="Numeris"/>
                      <w:tag w:val="nr_75eec6c5baf44eb1b22d548c4c74685e"/>
                      <w:lock w:val="sdtLocked"/>
                      <w:richText/>
                    </w:sdtPr>
                    <w:sdtContent>
                      <w:r>
                        <w:rPr>
                          <w:color w:val="000000"/>
                          <w:szCs w:val="24"/>
                          <w:lang w:eastAsia="lt-LT"/>
                        </w:rPr>
                        <w:t>17</w:t>
                      </w:r>
                    </w:sdtContent>
                  </w:sdt>
                  <w:r>
                    <w:rPr>
                      <w:color w:val="000000"/>
                      <w:szCs w:val="24"/>
                      <w:lang w:eastAsia="lt-LT"/>
                    </w:rPr>
                    <w:t xml:space="preserve">. </w:t>
                  </w:r>
                  <w:r>
                    <w:rPr>
                      <w:szCs w:val="24"/>
                    </w:rPr>
                    <w:t>Asmenys, norintys atlikti privalomą sveikatos patikrinimą, ASPĮ pateikia</w:t>
                  </w:r>
                  <w:r>
                    <w:rPr>
                      <w:color w:val="000000"/>
                      <w:szCs w:val="24"/>
                      <w:lang w:eastAsia="lt-LT"/>
                    </w:rPr>
                    <w:t>:</w:t>
                  </w:r>
                </w:p>
                <w:sdt>
                  <w:sdtPr>
                    <w:alias w:val="12 pr. 17.1 pp."/>
                    <w:tag w:val="part_070e91b655b74361a15fddcf1bbe3c5f"/>
                    <w:lock w:val="sdtLocked"/>
                    <w:richText/>
                  </w:sdtPr>
                  <w:sdtContent>
                    <w:p>
                      <w:pPr>
                        <w:ind w:firstLine="567"/>
                        <w:jc w:val="both"/>
                        <w:rPr>
                          <w:color w:val="000000"/>
                          <w:szCs w:val="24"/>
                          <w:lang w:eastAsia="lt-LT"/>
                        </w:rPr>
                      </w:pPr>
                      <w:sdt>
                        <w:sdtPr>
                          <w:alias w:val="Numeris"/>
                          <w:tag w:val="nr_070e91b655b74361a15fddcf1bbe3c5f"/>
                          <w:lock w:val="sdtLocked"/>
                          <w:richText/>
                        </w:sdtPr>
                        <w:sdtContent>
                          <w:r>
                            <w:rPr>
                              <w:color w:val="000000"/>
                              <w:szCs w:val="24"/>
                              <w:lang w:eastAsia="lt-LT"/>
                            </w:rPr>
                            <w:t>17.1</w:t>
                          </w:r>
                        </w:sdtContent>
                      </w:sdt>
                      <w:r>
                        <w:rPr>
                          <w:color w:val="000000"/>
                          <w:szCs w:val="24"/>
                          <w:lang w:eastAsia="lt-LT"/>
                        </w:rPr>
                        <w:t>. asmens tapatybę patvirtinantį dokumentą;</w:t>
                      </w:r>
                    </w:p>
                  </w:sdtContent>
                </w:sdt>
                <w:sdt>
                  <w:sdtPr>
                    <w:alias w:val="12 pr. 17.2 pp."/>
                    <w:tag w:val="part_e9d28705a5384af4b597cae311e56004"/>
                    <w:lock w:val="sdtLocked"/>
                    <w:richText/>
                  </w:sdtPr>
                  <w:sdtContent>
                    <w:p>
                      <w:pPr>
                        <w:ind w:firstLine="567"/>
                        <w:jc w:val="both"/>
                        <w:rPr>
                          <w:color w:val="000000"/>
                          <w:szCs w:val="24"/>
                          <w:lang w:eastAsia="lt-LT"/>
                        </w:rPr>
                      </w:pPr>
                      <w:sdt>
                        <w:sdtPr>
                          <w:alias w:val="Numeris"/>
                          <w:tag w:val="nr_e9d28705a5384af4b597cae311e56004"/>
                          <w:lock w:val="sdtLocked"/>
                          <w:richText/>
                        </w:sdtPr>
                        <w:sdtContent>
                          <w:r>
                            <w:rPr>
                              <w:color w:val="000000"/>
                              <w:szCs w:val="24"/>
                              <w:lang w:eastAsia="lt-LT"/>
                            </w:rPr>
                            <w:t>17.2</w:t>
                          </w:r>
                        </w:sdtContent>
                      </w:sdt>
                      <w:r>
                        <w:rPr>
                          <w:color w:val="000000"/>
                          <w:szCs w:val="24"/>
                          <w:lang w:eastAsia="lt-LT"/>
                        </w:rPr>
                        <w:t xml:space="preserve">. </w:t>
                      </w:r>
                      <w:r>
                        <w:rPr>
                          <w:szCs w:val="24"/>
                        </w:rPr>
                        <w:t>formą Nr. 027/a „Medicinos išrašas/siuntimas“, patvirtintą Lietuvos Respublikos sveikatos apsaugos ministro 2014 m. sausio 27 d. įsakymu Nr. V-120 „Dėl privalomų sveikatos statistikos apskaitos ir kitų tipinių formų bei privalomų sveikatos statistikos ataskaitų formų patvirtinimo“, išduotą jo ASPĮ aptarnaujančio psichikos sveikatos centro gydytojo psichiatro, įvertinusio Aprašo 11 punkte nustatyta tvarka medicinos psichologo atlikto psichologinio tyrimo rezultatus;</w:t>
                      </w:r>
                    </w:p>
                  </w:sdtContent>
                </w:sdt>
                <w:sdt>
                  <w:sdtPr>
                    <w:alias w:val="12 pr. 17.3 pp."/>
                    <w:tag w:val="part_ed1dbbdf21cc4e27816eac2120613ff3"/>
                    <w:lock w:val="sdtLocked"/>
                    <w:richText/>
                  </w:sdtPr>
                  <w:sdtContent>
                    <w:p>
                      <w:pPr>
                        <w:tabs>
                          <w:tab w:val="left" w:pos="0"/>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rPr>
                          <w:color w:val="000000"/>
                          <w:szCs w:val="24"/>
                          <w:lang w:eastAsia="lt-LT"/>
                        </w:rPr>
                      </w:pPr>
                      <w:sdt>
                        <w:sdtPr>
                          <w:alias w:val="Numeris"/>
                          <w:tag w:val="nr_ed1dbbdf21cc4e27816eac2120613ff3"/>
                          <w:lock w:val="sdtLocked"/>
                          <w:richText/>
                        </w:sdtPr>
                        <w:sdtContent>
                          <w:r>
                            <w:rPr>
                              <w:color w:val="000000"/>
                              <w:szCs w:val="24"/>
                              <w:lang w:eastAsia="lt-LT"/>
                            </w:rPr>
                            <w:t>17.3</w:t>
                          </w:r>
                        </w:sdtContent>
                      </w:sdt>
                      <w:r>
                        <w:rPr>
                          <w:color w:val="000000"/>
                          <w:szCs w:val="24"/>
                          <w:lang w:eastAsia="lt-LT"/>
                        </w:rPr>
                        <w:t xml:space="preserve">. darbdaviui atstovaujančio ar jo įgalioto asmens tinkamai užpildytą formą Nr. 047/a, jei privalomai sveikata tikrinama įsidarbinančiam traukinio mašinistui ar įsidarbinančiam geležinkeliečiui, </w:t>
                      </w:r>
                      <w:r>
                        <w:rPr>
                          <w:color w:val="000000"/>
                          <w:szCs w:val="24"/>
                        </w:rPr>
                        <w:t>arba informuoja ASPĮ, kad darbdaviui atstovaujantis ar jo įgaliotas asmuo ESPBI IS formą Nr. E047 užpildė elektroniniu būdu</w:t>
                      </w:r>
                      <w:r>
                        <w:rPr>
                          <w:color w:val="000000"/>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c1d914846111efabdbb4a1fc8b0b63">
                        <w:r w:rsidRPr="00532B9F">
                          <w:rPr>
                            <w:rFonts w:ascii="Times New Roman" w:eastAsia="MS Mincho" w:hAnsi="Times New Roman"/>
                            <w:sz w:val="20"/>
                            <w:i/>
                            <w:iCs/>
                            <w:color w:val="0000FF" w:themeColor="hyperlink"/>
                            <w:u w:val="single"/>
                          </w:rPr>
                          <w:t>V-966</w:t>
                        </w:r>
                      </w:fldSimple>
                      <w:r>
                        <w:rPr>
                          <w:rFonts w:ascii="Times New Roman" w:eastAsia="MS Mincho" w:hAnsi="Times New Roman"/>
                          <w:sz w:val="20"/>
                          <w:i/>
                          <w:iCs/>
                        </w:rPr>
                        <w:t>,
2024-10-07,
paskelbta TAR 2024-10-07, i. k. 2024-17546            </w:t>
                      </w:r>
                    </w:p>
                    <w:p/>
                  </w:sdtContent>
                </w:sdt>
                <w:sdt>
                  <w:sdtPr>
                    <w:alias w:val="12 pr. 17.4 pp."/>
                    <w:tag w:val="part_09389b21e8814de995661fa1afe672a9"/>
                    <w:lock w:val="sdtLocked"/>
                    <w:richText/>
                  </w:sdtPr>
                  <w:sdtContent>
                    <w:p>
                      <w:pPr>
                        <w:ind w:firstLine="567"/>
                        <w:jc w:val="both"/>
                        <w:rPr>
                          <w:color w:val="000000"/>
                          <w:szCs w:val="24"/>
                          <w:lang w:eastAsia="lt-LT"/>
                        </w:rPr>
                      </w:pPr>
                      <w:sdt>
                        <w:sdtPr>
                          <w:alias w:val="Numeris"/>
                          <w:tag w:val="nr_09389b21e8814de995661fa1afe672a9"/>
                          <w:lock w:val="sdtLocked"/>
                          <w:richText/>
                        </w:sdtPr>
                        <w:sdtContent>
                          <w:r>
                            <w:rPr>
                              <w:color w:val="000000"/>
                              <w:szCs w:val="24"/>
                              <w:lang w:eastAsia="lt-LT"/>
                            </w:rPr>
                            <w:t>17.4</w:t>
                          </w:r>
                        </w:sdtContent>
                      </w:sdt>
                      <w:r>
                        <w:rPr>
                          <w:color w:val="000000"/>
                          <w:szCs w:val="24"/>
                          <w:lang w:eastAsia="lt-LT"/>
                        </w:rPr>
                        <w:t xml:space="preserve">. darbdaviui atstovaujančio ar jo įgalioto asmens tinkamai užpildytą formą Nr. 048/a, jei privalomai periodiškai sveikata tikrinama asmeniui, dirbančiam traukinio mašinistu ar geležinkeliečiu, </w:t>
                      </w:r>
                      <w:r>
                        <w:rPr>
                          <w:color w:val="000000"/>
                          <w:szCs w:val="24"/>
                        </w:rPr>
                        <w:t>arba informuoja ASPĮ, kad darbdaviui atstovaujantis ar jo įgaliotas asmuo ESPBI IS formą Nr. E048 užpildė elektroniniu būdu</w:t>
                      </w:r>
                      <w:r>
                        <w:rPr>
                          <w:color w:val="000000"/>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c1d914846111efabdbb4a1fc8b0b63">
                        <w:r w:rsidRPr="00532B9F">
                          <w:rPr>
                            <w:rFonts w:ascii="Times New Roman" w:eastAsia="MS Mincho" w:hAnsi="Times New Roman"/>
                            <w:sz w:val="20"/>
                            <w:i/>
                            <w:iCs/>
                            <w:color w:val="0000FF" w:themeColor="hyperlink"/>
                            <w:u w:val="single"/>
                          </w:rPr>
                          <w:t>V-966</w:t>
                        </w:r>
                      </w:fldSimple>
                      <w:r>
                        <w:rPr>
                          <w:rFonts w:ascii="Times New Roman" w:eastAsia="MS Mincho" w:hAnsi="Times New Roman"/>
                          <w:sz w:val="20"/>
                          <w:i/>
                          <w:iCs/>
                        </w:rPr>
                        <w:t>,
2024-10-07,
paskelbta TAR 2024-10-07, i. k. 2024-17546            </w:t>
                      </w:r>
                    </w:p>
                    <w:p/>
                  </w:sdtContent>
                </w:sdt>
              </w:sdtContent>
            </w:sdt>
            <w:sdt>
              <w:sdtPr>
                <w:alias w:val="12 pr. 18 p."/>
                <w:tag w:val="part_6f86f1de35ae438f8b84ca505d768ff4"/>
                <w:lock w:val="sdtLocked"/>
                <w:richText/>
              </w:sdtPr>
              <w:sdtContent>
                <w:p>
                  <w:pPr>
                    <w:ind w:firstLine="567"/>
                    <w:jc w:val="both"/>
                    <w:rPr>
                      <w:color w:val="000000"/>
                      <w:szCs w:val="24"/>
                      <w:lang w:eastAsia="lt-LT"/>
                    </w:rPr>
                  </w:pPr>
                  <w:sdt>
                    <w:sdtPr>
                      <w:alias w:val="Numeris"/>
                      <w:tag w:val="nr_6f86f1de35ae438f8b84ca505d768ff4"/>
                      <w:lock w:val="sdtLocked"/>
                      <w:richText/>
                    </w:sdtPr>
                    <w:sdtContent>
                      <w:r>
                        <w:rPr>
                          <w:color w:val="000000"/>
                          <w:szCs w:val="24"/>
                          <w:lang w:eastAsia="lt-LT"/>
                        </w:rPr>
                        <w:t>18</w:t>
                      </w:r>
                    </w:sdtContent>
                  </w:sdt>
                  <w:r>
                    <w:rPr>
                      <w:color w:val="000000"/>
                      <w:szCs w:val="24"/>
                      <w:lang w:eastAsia="lt-LT"/>
                    </w:rPr>
                    <w:t>. Galutinę išvadą dėl asmens tinkamumo dirbti traukinio mašinistu ar geležinkeliečiu į formą Nr. E025 įrašo ir pasirašo privalomą sveikatos tikrinimą pradėjęs gydytojas, įvertinęs visų konsultavusių profesinių kvalifikacijų gydytojų išvadas ir tyrimų rezultatus.</w:t>
                  </w:r>
                </w:p>
              </w:sdtContent>
            </w:sdt>
            <w:sdt>
              <w:sdtPr>
                <w:alias w:val="12 pr. 19 p."/>
                <w:tag w:val="part_b1fd8ec24f664da4a1f55136d17b2171"/>
                <w:lock w:val="sdtLocked"/>
                <w:richText/>
              </w:sdtPr>
              <w:sdtContent>
                <w:p>
                  <w:pPr>
                    <w:tabs>
                      <w:tab w:val="left" w:pos="0"/>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rPr>
                      <w:color w:val="000000"/>
                      <w:szCs w:val="24"/>
                      <w:lang w:eastAsia="lt-LT"/>
                    </w:rPr>
                  </w:pPr>
                  <w:sdt>
                    <w:sdtPr>
                      <w:alias w:val="Numeris"/>
                      <w:tag w:val="nr_b1fd8ec24f664da4a1f55136d17b2171"/>
                      <w:lock w:val="sdtLocked"/>
                      <w:richText/>
                    </w:sdtPr>
                    <w:sdtContent>
                      <w:r>
                        <w:rPr>
                          <w:color w:val="000000"/>
                          <w:szCs w:val="24"/>
                          <w:lang w:eastAsia="lt-LT"/>
                        </w:rPr>
                        <w:t>19</w:t>
                      </w:r>
                    </w:sdtContent>
                  </w:sdt>
                  <w:r>
                    <w:rPr>
                      <w:color w:val="000000"/>
                      <w:szCs w:val="24"/>
                      <w:lang w:eastAsia="lt-LT"/>
                    </w:rPr>
                    <w:t xml:space="preserve">. Išvada dėl asmens tinkamumo dirbti traukinio mašinistu ar geležinkeliečiu įrašoma į formą Nr. 047/a </w:t>
                  </w:r>
                  <w:r>
                    <w:rPr>
                      <w:color w:val="000000"/>
                      <w:szCs w:val="24"/>
                    </w:rPr>
                    <w:t xml:space="preserve">(ar formą Nr. E047) </w:t>
                  </w:r>
                  <w:r>
                    <w:rPr>
                      <w:color w:val="000000"/>
                      <w:szCs w:val="24"/>
                      <w:lang w:eastAsia="lt-LT"/>
                    </w:rPr>
                    <w:t xml:space="preserve">arba formą Nr. 048/a </w:t>
                  </w:r>
                  <w:r>
                    <w:rPr>
                      <w:color w:val="000000"/>
                      <w:szCs w:val="24"/>
                    </w:rPr>
                    <w:t xml:space="preserve">(ar formą Nr. E048) </w:t>
                  </w:r>
                  <w:r>
                    <w:rPr>
                      <w:color w:val="000000"/>
                      <w:szCs w:val="24"/>
                      <w:lang w:eastAsia="lt-LT"/>
                    </w:rPr>
                    <w:t xml:space="preserve">ir patvirtinama gydytojo parašu. Išvada </w:t>
                  </w:r>
                  <w:r>
                    <w:rPr>
                      <w:color w:val="000000"/>
                      <w:szCs w:val="24"/>
                    </w:rPr>
                    <w:t>įrašyta formoje Nr. 047/a ar formoje Nr. 048/a taip pat turi būti patvirtinta ir gydytojo asmeniniu spaudu bei ASPĮ antspaudu.</w:t>
                  </w:r>
                  <w:r>
                    <w:rPr>
                      <w:color w:val="000000"/>
                      <w:szCs w:val="24"/>
                      <w:lang w:eastAsia="lt-LT"/>
                    </w:rPr>
                    <w:t xml:space="preserve"> Traukinio mašinisto minimalus amžius nustatytas Geležinkelių transporto eismo saugos įstatymo 32 straipsnio 1 dalyje. Forma Nr. 047/a </w:t>
                  </w:r>
                  <w:r>
                    <w:rPr>
                      <w:color w:val="000000"/>
                      <w:szCs w:val="24"/>
                    </w:rPr>
                    <w:t xml:space="preserve">(ar forma Nr. E047) </w:t>
                  </w:r>
                  <w:r>
                    <w:rPr>
                      <w:color w:val="000000"/>
                      <w:szCs w:val="24"/>
                      <w:lang w:eastAsia="lt-LT"/>
                    </w:rPr>
                    <w:t xml:space="preserve">arba  forma Nr.048/a </w:t>
                  </w:r>
                  <w:r>
                    <w:rPr>
                      <w:color w:val="000000"/>
                      <w:szCs w:val="24"/>
                    </w:rPr>
                    <w:t xml:space="preserve">(ar forma Nr. E047) </w:t>
                  </w:r>
                  <w:r>
                    <w:rPr>
                      <w:color w:val="000000"/>
                      <w:szCs w:val="24"/>
                      <w:lang w:eastAsia="lt-LT"/>
                    </w:rPr>
                    <w:t>gali būti išduodama asmenims, ne daugiau kaip vienais metais jaunesniems nei nustatytas amžius, nuo kurio leidžiama dirbti traukinio mašinistu.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c1d914846111efabdbb4a1fc8b0b63">
                    <w:r w:rsidRPr="00532B9F">
                      <w:rPr>
                        <w:rFonts w:ascii="Times New Roman" w:eastAsia="MS Mincho" w:hAnsi="Times New Roman"/>
                        <w:sz w:val="20"/>
                        <w:i/>
                        <w:iCs/>
                        <w:color w:val="0000FF" w:themeColor="hyperlink"/>
                        <w:u w:val="single"/>
                      </w:rPr>
                      <w:t>V-966</w:t>
                    </w:r>
                  </w:fldSimple>
                  <w:r>
                    <w:rPr>
                      <w:rFonts w:ascii="Times New Roman" w:eastAsia="MS Mincho" w:hAnsi="Times New Roman"/>
                      <w:sz w:val="20"/>
                      <w:i/>
                      <w:iCs/>
                    </w:rPr>
                    <w:t>,
2024-10-07,
paskelbta TAR 2024-10-07, i. k. 2024-17546            </w:t>
                  </w:r>
                </w:p>
                <w:p/>
              </w:sdtContent>
            </w:sdt>
            <w:sdt>
              <w:sdtPr>
                <w:alias w:val="12 pr. 20 p."/>
                <w:tag w:val="part_dc8cab33beea45b28c58822f0f26196f"/>
                <w:lock w:val="sdtLocked"/>
                <w:richText/>
              </w:sdtPr>
              <w:sdtContent>
                <w:p>
                  <w:pPr>
                    <w:tabs>
                      <w:tab w:val="left" w:pos="0"/>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rPr>
                      <w:color w:val="000000"/>
                      <w:szCs w:val="24"/>
                      <w:lang w:eastAsia="lt-LT"/>
                    </w:rPr>
                  </w:pPr>
                  <w:sdt>
                    <w:sdtPr>
                      <w:alias w:val="Numeris"/>
                      <w:tag w:val="nr_dc8cab33beea45b28c58822f0f26196f"/>
                      <w:lock w:val="sdtLocked"/>
                      <w:richText/>
                    </w:sdtPr>
                    <w:sdtContent>
                      <w:r>
                        <w:rPr>
                          <w:color w:val="000000"/>
                          <w:szCs w:val="24"/>
                          <w:lang w:eastAsia="lt-LT"/>
                        </w:rPr>
                        <w:t>20</w:t>
                      </w:r>
                    </w:sdtContent>
                  </w:sdt>
                  <w:r>
                    <w:rPr>
                      <w:color w:val="000000"/>
                      <w:szCs w:val="24"/>
                      <w:lang w:eastAsia="lt-LT"/>
                    </w:rPr>
                    <w:t xml:space="preserve">. Formoje Nr. 047/a </w:t>
                  </w:r>
                  <w:r>
                    <w:rPr>
                      <w:color w:val="000000"/>
                      <w:szCs w:val="24"/>
                    </w:rPr>
                    <w:t xml:space="preserve">(ar formoje Nr. E047) </w:t>
                  </w:r>
                  <w:r>
                    <w:rPr>
                      <w:color w:val="000000"/>
                      <w:szCs w:val="24"/>
                      <w:lang w:eastAsia="lt-LT"/>
                    </w:rPr>
                    <w:t xml:space="preserve">arba formoje Nr. 048/a </w:t>
                  </w:r>
                  <w:r>
                    <w:rPr>
                      <w:color w:val="000000"/>
                      <w:szCs w:val="24"/>
                    </w:rPr>
                    <w:t>(ar formoje Nr. E048)</w:t>
                  </w:r>
                  <w:r>
                    <w:rPr>
                      <w:color w:val="000000"/>
                      <w:szCs w:val="24"/>
                      <w:lang w:eastAsia="lt-LT"/>
                    </w:rPr>
                    <w:t xml:space="preserve"> įrašus turi teisę tikrinti darbdaviui atstovaujantis arba jo įgaliotas asmuo, Valstybinės darbo inspekcijos darbo inspektoriai, ASPĮ vadovai ar jų įgalioti asmenys.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c1d914846111efabdbb4a1fc8b0b63">
                    <w:r w:rsidRPr="00532B9F">
                      <w:rPr>
                        <w:rFonts w:ascii="Times New Roman" w:eastAsia="MS Mincho" w:hAnsi="Times New Roman"/>
                        <w:sz w:val="20"/>
                        <w:i/>
                        <w:iCs/>
                        <w:color w:val="0000FF" w:themeColor="hyperlink"/>
                        <w:u w:val="single"/>
                      </w:rPr>
                      <w:t>V-966</w:t>
                    </w:r>
                  </w:fldSimple>
                  <w:r>
                    <w:rPr>
                      <w:rFonts w:ascii="Times New Roman" w:eastAsia="MS Mincho" w:hAnsi="Times New Roman"/>
                      <w:sz w:val="20"/>
                      <w:i/>
                      <w:iCs/>
                    </w:rPr>
                    <w:t>,
2024-10-07,
paskelbta TAR 2024-10-07, i. k. 2024-17546            </w:t>
                  </w:r>
                </w:p>
                <w:p/>
              </w:sdtContent>
            </w:sdt>
            <w:sdt>
              <w:sdtPr>
                <w:alias w:val="12 pr. 21 p."/>
                <w:tag w:val="part_fd50d5c2f0df48b28f588507fea84942"/>
                <w:lock w:val="sdtLocked"/>
                <w:richText/>
              </w:sdtPr>
              <w:sdtContent>
                <w:p>
                  <w:pPr>
                    <w:ind w:firstLine="567"/>
                    <w:jc w:val="both"/>
                    <w:rPr>
                      <w:strike/>
                      <w:color w:val="000000"/>
                      <w:szCs w:val="24"/>
                      <w:lang w:eastAsia="lt-LT"/>
                    </w:rPr>
                  </w:pPr>
                  <w:sdt>
                    <w:sdtPr>
                      <w:alias w:val="Numeris"/>
                      <w:tag w:val="nr_fd50d5c2f0df48b28f588507fea84942"/>
                      <w:lock w:val="sdtLocked"/>
                      <w:richText/>
                    </w:sdtPr>
                    <w:sdtContent>
                      <w:r>
                        <w:rPr>
                          <w:color w:val="000000"/>
                          <w:szCs w:val="24"/>
                          <w:lang w:eastAsia="lt-LT"/>
                        </w:rPr>
                        <w:t>21</w:t>
                      </w:r>
                    </w:sdtContent>
                  </w:sdt>
                  <w:r>
                    <w:rPr>
                      <w:color w:val="000000"/>
                      <w:szCs w:val="24"/>
                      <w:lang w:eastAsia="lt-LT"/>
                    </w:rPr>
                    <w:t>. Medicininė apžiūra neblaivumui ar apsvaigimui nuo psichiką veikiančių medžiagų nustatyti atliekama vadovaujantis Lietuvos Respublikos sveikatos apsaugos ministro 2006 m. birželio 20 d. įsakymu Nr. V-505 „Dėl Medicininės apžiūros neblaivumui ar apsvaigimui nuo psichiką veikiančių medžiagų nustatyti atlikimo ir Bendros asmens būklės įvertinimo metodikų patvirtinimo“ ir Lietuvos Respublikos Vyriausybės 2006 m. gegužės 12 d. nutarimu Nr. 452 „Dėl Transporto priemones vairuojančių ir kitų asmenų neblaivumo ar apsvaigimo nustatymo taisyklių patvirtinimo ir leidžiamos etilo alkoholio koncentracijos darbo metu nustatymo“.</w:t>
                  </w:r>
                </w:p>
                <w:p>
                  <w:pPr>
                    <w:ind w:firstLine="567"/>
                    <w:jc w:val="both"/>
                    <w:rPr>
                      <w:color w:val="000000"/>
                      <w:szCs w:val="24"/>
                      <w:lang w:eastAsia="lt-LT"/>
                    </w:rPr>
                  </w:pPr>
                </w:p>
              </w:sdtContent>
            </w:sdt>
          </w:sdtContent>
        </w:sdt>
        <w:sdt>
          <w:sdtPr>
            <w:alias w:val="skyrius"/>
            <w:tag w:val="part_979f64942bd34386aeef0416f458511f"/>
            <w:lock w:val="sdtLocked"/>
            <w:richText/>
          </w:sdtPr>
          <w:sdtContent>
            <w:p>
              <w:pPr>
                <w:jc w:val="center"/>
                <w:rPr>
                  <w:b/>
                  <w:bCs/>
                  <w:caps/>
                  <w:color w:val="000000"/>
                  <w:szCs w:val="24"/>
                  <w:lang w:eastAsia="lt-LT"/>
                </w:rPr>
              </w:pPr>
              <w:sdt>
                <w:sdtPr>
                  <w:alias w:val="Numeris"/>
                  <w:tag w:val="nr_979f64942bd34386aeef0416f458511f"/>
                  <w:lock w:val="sdtLocked"/>
                  <w:richText/>
                </w:sdtPr>
                <w:sdtContent>
                  <w:r>
                    <w:rPr>
                      <w:b/>
                      <w:bCs/>
                      <w:caps/>
                      <w:color w:val="000000"/>
                      <w:szCs w:val="24"/>
                      <w:lang w:eastAsia="lt-LT"/>
                    </w:rPr>
                    <w:t>III</w:t>
                  </w:r>
                </w:sdtContent>
              </w:sdt>
              <w:r>
                <w:rPr>
                  <w:b/>
                  <w:bCs/>
                  <w:caps/>
                  <w:color w:val="000000"/>
                  <w:szCs w:val="24"/>
                  <w:lang w:eastAsia="lt-LT"/>
                </w:rPr>
                <w:t xml:space="preserve"> SKYRIUS</w:t>
              </w:r>
            </w:p>
            <w:p>
              <w:pPr>
                <w:jc w:val="center"/>
                <w:rPr>
                  <w:b/>
                  <w:bCs/>
                  <w:color w:val="000000"/>
                  <w:szCs w:val="24"/>
                  <w:lang w:eastAsia="lt-LT"/>
                </w:rPr>
              </w:pPr>
              <w:sdt>
                <w:sdtPr>
                  <w:alias w:val="Pavadinimas"/>
                  <w:tag w:val="title_979f64942bd34386aeef0416f458511f"/>
                  <w:lock w:val="sdtLocked"/>
                  <w:richText/>
                </w:sdtPr>
                <w:sdtContent>
                  <w:r>
                    <w:rPr>
                      <w:b/>
                      <w:bCs/>
                      <w:caps/>
                      <w:color w:val="000000"/>
                      <w:szCs w:val="24"/>
                      <w:lang w:eastAsia="lt-LT"/>
                    </w:rPr>
                    <w:t xml:space="preserve">BENDRIEJI SVEIKATOS BŪKLĖS REIKALAVIMAI </w:t>
                  </w:r>
                </w:sdtContent>
              </w:sdt>
            </w:p>
            <w:p>
              <w:pPr>
                <w:ind w:firstLine="629"/>
                <w:jc w:val="both"/>
                <w:rPr>
                  <w:b/>
                  <w:bCs/>
                  <w:color w:val="000000"/>
                  <w:szCs w:val="24"/>
                  <w:lang w:eastAsia="lt-LT"/>
                </w:rPr>
              </w:pPr>
            </w:p>
            <w:sdt>
              <w:sdtPr>
                <w:alias w:val="12 pr. 22 p."/>
                <w:tag w:val="part_296dd2c7c1a74758a52ca43878c2d59b"/>
                <w:lock w:val="sdtLocked"/>
                <w:richText/>
              </w:sdtPr>
              <w:sdtContent>
                <w:p>
                  <w:pPr>
                    <w:ind w:firstLine="567"/>
                    <w:jc w:val="both"/>
                    <w:rPr>
                      <w:color w:val="000000"/>
                      <w:szCs w:val="24"/>
                      <w:lang w:eastAsia="lt-LT"/>
                    </w:rPr>
                  </w:pPr>
                  <w:sdt>
                    <w:sdtPr>
                      <w:alias w:val="Numeris"/>
                      <w:tag w:val="nr_296dd2c7c1a74758a52ca43878c2d59b"/>
                      <w:lock w:val="sdtLocked"/>
                      <w:richText/>
                    </w:sdtPr>
                    <w:sdtContent>
                      <w:r>
                        <w:rPr>
                          <w:color w:val="000000"/>
                          <w:szCs w:val="24"/>
                          <w:lang w:eastAsia="lt-LT"/>
                        </w:rPr>
                        <w:t>22</w:t>
                      </w:r>
                    </w:sdtContent>
                  </w:sdt>
                  <w:r>
                    <w:rPr>
                      <w:color w:val="000000"/>
                      <w:szCs w:val="24"/>
                      <w:lang w:eastAsia="lt-LT"/>
                    </w:rPr>
                    <w:t>. Traukinio mašinistai ir geležinkeliečiai negali turėti sveikatos sutrikimų arba vartoti vaistų ar medžiagų, kurie galėtų sukelti:</w:t>
                  </w:r>
                </w:p>
                <w:sdt>
                  <w:sdtPr>
                    <w:alias w:val="12 pr. 22.1 pp."/>
                    <w:tag w:val="part_c6b717bf574c45eb814c12943cde7d38"/>
                    <w:lock w:val="sdtLocked"/>
                    <w:richText/>
                  </w:sdtPr>
                  <w:sdtContent>
                    <w:p>
                      <w:pPr>
                        <w:ind w:firstLine="567"/>
                        <w:jc w:val="both"/>
                        <w:rPr>
                          <w:color w:val="000000"/>
                          <w:szCs w:val="24"/>
                          <w:lang w:eastAsia="lt-LT"/>
                        </w:rPr>
                      </w:pPr>
                      <w:sdt>
                        <w:sdtPr>
                          <w:alias w:val="Numeris"/>
                          <w:tag w:val="nr_c6b717bf574c45eb814c12943cde7d38"/>
                          <w:lock w:val="sdtLocked"/>
                          <w:richText/>
                        </w:sdtPr>
                        <w:sdtContent>
                          <w:r>
                            <w:rPr>
                              <w:color w:val="000000"/>
                              <w:szCs w:val="24"/>
                              <w:lang w:eastAsia="lt-LT"/>
                            </w:rPr>
                            <w:t>22.1</w:t>
                          </w:r>
                        </w:sdtContent>
                      </w:sdt>
                      <w:r>
                        <w:rPr>
                          <w:color w:val="000000"/>
                          <w:szCs w:val="24"/>
                          <w:lang w:eastAsia="lt-LT"/>
                        </w:rPr>
                        <w:t>. staigų sąmonės praradimą;</w:t>
                      </w:r>
                    </w:p>
                  </w:sdtContent>
                </w:sdt>
                <w:sdt>
                  <w:sdtPr>
                    <w:alias w:val="12 pr. 22.2 pp."/>
                    <w:tag w:val="part_aad622c11e174c32ab2c49c4ab88ec4b"/>
                    <w:lock w:val="sdtLocked"/>
                    <w:richText/>
                  </w:sdtPr>
                  <w:sdtContent>
                    <w:p>
                      <w:pPr>
                        <w:ind w:firstLine="567"/>
                        <w:jc w:val="both"/>
                        <w:rPr>
                          <w:color w:val="000000"/>
                          <w:szCs w:val="24"/>
                          <w:lang w:eastAsia="lt-LT"/>
                        </w:rPr>
                      </w:pPr>
                      <w:sdt>
                        <w:sdtPr>
                          <w:alias w:val="Numeris"/>
                          <w:tag w:val="nr_aad622c11e174c32ab2c49c4ab88ec4b"/>
                          <w:lock w:val="sdtLocked"/>
                          <w:richText/>
                        </w:sdtPr>
                        <w:sdtContent>
                          <w:r>
                            <w:rPr>
                              <w:color w:val="000000"/>
                              <w:szCs w:val="24"/>
                              <w:lang w:eastAsia="lt-LT"/>
                            </w:rPr>
                            <w:t>22.2</w:t>
                          </w:r>
                        </w:sdtContent>
                      </w:sdt>
                      <w:r>
                        <w:rPr>
                          <w:color w:val="000000"/>
                          <w:szCs w:val="24"/>
                          <w:lang w:eastAsia="lt-LT"/>
                        </w:rPr>
                        <w:t>. atidumo ir susikaupimo sumažėjimą;</w:t>
                      </w:r>
                    </w:p>
                  </w:sdtContent>
                </w:sdt>
                <w:sdt>
                  <w:sdtPr>
                    <w:alias w:val="12 pr. 22.3 pp."/>
                    <w:tag w:val="part_dc7fc68bd3144dc28a1d289cd6982870"/>
                    <w:lock w:val="sdtLocked"/>
                    <w:richText/>
                  </w:sdtPr>
                  <w:sdtContent>
                    <w:p>
                      <w:pPr>
                        <w:ind w:firstLine="567"/>
                        <w:jc w:val="both"/>
                        <w:rPr>
                          <w:color w:val="000000"/>
                          <w:szCs w:val="24"/>
                          <w:lang w:eastAsia="lt-LT"/>
                        </w:rPr>
                      </w:pPr>
                      <w:sdt>
                        <w:sdtPr>
                          <w:alias w:val="Numeris"/>
                          <w:tag w:val="nr_dc7fc68bd3144dc28a1d289cd6982870"/>
                          <w:lock w:val="sdtLocked"/>
                          <w:richText/>
                        </w:sdtPr>
                        <w:sdtContent>
                          <w:r>
                            <w:rPr>
                              <w:color w:val="000000"/>
                              <w:szCs w:val="24"/>
                              <w:lang w:eastAsia="lt-LT"/>
                            </w:rPr>
                            <w:t>22.3</w:t>
                          </w:r>
                        </w:sdtContent>
                      </w:sdt>
                      <w:r>
                        <w:rPr>
                          <w:color w:val="000000"/>
                          <w:szCs w:val="24"/>
                          <w:lang w:eastAsia="lt-LT"/>
                        </w:rPr>
                        <w:t>. staigų nepajėgumą dirbti;</w:t>
                      </w:r>
                    </w:p>
                  </w:sdtContent>
                </w:sdt>
                <w:sdt>
                  <w:sdtPr>
                    <w:alias w:val="12 pr. 22.4 pp."/>
                    <w:tag w:val="part_499d71d45feb4fcf8f193b8e3bd000f8"/>
                    <w:lock w:val="sdtLocked"/>
                    <w:richText/>
                  </w:sdtPr>
                  <w:sdtContent>
                    <w:p>
                      <w:pPr>
                        <w:ind w:firstLine="567"/>
                        <w:jc w:val="both"/>
                        <w:rPr>
                          <w:color w:val="000000"/>
                          <w:szCs w:val="24"/>
                          <w:lang w:eastAsia="lt-LT"/>
                        </w:rPr>
                      </w:pPr>
                      <w:sdt>
                        <w:sdtPr>
                          <w:alias w:val="Numeris"/>
                          <w:tag w:val="nr_499d71d45feb4fcf8f193b8e3bd000f8"/>
                          <w:lock w:val="sdtLocked"/>
                          <w:richText/>
                        </w:sdtPr>
                        <w:sdtContent>
                          <w:r>
                            <w:rPr>
                              <w:color w:val="000000"/>
                              <w:szCs w:val="24"/>
                              <w:lang w:eastAsia="lt-LT"/>
                            </w:rPr>
                            <w:t>22.4</w:t>
                          </w:r>
                        </w:sdtContent>
                      </w:sdt>
                      <w:r>
                        <w:rPr>
                          <w:color w:val="000000"/>
                          <w:szCs w:val="24"/>
                          <w:lang w:eastAsia="lt-LT"/>
                        </w:rPr>
                        <w:t>. pusiausvyros ar koordinacijos pablogėjimą;</w:t>
                      </w:r>
                    </w:p>
                  </w:sdtContent>
                </w:sdt>
                <w:sdt>
                  <w:sdtPr>
                    <w:alias w:val="12 pr. 22.5 pp."/>
                    <w:tag w:val="part_6c3553637aa749559827722ed63f5967"/>
                    <w:lock w:val="sdtLocked"/>
                    <w:richText/>
                  </w:sdtPr>
                  <w:sdtContent>
                    <w:p>
                      <w:pPr>
                        <w:ind w:firstLine="567"/>
                        <w:jc w:val="both"/>
                        <w:rPr>
                          <w:color w:val="000000"/>
                          <w:szCs w:val="24"/>
                          <w:lang w:eastAsia="lt-LT"/>
                        </w:rPr>
                      </w:pPr>
                      <w:sdt>
                        <w:sdtPr>
                          <w:alias w:val="Numeris"/>
                          <w:tag w:val="nr_6c3553637aa749559827722ed63f5967"/>
                          <w:lock w:val="sdtLocked"/>
                          <w:richText/>
                        </w:sdtPr>
                        <w:sdtContent>
                          <w:r>
                            <w:rPr>
                              <w:color w:val="000000"/>
                              <w:szCs w:val="24"/>
                              <w:lang w:eastAsia="lt-LT"/>
                            </w:rPr>
                            <w:t>22.5</w:t>
                          </w:r>
                        </w:sdtContent>
                      </w:sdt>
                      <w:r>
                        <w:rPr>
                          <w:color w:val="000000"/>
                          <w:szCs w:val="24"/>
                          <w:lang w:eastAsia="lt-LT"/>
                        </w:rPr>
                        <w:t>. žymų judumo sumažėjimą (t. y. judumo sumažėjimą, trukdantį įlipti į traukinį ir (ar) vykdyti savo funkcijas).</w:t>
                      </w:r>
                    </w:p>
                  </w:sdtContent>
                </w:sdt>
              </w:sdtContent>
            </w:sdt>
            <w:sdt>
              <w:sdtPr>
                <w:alias w:val="12 pr. 23 p."/>
                <w:tag w:val="part_4aa14005279348769e0efc34de3a0370"/>
                <w:lock w:val="sdtLocked"/>
                <w:richText/>
              </w:sdtPr>
              <w:sdtContent>
                <w:p>
                  <w:pPr>
                    <w:ind w:firstLine="567"/>
                    <w:jc w:val="both"/>
                    <w:rPr>
                      <w:color w:val="000000"/>
                      <w:szCs w:val="24"/>
                      <w:lang w:eastAsia="lt-LT"/>
                    </w:rPr>
                  </w:pPr>
                  <w:sdt>
                    <w:sdtPr>
                      <w:alias w:val="Numeris"/>
                      <w:tag w:val="nr_4aa14005279348769e0efc34de3a0370"/>
                      <w:lock w:val="sdtLocked"/>
                      <w:richText/>
                    </w:sdtPr>
                    <w:sdtContent>
                      <w:r>
                        <w:rPr>
                          <w:color w:val="000000"/>
                          <w:szCs w:val="24"/>
                          <w:lang w:eastAsia="lt-LT"/>
                        </w:rPr>
                        <w:t>23</w:t>
                      </w:r>
                    </w:sdtContent>
                  </w:sdt>
                  <w:r>
                    <w:rPr>
                      <w:color w:val="000000"/>
                      <w:szCs w:val="24"/>
                      <w:lang w:eastAsia="lt-LT"/>
                    </w:rPr>
                    <w:t>. Traukinio mašinistams ir geležinkeliečiams taikomi šie regėjimo reikalavimai:</w:t>
                  </w:r>
                </w:p>
                <w:sdt>
                  <w:sdtPr>
                    <w:alias w:val="12 pr. 23.1 pp."/>
                    <w:tag w:val="part_cd3e8c644c0043bebe2634191d766388"/>
                    <w:lock w:val="sdtLocked"/>
                    <w:richText/>
                  </w:sdtPr>
                  <w:sdtContent>
                    <w:p>
                      <w:pPr>
                        <w:ind w:firstLine="567"/>
                        <w:jc w:val="both"/>
                        <w:rPr>
                          <w:color w:val="000000"/>
                          <w:szCs w:val="24"/>
                          <w:lang w:eastAsia="lt-LT"/>
                        </w:rPr>
                      </w:pPr>
                      <w:sdt>
                        <w:sdtPr>
                          <w:alias w:val="Numeris"/>
                          <w:tag w:val="nr_cd3e8c644c0043bebe2634191d766388"/>
                          <w:lock w:val="sdtLocked"/>
                          <w:richText/>
                        </w:sdtPr>
                        <w:sdtContent>
                          <w:r>
                            <w:rPr>
                              <w:color w:val="000000"/>
                              <w:szCs w:val="24"/>
                              <w:lang w:eastAsia="lt-LT"/>
                            </w:rPr>
                            <w:t>23.1</w:t>
                          </w:r>
                        </w:sdtContent>
                      </w:sdt>
                      <w:r>
                        <w:rPr>
                          <w:color w:val="000000"/>
                          <w:szCs w:val="24"/>
                          <w:lang w:eastAsia="lt-LT"/>
                        </w:rPr>
                        <w:t>. regėjimo į tolį aštrumas su korekcija ar be jos:</w:t>
                      </w:r>
                    </w:p>
                    <w:sdt>
                      <w:sdtPr>
                        <w:alias w:val="12 pr. 23.1.1 pp."/>
                        <w:tag w:val="part_794061509081469f91f31e1d7dd99c06"/>
                        <w:lock w:val="sdtLocked"/>
                        <w:richText/>
                      </w:sdtPr>
                      <w:sdtContent>
                        <w:p>
                          <w:pPr>
                            <w:ind w:firstLine="567"/>
                            <w:jc w:val="both"/>
                            <w:rPr>
                              <w:color w:val="000000"/>
                              <w:szCs w:val="24"/>
                              <w:lang w:eastAsia="lt-LT"/>
                            </w:rPr>
                          </w:pPr>
                          <w:sdt>
                            <w:sdtPr>
                              <w:alias w:val="Numeris"/>
                              <w:tag w:val="nr_794061509081469f91f31e1d7dd99c06"/>
                              <w:lock w:val="sdtLocked"/>
                              <w:richText/>
                            </w:sdtPr>
                            <w:sdtContent>
                              <w:r>
                                <w:rPr>
                                  <w:color w:val="000000"/>
                                  <w:szCs w:val="24"/>
                                  <w:lang w:eastAsia="lt-LT"/>
                                </w:rPr>
                                <w:t>23.1.1</w:t>
                              </w:r>
                            </w:sdtContent>
                          </w:sdt>
                          <w:r>
                            <w:rPr>
                              <w:color w:val="000000"/>
                              <w:szCs w:val="24"/>
                              <w:lang w:eastAsia="lt-LT"/>
                            </w:rPr>
                            <w:t>. traukinio mašinistui – 1,0; blogiau matančios akies – mažiausiai 0,5;</w:t>
                          </w:r>
                        </w:p>
                      </w:sdtContent>
                    </w:sdt>
                    <w:sdt>
                      <w:sdtPr>
                        <w:alias w:val="12 pr. 23.1.2 pp."/>
                        <w:tag w:val="part_27e3e392048c498ea5ea6bd7ad676011"/>
                        <w:lock w:val="sdtLocked"/>
                        <w:richText/>
                      </w:sdtPr>
                      <w:sdtContent>
                        <w:p>
                          <w:pPr>
                            <w:ind w:firstLine="567"/>
                            <w:jc w:val="both"/>
                            <w:rPr>
                              <w:color w:val="000000"/>
                              <w:szCs w:val="24"/>
                              <w:lang w:eastAsia="lt-LT"/>
                            </w:rPr>
                          </w:pPr>
                          <w:sdt>
                            <w:sdtPr>
                              <w:alias w:val="Numeris"/>
                              <w:tag w:val="nr_27e3e392048c498ea5ea6bd7ad676011"/>
                              <w:lock w:val="sdtLocked"/>
                              <w:richText/>
                            </w:sdtPr>
                            <w:sdtContent>
                              <w:r>
                                <w:rPr>
                                  <w:color w:val="000000"/>
                                  <w:szCs w:val="24"/>
                                  <w:lang w:eastAsia="lt-LT"/>
                                </w:rPr>
                                <w:t>23.1.2</w:t>
                              </w:r>
                            </w:sdtContent>
                          </w:sdt>
                          <w:r>
                            <w:rPr>
                              <w:color w:val="000000"/>
                              <w:szCs w:val="24"/>
                              <w:lang w:eastAsia="lt-LT"/>
                            </w:rPr>
                            <w:t>. geležinkeliečiui – 0,8 (dešinė akis + kairė akis – tiriama atskirai); mažiausias blogiau matančios akies regėjimo aštrumas 0,3;</w:t>
                          </w:r>
                        </w:p>
                      </w:sdtContent>
                    </w:sdt>
                  </w:sdtContent>
                </w:sdt>
                <w:sdt>
                  <w:sdtPr>
                    <w:alias w:val="12 pr. 23.2 pp."/>
                    <w:tag w:val="part_b9a7d777621d4ea8bc071adf6a908570"/>
                    <w:lock w:val="sdtLocked"/>
                    <w:richText/>
                  </w:sdtPr>
                  <w:sdtContent>
                    <w:p>
                      <w:pPr>
                        <w:ind w:firstLine="567"/>
                        <w:jc w:val="both"/>
                        <w:rPr>
                          <w:color w:val="000000"/>
                          <w:szCs w:val="24"/>
                          <w:lang w:eastAsia="lt-LT"/>
                        </w:rPr>
                      </w:pPr>
                      <w:sdt>
                        <w:sdtPr>
                          <w:alias w:val="Numeris"/>
                          <w:tag w:val="nr_b9a7d777621d4ea8bc071adf6a908570"/>
                          <w:lock w:val="sdtLocked"/>
                          <w:richText/>
                        </w:sdtPr>
                        <w:sdtContent>
                          <w:r>
                            <w:rPr>
                              <w:color w:val="000000"/>
                              <w:szCs w:val="24"/>
                              <w:lang w:eastAsia="lt-LT"/>
                            </w:rPr>
                            <w:t>23.2</w:t>
                          </w:r>
                        </w:sdtContent>
                      </w:sdt>
                      <w:r>
                        <w:rPr>
                          <w:color w:val="000000"/>
                          <w:szCs w:val="24"/>
                          <w:lang w:eastAsia="lt-LT"/>
                        </w:rPr>
                        <w:t>. korekciniams lęšiams taikomi maksimumai: +5 (toliaregystė) / -8 (trumparegystė); išimtis galima daryti ypatingais atvejais, gavus gydytojo oftalmologo išvadą, šiuo atveju sprendimą priima gydytojas oftalmologas;</w:t>
                      </w:r>
                    </w:p>
                  </w:sdtContent>
                </w:sdt>
                <w:sdt>
                  <w:sdtPr>
                    <w:alias w:val="12 pr. 23.3 pp."/>
                    <w:tag w:val="part_8427a6bc6a184aaaa5d0d4d8aa371c59"/>
                    <w:lock w:val="sdtLocked"/>
                    <w:richText/>
                  </w:sdtPr>
                  <w:sdtContent>
                    <w:p>
                      <w:pPr>
                        <w:ind w:firstLine="567"/>
                        <w:jc w:val="both"/>
                        <w:rPr>
                          <w:color w:val="000000"/>
                          <w:szCs w:val="24"/>
                          <w:lang w:eastAsia="lt-LT"/>
                        </w:rPr>
                      </w:pPr>
                      <w:sdt>
                        <w:sdtPr>
                          <w:alias w:val="Numeris"/>
                          <w:tag w:val="nr_8427a6bc6a184aaaa5d0d4d8aa371c59"/>
                          <w:lock w:val="sdtLocked"/>
                          <w:richText/>
                        </w:sdtPr>
                        <w:sdtContent>
                          <w:r>
                            <w:rPr>
                              <w:color w:val="000000"/>
                              <w:szCs w:val="24"/>
                              <w:lang w:eastAsia="lt-LT"/>
                            </w:rPr>
                            <w:t>23.3</w:t>
                          </w:r>
                        </w:sdtContent>
                      </w:sdt>
                      <w:r>
                        <w:rPr>
                          <w:color w:val="000000"/>
                          <w:szCs w:val="24"/>
                          <w:lang w:eastAsia="lt-LT"/>
                        </w:rPr>
                        <w:t>. regėjimas trumpu ir vidutiniu atstumu: pakankamas, su korekcija ar be jos;</w:t>
                      </w:r>
                    </w:p>
                  </w:sdtContent>
                </w:sdt>
                <w:sdt>
                  <w:sdtPr>
                    <w:alias w:val="12 pr. 23.4 pp."/>
                    <w:tag w:val="part_47c4c32ec1fb4a58b548ea3e2b0339c9"/>
                    <w:lock w:val="sdtLocked"/>
                    <w:richText/>
                  </w:sdtPr>
                  <w:sdtContent>
                    <w:p>
                      <w:pPr>
                        <w:ind w:firstLine="567"/>
                        <w:jc w:val="both"/>
                        <w:rPr>
                          <w:color w:val="000000"/>
                          <w:szCs w:val="24"/>
                          <w:lang w:eastAsia="lt-LT"/>
                        </w:rPr>
                      </w:pPr>
                      <w:sdt>
                        <w:sdtPr>
                          <w:alias w:val="Numeris"/>
                          <w:tag w:val="nr_47c4c32ec1fb4a58b548ea3e2b0339c9"/>
                          <w:lock w:val="sdtLocked"/>
                          <w:richText/>
                        </w:sdtPr>
                        <w:sdtContent>
                          <w:r>
                            <w:rPr>
                              <w:color w:val="000000"/>
                              <w:szCs w:val="24"/>
                              <w:lang w:eastAsia="lt-LT"/>
                            </w:rPr>
                            <w:t>23.4</w:t>
                          </w:r>
                        </w:sdtContent>
                      </w:sdt>
                      <w:r>
                        <w:rPr>
                          <w:color w:val="000000"/>
                          <w:szCs w:val="24"/>
                          <w:lang w:eastAsia="lt-LT"/>
                        </w:rPr>
                        <w:t>. leidžiama naudoti:</w:t>
                      </w:r>
                    </w:p>
                    <w:sdt>
                      <w:sdtPr>
                        <w:alias w:val="12 pr. 23.4.1 pp."/>
                        <w:tag w:val="part_c6a5adac038a4b3daff9473167641287"/>
                        <w:lock w:val="sdtLocked"/>
                        <w:richText/>
                      </w:sdtPr>
                      <w:sdtContent>
                        <w:p>
                          <w:pPr>
                            <w:ind w:firstLine="567"/>
                            <w:jc w:val="both"/>
                            <w:rPr>
                              <w:color w:val="000000"/>
                              <w:szCs w:val="24"/>
                              <w:lang w:eastAsia="lt-LT"/>
                            </w:rPr>
                          </w:pPr>
                          <w:sdt>
                            <w:sdtPr>
                              <w:alias w:val="Numeris"/>
                              <w:tag w:val="nr_c6a5adac038a4b3daff9473167641287"/>
                              <w:lock w:val="sdtLocked"/>
                              <w:richText/>
                            </w:sdtPr>
                            <w:sdtContent>
                              <w:r>
                                <w:rPr>
                                  <w:color w:val="000000"/>
                                  <w:szCs w:val="24"/>
                                  <w:lang w:eastAsia="lt-LT"/>
                                </w:rPr>
                                <w:t>23.4.1</w:t>
                              </w:r>
                            </w:sdtContent>
                          </w:sdt>
                          <w:r>
                            <w:rPr>
                              <w:color w:val="000000"/>
                              <w:szCs w:val="24"/>
                              <w:lang w:eastAsia="lt-LT"/>
                            </w:rPr>
                            <w:t>. traukinio mašinistui – kontaktinius lęšius ar akinius, jei regėjimą periodiškai tikrina gydytojas oftalmologas;</w:t>
                          </w:r>
                        </w:p>
                      </w:sdtContent>
                    </w:sdt>
                    <w:sdt>
                      <w:sdtPr>
                        <w:alias w:val="12 pr. 23.4.2 pp."/>
                        <w:tag w:val="part_7c0650c591ee4ec6ae7a85b4fa8656f0"/>
                        <w:lock w:val="sdtLocked"/>
                        <w:richText/>
                      </w:sdtPr>
                      <w:sdtContent>
                        <w:p>
                          <w:pPr>
                            <w:ind w:firstLine="567"/>
                            <w:jc w:val="both"/>
                            <w:rPr>
                              <w:color w:val="000000"/>
                              <w:szCs w:val="24"/>
                              <w:lang w:eastAsia="lt-LT"/>
                            </w:rPr>
                          </w:pPr>
                          <w:sdt>
                            <w:sdtPr>
                              <w:alias w:val="Numeris"/>
                              <w:tag w:val="nr_7c0650c591ee4ec6ae7a85b4fa8656f0"/>
                              <w:lock w:val="sdtLocked"/>
                              <w:richText/>
                            </w:sdtPr>
                            <w:sdtContent>
                              <w:r>
                                <w:rPr>
                                  <w:color w:val="000000"/>
                                  <w:szCs w:val="24"/>
                                  <w:lang w:eastAsia="lt-LT"/>
                                </w:rPr>
                                <w:t>23.4.2</w:t>
                              </w:r>
                            </w:sdtContent>
                          </w:sdt>
                          <w:r>
                            <w:rPr>
                              <w:color w:val="000000"/>
                              <w:szCs w:val="24"/>
                              <w:lang w:eastAsia="lt-LT"/>
                            </w:rPr>
                            <w:t>. geležinkeliečiui – kontaktinius lęšius ar akinius;</w:t>
                          </w:r>
                        </w:p>
                      </w:sdtContent>
                    </w:sdt>
                  </w:sdtContent>
                </w:sdt>
                <w:sdt>
                  <w:sdtPr>
                    <w:alias w:val="12 pr. 23.5 pp."/>
                    <w:tag w:val="part_3c7132d4722745e1b201fda340975cf9"/>
                    <w:lock w:val="sdtLocked"/>
                    <w:richText/>
                  </w:sdtPr>
                  <w:sdtContent>
                    <w:p>
                      <w:pPr>
                        <w:ind w:firstLine="567"/>
                        <w:jc w:val="both"/>
                        <w:rPr>
                          <w:color w:val="000000"/>
                          <w:szCs w:val="24"/>
                          <w:lang w:eastAsia="lt-LT"/>
                        </w:rPr>
                      </w:pPr>
                      <w:sdt>
                        <w:sdtPr>
                          <w:alias w:val="Numeris"/>
                          <w:tag w:val="nr_3c7132d4722745e1b201fda340975cf9"/>
                          <w:lock w:val="sdtLocked"/>
                          <w:richText/>
                        </w:sdtPr>
                        <w:sdtContent>
                          <w:r>
                            <w:rPr>
                              <w:color w:val="000000"/>
                              <w:szCs w:val="24"/>
                              <w:lang w:eastAsia="lt-LT"/>
                            </w:rPr>
                            <w:t>23.5</w:t>
                          </w:r>
                        </w:sdtContent>
                      </w:sdt>
                      <w:r>
                        <w:rPr>
                          <w:color w:val="000000"/>
                          <w:szCs w:val="24"/>
                          <w:lang w:eastAsia="lt-LT"/>
                        </w:rPr>
                        <w:t>. normalus spalvų jutimas: naudojamas pripažintas testas, pvz., Išiharos testas, ir prireikus kitas pripažintas testas;</w:t>
                      </w:r>
                    </w:p>
                  </w:sdtContent>
                </w:sdt>
                <w:sdt>
                  <w:sdtPr>
                    <w:alias w:val="12 pr. 23.6 pp."/>
                    <w:tag w:val="part_81e83439b21c4dc785e2aa42c3d6ac1c"/>
                    <w:lock w:val="sdtLocked"/>
                    <w:richText/>
                  </w:sdtPr>
                  <w:sdtContent>
                    <w:p>
                      <w:pPr>
                        <w:ind w:firstLine="567"/>
                        <w:jc w:val="both"/>
                        <w:rPr>
                          <w:color w:val="000000"/>
                          <w:szCs w:val="24"/>
                          <w:lang w:eastAsia="lt-LT"/>
                        </w:rPr>
                      </w:pPr>
                      <w:sdt>
                        <w:sdtPr>
                          <w:alias w:val="Numeris"/>
                          <w:tag w:val="nr_81e83439b21c4dc785e2aa42c3d6ac1c"/>
                          <w:lock w:val="sdtLocked"/>
                          <w:richText/>
                        </w:sdtPr>
                        <w:sdtContent>
                          <w:r>
                            <w:rPr>
                              <w:color w:val="000000"/>
                              <w:szCs w:val="24"/>
                              <w:lang w:eastAsia="lt-LT"/>
                            </w:rPr>
                            <w:t>23.6</w:t>
                          </w:r>
                        </w:sdtContent>
                      </w:sdt>
                      <w:r>
                        <w:rPr>
                          <w:color w:val="000000"/>
                          <w:szCs w:val="24"/>
                          <w:lang w:eastAsia="lt-LT"/>
                        </w:rPr>
                        <w:t>. regos laukas: visas (</w:t>
                      </w:r>
                      <w:r>
                        <w:rPr>
                          <w:color w:val="000000"/>
                          <w:szCs w:val="24"/>
                        </w:rPr>
                        <w:t>regos horizontalus laukas turėtų būti ne mažesnis kaip 120</w:t>
                      </w:r>
                      <w:r>
                        <w:rPr>
                          <w:i/>
                          <w:iCs/>
                          <w:color w:val="000000"/>
                          <w:szCs w:val="24"/>
                        </w:rPr>
                        <w:t> </w:t>
                      </w:r>
                      <w:r>
                        <w:rPr>
                          <w:color w:val="000000"/>
                          <w:szCs w:val="24"/>
                        </w:rPr>
                        <w:t>laipsnių, regos lauko plotis</w:t>
                      </w:r>
                      <w:r>
                        <w:rPr>
                          <w:i/>
                          <w:iCs/>
                          <w:color w:val="000000"/>
                          <w:szCs w:val="24"/>
                        </w:rPr>
                        <w:t> </w:t>
                      </w:r>
                      <w:r>
                        <w:rPr>
                          <w:color w:val="000000"/>
                          <w:szCs w:val="24"/>
                        </w:rPr>
                        <w:t>– ne mažesnis kaip 50</w:t>
                      </w:r>
                      <w:r>
                        <w:rPr>
                          <w:i/>
                          <w:iCs/>
                          <w:color w:val="000000"/>
                          <w:szCs w:val="24"/>
                        </w:rPr>
                        <w:t> </w:t>
                      </w:r>
                      <w:r>
                        <w:rPr>
                          <w:color w:val="000000"/>
                          <w:szCs w:val="24"/>
                        </w:rPr>
                        <w:t>laipsnių į kairę ir į dešinę ir 20</w:t>
                      </w:r>
                      <w:r>
                        <w:rPr>
                          <w:i/>
                          <w:iCs/>
                          <w:color w:val="000000"/>
                          <w:szCs w:val="24"/>
                        </w:rPr>
                        <w:t> </w:t>
                      </w:r>
                      <w:r>
                        <w:rPr>
                          <w:color w:val="000000"/>
                          <w:szCs w:val="24"/>
                        </w:rPr>
                        <w:t>laipsnių į viršų ir žemyn; centriniame 20</w:t>
                      </w:r>
                      <w:r>
                        <w:rPr>
                          <w:i/>
                          <w:iCs/>
                          <w:color w:val="000000"/>
                          <w:szCs w:val="24"/>
                        </w:rPr>
                        <w:t> </w:t>
                      </w:r>
                      <w:r>
                        <w:rPr>
                          <w:color w:val="000000"/>
                          <w:szCs w:val="24"/>
                        </w:rPr>
                        <w:t>laipsnių regėjimo spindulyje neturėtų būti jokių regėjimo defektų bei anomalijų galinčių turėti įtakos darbui)</w:t>
                      </w:r>
                      <w:r>
                        <w:rPr>
                          <w:color w:val="000000"/>
                          <w:szCs w:val="24"/>
                          <w:lang w:eastAsia="lt-LT"/>
                        </w:rPr>
                        <w:t>;</w:t>
                      </w:r>
                    </w:p>
                  </w:sdtContent>
                </w:sdt>
                <w:sdt>
                  <w:sdtPr>
                    <w:alias w:val="12 pr. 23.7 pp."/>
                    <w:tag w:val="part_3605ec3be7c3436d9cc363f609e7c9c5"/>
                    <w:lock w:val="sdtLocked"/>
                    <w:richText/>
                  </w:sdtPr>
                  <w:sdtContent>
                    <w:p>
                      <w:pPr>
                        <w:ind w:firstLine="567"/>
                        <w:jc w:val="both"/>
                        <w:rPr>
                          <w:color w:val="000000"/>
                          <w:szCs w:val="24"/>
                          <w:lang w:eastAsia="lt-LT"/>
                        </w:rPr>
                      </w:pPr>
                      <w:sdt>
                        <w:sdtPr>
                          <w:alias w:val="Numeris"/>
                          <w:tag w:val="nr_3605ec3be7c3436d9cc363f609e7c9c5"/>
                          <w:lock w:val="sdtLocked"/>
                          <w:richText/>
                        </w:sdtPr>
                        <w:sdtContent>
                          <w:r>
                            <w:rPr>
                              <w:color w:val="000000"/>
                              <w:szCs w:val="24"/>
                              <w:lang w:eastAsia="lt-LT"/>
                            </w:rPr>
                            <w:t>23.7</w:t>
                          </w:r>
                        </w:sdtContent>
                      </w:sdt>
                      <w:r>
                        <w:rPr>
                          <w:color w:val="000000"/>
                          <w:szCs w:val="24"/>
                          <w:lang w:eastAsia="lt-LT"/>
                        </w:rPr>
                        <w:t>. regėjimas abiem akimis:</w:t>
                      </w:r>
                    </w:p>
                    <w:sdt>
                      <w:sdtPr>
                        <w:alias w:val="12 pr. 23.7.1 pp."/>
                        <w:tag w:val="part_ebb8558d4da84353ae56dd5f5733efc5"/>
                        <w:lock w:val="sdtLocked"/>
                        <w:richText/>
                      </w:sdtPr>
                      <w:sdtContent>
                        <w:p>
                          <w:pPr>
                            <w:ind w:left="851" w:hanging="284"/>
                            <w:jc w:val="both"/>
                            <w:rPr>
                              <w:color w:val="000000"/>
                              <w:szCs w:val="24"/>
                              <w:lang w:eastAsia="lt-LT"/>
                            </w:rPr>
                          </w:pPr>
                          <w:sdt>
                            <w:sdtPr>
                              <w:alias w:val="Numeris"/>
                              <w:tag w:val="nr_ebb8558d4da84353ae56dd5f5733efc5"/>
                              <w:lock w:val="sdtLocked"/>
                              <w:richText/>
                            </w:sdtPr>
                            <w:sdtContent>
                              <w:r>
                                <w:rPr>
                                  <w:color w:val="000000"/>
                                  <w:szCs w:val="24"/>
                                  <w:lang w:eastAsia="lt-LT"/>
                                </w:rPr>
                                <w:t>23.7.1</w:t>
                              </w:r>
                            </w:sdtContent>
                          </w:sdt>
                          <w:r>
                            <w:rPr>
                              <w:color w:val="000000"/>
                              <w:szCs w:val="24"/>
                              <w:lang w:eastAsia="lt-LT"/>
                            </w:rPr>
                            <w:t>. traukinio mašinistui – efektyvus;</w:t>
                          </w:r>
                        </w:p>
                      </w:sdtContent>
                    </w:sdt>
                    <w:sdt>
                      <w:sdtPr>
                        <w:alias w:val="12 pr. 23.7.2 pp."/>
                        <w:tag w:val="part_64baf8b620b74bc6a04130d22ccfb414"/>
                        <w:lock w:val="sdtLocked"/>
                        <w:richText/>
                      </w:sdtPr>
                      <w:sdtContent>
                        <w:p>
                          <w:pPr>
                            <w:ind w:firstLine="567"/>
                            <w:jc w:val="both"/>
                            <w:rPr>
                              <w:color w:val="000000"/>
                              <w:szCs w:val="24"/>
                              <w:lang w:eastAsia="lt-LT"/>
                            </w:rPr>
                          </w:pPr>
                          <w:sdt>
                            <w:sdtPr>
                              <w:alias w:val="Numeris"/>
                              <w:tag w:val="nr_64baf8b620b74bc6a04130d22ccfb414"/>
                              <w:lock w:val="sdtLocked"/>
                              <w:richText/>
                            </w:sdtPr>
                            <w:sdtContent>
                              <w:r>
                                <w:rPr>
                                  <w:color w:val="000000"/>
                                  <w:szCs w:val="24"/>
                                  <w:lang w:eastAsia="lt-LT"/>
                                </w:rPr>
                                <w:t>23.7.2</w:t>
                              </w:r>
                            </w:sdtContent>
                          </w:sdt>
                          <w:r>
                            <w:rPr>
                              <w:color w:val="000000"/>
                              <w:szCs w:val="24"/>
                              <w:lang w:eastAsia="lt-LT"/>
                            </w:rPr>
                            <w:t>. geležinkeliečiui – yra;</w:t>
                          </w:r>
                        </w:p>
                      </w:sdtContent>
                    </w:sdt>
                  </w:sdtContent>
                </w:sdt>
                <w:sdt>
                  <w:sdtPr>
                    <w:alias w:val="12 pr. 23.8 pp."/>
                    <w:tag w:val="part_947a50083c7c41cfb62ba3057fdf0e5c"/>
                    <w:lock w:val="sdtLocked"/>
                    <w:richText/>
                  </w:sdtPr>
                  <w:sdtContent>
                    <w:p>
                      <w:pPr>
                        <w:ind w:firstLine="567"/>
                        <w:jc w:val="both"/>
                        <w:rPr>
                          <w:color w:val="000000"/>
                          <w:szCs w:val="24"/>
                          <w:lang w:eastAsia="lt-LT"/>
                        </w:rPr>
                      </w:pPr>
                      <w:sdt>
                        <w:sdtPr>
                          <w:alias w:val="Numeris"/>
                          <w:tag w:val="nr_947a50083c7c41cfb62ba3057fdf0e5c"/>
                          <w:lock w:val="sdtLocked"/>
                          <w:richText/>
                        </w:sdtPr>
                        <w:sdtContent>
                          <w:r>
                            <w:rPr>
                              <w:color w:val="000000"/>
                              <w:szCs w:val="24"/>
                              <w:lang w:eastAsia="lt-LT"/>
                            </w:rPr>
                            <w:t>23.8</w:t>
                          </w:r>
                        </w:sdtContent>
                      </w:sdt>
                      <w:r>
                        <w:rPr>
                          <w:color w:val="000000"/>
                          <w:szCs w:val="24"/>
                          <w:lang w:eastAsia="lt-LT"/>
                        </w:rPr>
                        <w:t>. abiakis matymas (binokulinis):</w:t>
                      </w:r>
                    </w:p>
                    <w:sdt>
                      <w:sdtPr>
                        <w:alias w:val="12 pr. 23.8.1 pp."/>
                        <w:tag w:val="part_10c1aed1a6e44ea99fae9e1e5ee2f0e6"/>
                        <w:lock w:val="sdtLocked"/>
                        <w:richText/>
                      </w:sdtPr>
                      <w:sdtContent>
                        <w:p>
                          <w:pPr>
                            <w:ind w:firstLine="567"/>
                            <w:jc w:val="both"/>
                            <w:rPr>
                              <w:color w:val="000000"/>
                              <w:szCs w:val="24"/>
                              <w:lang w:eastAsia="lt-LT"/>
                            </w:rPr>
                          </w:pPr>
                          <w:sdt>
                            <w:sdtPr>
                              <w:alias w:val="Numeris"/>
                              <w:tag w:val="nr_10c1aed1a6e44ea99fae9e1e5ee2f0e6"/>
                              <w:lock w:val="sdtLocked"/>
                              <w:richText/>
                            </w:sdtPr>
                            <w:sdtContent>
                              <w:r>
                                <w:rPr>
                                  <w:color w:val="000000"/>
                                  <w:szCs w:val="24"/>
                                  <w:lang w:eastAsia="lt-LT"/>
                                </w:rPr>
                                <w:t>23.8.1</w:t>
                              </w:r>
                            </w:sdtContent>
                          </w:sdt>
                          <w:r>
                            <w:rPr>
                              <w:color w:val="000000"/>
                              <w:szCs w:val="24"/>
                              <w:lang w:eastAsia="lt-LT"/>
                            </w:rPr>
                            <w:t>. traukinio mašinistui – yra (efektyvus);</w:t>
                          </w:r>
                        </w:p>
                      </w:sdtContent>
                    </w:sdt>
                    <w:sdt>
                      <w:sdtPr>
                        <w:alias w:val="12 pr. 23.8.2 pp."/>
                        <w:tag w:val="part_8ef1aa65cd8b4bb1b4541bee03fd8cd4"/>
                        <w:lock w:val="sdtLocked"/>
                        <w:richText/>
                      </w:sdtPr>
                      <w:sdtContent>
                        <w:p>
                          <w:pPr>
                            <w:ind w:firstLine="567"/>
                            <w:jc w:val="both"/>
                            <w:rPr>
                              <w:color w:val="000000"/>
                              <w:szCs w:val="24"/>
                              <w:lang w:eastAsia="lt-LT"/>
                            </w:rPr>
                          </w:pPr>
                          <w:sdt>
                            <w:sdtPr>
                              <w:alias w:val="Numeris"/>
                              <w:tag w:val="nr_8ef1aa65cd8b4bb1b4541bee03fd8cd4"/>
                              <w:lock w:val="sdtLocked"/>
                              <w:richText/>
                            </w:sdtPr>
                            <w:sdtContent>
                              <w:r>
                                <w:rPr>
                                  <w:color w:val="000000"/>
                                  <w:szCs w:val="24"/>
                                  <w:lang w:eastAsia="lt-LT"/>
                                </w:rPr>
                                <w:t>23.8.2</w:t>
                              </w:r>
                            </w:sdtContent>
                          </w:sdt>
                          <w:r>
                            <w:rPr>
                              <w:color w:val="000000"/>
                              <w:szCs w:val="24"/>
                              <w:lang w:eastAsia="lt-LT"/>
                            </w:rPr>
                            <w:t>. geležinkeliečiui – yra;</w:t>
                          </w:r>
                        </w:p>
                      </w:sdtContent>
                    </w:sdt>
                  </w:sdtContent>
                </w:sdt>
                <w:sdt>
                  <w:sdtPr>
                    <w:alias w:val="12 pr. 23.9 pp."/>
                    <w:tag w:val="part_e6ba5e0ec76a45688a319d730dbf0413"/>
                    <w:lock w:val="sdtLocked"/>
                    <w:richText/>
                  </w:sdtPr>
                  <w:sdtContent>
                    <w:p>
                      <w:pPr>
                        <w:ind w:firstLine="567"/>
                        <w:jc w:val="both"/>
                        <w:rPr>
                          <w:color w:val="000000"/>
                          <w:szCs w:val="24"/>
                          <w:lang w:eastAsia="lt-LT"/>
                        </w:rPr>
                      </w:pPr>
                      <w:sdt>
                        <w:sdtPr>
                          <w:alias w:val="Numeris"/>
                          <w:tag w:val="nr_e6ba5e0ec76a45688a319d730dbf0413"/>
                          <w:lock w:val="sdtLocked"/>
                          <w:richText/>
                        </w:sdtPr>
                        <w:sdtContent>
                          <w:r>
                            <w:rPr>
                              <w:color w:val="000000"/>
                              <w:szCs w:val="24"/>
                              <w:lang w:eastAsia="lt-LT"/>
                            </w:rPr>
                            <w:t>23.9</w:t>
                          </w:r>
                        </w:sdtContent>
                      </w:sdt>
                      <w:r>
                        <w:rPr>
                          <w:color w:val="000000"/>
                          <w:szCs w:val="24"/>
                          <w:lang w:eastAsia="lt-LT"/>
                        </w:rPr>
                        <w:t>. traukinio mašinistui – spalvų signalų atpažinimas: testas grindžiamas atskirų spalvų atpažinimu, o ne reliatyviais skirtumais;</w:t>
                      </w:r>
                    </w:p>
                  </w:sdtContent>
                </w:sdt>
                <w:sdt>
                  <w:sdtPr>
                    <w:alias w:val="12 pr. 23.10 pp."/>
                    <w:tag w:val="part_a443ffde998f46e69a243f5a7ba41942"/>
                    <w:lock w:val="sdtLocked"/>
                    <w:richText/>
                  </w:sdtPr>
                  <w:sdtContent>
                    <w:p>
                      <w:pPr>
                        <w:ind w:firstLine="567"/>
                        <w:jc w:val="both"/>
                        <w:rPr>
                          <w:color w:val="000000"/>
                          <w:szCs w:val="24"/>
                          <w:lang w:eastAsia="lt-LT"/>
                        </w:rPr>
                      </w:pPr>
                      <w:sdt>
                        <w:sdtPr>
                          <w:alias w:val="Numeris"/>
                          <w:tag w:val="nr_a443ffde998f46e69a243f5a7ba41942"/>
                          <w:lock w:val="sdtLocked"/>
                          <w:richText/>
                        </w:sdtPr>
                        <w:sdtContent>
                          <w:r>
                            <w:rPr>
                              <w:color w:val="000000"/>
                              <w:szCs w:val="24"/>
                              <w:lang w:eastAsia="lt-LT"/>
                            </w:rPr>
                            <w:t>23.10</w:t>
                          </w:r>
                        </w:sdtContent>
                      </w:sdt>
                      <w:r>
                        <w:rPr>
                          <w:color w:val="000000"/>
                          <w:szCs w:val="24"/>
                          <w:lang w:eastAsia="lt-LT"/>
                        </w:rPr>
                        <w:t>. kontrastų jutimas traukinio mašinistui ir geležinkeliečiui – geras;</w:t>
                      </w:r>
                    </w:p>
                  </w:sdtContent>
                </w:sdt>
                <w:sdt>
                  <w:sdtPr>
                    <w:alias w:val="12 pr. 23.11 pp."/>
                    <w:tag w:val="part_daecce9ef2c64104ab1d1f74879eda2c"/>
                    <w:lock w:val="sdtLocked"/>
                    <w:richText/>
                  </w:sdtPr>
                  <w:sdtContent>
                    <w:p>
                      <w:pPr>
                        <w:ind w:firstLine="567"/>
                        <w:jc w:val="both"/>
                        <w:rPr>
                          <w:color w:val="000000"/>
                          <w:szCs w:val="24"/>
                          <w:lang w:eastAsia="lt-LT"/>
                        </w:rPr>
                      </w:pPr>
                      <w:sdt>
                        <w:sdtPr>
                          <w:alias w:val="Numeris"/>
                          <w:tag w:val="nr_daecce9ef2c64104ab1d1f74879eda2c"/>
                          <w:lock w:val="sdtLocked"/>
                          <w:richText/>
                        </w:sdtPr>
                        <w:sdtContent>
                          <w:r>
                            <w:rPr>
                              <w:color w:val="000000"/>
                              <w:szCs w:val="24"/>
                              <w:lang w:eastAsia="lt-LT"/>
                            </w:rPr>
                            <w:t>23.11</w:t>
                          </w:r>
                        </w:sdtContent>
                      </w:sdt>
                      <w:r>
                        <w:rPr>
                          <w:color w:val="000000"/>
                          <w:szCs w:val="24"/>
                          <w:lang w:eastAsia="lt-LT"/>
                        </w:rPr>
                        <w:t>. progresuojančios akių ligos – nėra;</w:t>
                      </w:r>
                    </w:p>
                  </w:sdtContent>
                </w:sdt>
                <w:sdt>
                  <w:sdtPr>
                    <w:alias w:val="12 pr. 23.12 pp."/>
                    <w:tag w:val="part_5b15c798048e40998e1de33517c16562"/>
                    <w:lock w:val="sdtLocked"/>
                    <w:richText/>
                  </w:sdtPr>
                  <w:sdtContent>
                    <w:p>
                      <w:pPr>
                        <w:ind w:firstLine="567"/>
                        <w:jc w:val="both"/>
                        <w:rPr>
                          <w:color w:val="000000"/>
                          <w:szCs w:val="24"/>
                          <w:lang w:eastAsia="lt-LT"/>
                        </w:rPr>
                      </w:pPr>
                      <w:sdt>
                        <w:sdtPr>
                          <w:alias w:val="Numeris"/>
                          <w:tag w:val="nr_5b15c798048e40998e1de33517c16562"/>
                          <w:lock w:val="sdtLocked"/>
                          <w:richText/>
                        </w:sdtPr>
                        <w:sdtContent>
                          <w:r>
                            <w:rPr>
                              <w:color w:val="000000"/>
                              <w:szCs w:val="24"/>
                              <w:lang w:eastAsia="lt-LT"/>
                            </w:rPr>
                            <w:t>23.12</w:t>
                          </w:r>
                        </w:sdtContent>
                      </w:sdt>
                      <w:r>
                        <w:rPr>
                          <w:color w:val="000000"/>
                          <w:szCs w:val="24"/>
                          <w:lang w:eastAsia="lt-LT"/>
                        </w:rPr>
                        <w:t>. lęšių implantai, atliktos keratotomijos ir keratektomijos operacijos leistinos tik tuo atveju, jei kasmet arba gydytojo oftalmologo nustatytu periodiškumu konsultuojama, tikrinamas operacijų poveikis akims;</w:t>
                      </w:r>
                    </w:p>
                  </w:sdtContent>
                </w:sdt>
                <w:sdt>
                  <w:sdtPr>
                    <w:alias w:val="12 pr. 23.13 pp."/>
                    <w:tag w:val="part_395705d6c6d543c5b37a6e3370f826eb"/>
                    <w:lock w:val="sdtLocked"/>
                    <w:richText/>
                  </w:sdtPr>
                  <w:sdtContent>
                    <w:p>
                      <w:pPr>
                        <w:ind w:firstLine="567"/>
                        <w:jc w:val="both"/>
                        <w:rPr>
                          <w:color w:val="000000"/>
                          <w:szCs w:val="24"/>
                          <w:lang w:eastAsia="lt-LT"/>
                        </w:rPr>
                      </w:pPr>
                      <w:sdt>
                        <w:sdtPr>
                          <w:alias w:val="Numeris"/>
                          <w:tag w:val="nr_395705d6c6d543c5b37a6e3370f826eb"/>
                          <w:lock w:val="sdtLocked"/>
                          <w:richText/>
                        </w:sdtPr>
                        <w:sdtContent>
                          <w:r>
                            <w:rPr>
                              <w:color w:val="000000"/>
                              <w:szCs w:val="24"/>
                              <w:lang w:eastAsia="lt-LT"/>
                            </w:rPr>
                            <w:t>23.13</w:t>
                          </w:r>
                        </w:sdtContent>
                      </w:sdt>
                      <w:r>
                        <w:rPr>
                          <w:color w:val="000000"/>
                          <w:szCs w:val="24"/>
                          <w:lang w:eastAsia="lt-LT"/>
                        </w:rPr>
                        <w:t>. traukinio mašinistui – atsparumas akinimui;</w:t>
                      </w:r>
                    </w:p>
                  </w:sdtContent>
                </w:sdt>
                <w:sdt>
                  <w:sdtPr>
                    <w:alias w:val="12 pr. 23.14 pp."/>
                    <w:tag w:val="part_af03487a1bba4d67b8f77ee5db88bc7e"/>
                    <w:lock w:val="sdtLocked"/>
                    <w:richText/>
                  </w:sdtPr>
                  <w:sdtContent>
                    <w:p>
                      <w:pPr>
                        <w:ind w:firstLine="567"/>
                        <w:jc w:val="both"/>
                        <w:rPr>
                          <w:color w:val="000000"/>
                          <w:szCs w:val="24"/>
                          <w:lang w:eastAsia="lt-LT"/>
                        </w:rPr>
                      </w:pPr>
                      <w:sdt>
                        <w:sdtPr>
                          <w:alias w:val="Numeris"/>
                          <w:tag w:val="nr_af03487a1bba4d67b8f77ee5db88bc7e"/>
                          <w:lock w:val="sdtLocked"/>
                          <w:richText/>
                        </w:sdtPr>
                        <w:sdtContent>
                          <w:r>
                            <w:rPr>
                              <w:color w:val="000000"/>
                              <w:szCs w:val="24"/>
                              <w:lang w:eastAsia="lt-LT"/>
                            </w:rPr>
                            <w:t>23.14</w:t>
                          </w:r>
                        </w:sdtContent>
                      </w:sdt>
                      <w:r>
                        <w:rPr>
                          <w:color w:val="000000"/>
                          <w:szCs w:val="24"/>
                          <w:lang w:eastAsia="lt-LT"/>
                        </w:rPr>
                        <w:t>. traukinio mašinistui – draudžiama naudoti spalvotus kontaktinius lęšius ir fotochrominius lęšius, leidžiama naudoti lęšius su UV filtru.</w:t>
                      </w:r>
                    </w:p>
                  </w:sdtContent>
                </w:sdt>
              </w:sdtContent>
            </w:sdt>
            <w:sdt>
              <w:sdtPr>
                <w:alias w:val="12 pr. 24 p."/>
                <w:tag w:val="part_2e10b6c3105f4bf0a03dcadc2aca85eb"/>
                <w:lock w:val="sdtLocked"/>
                <w:richText/>
              </w:sdtPr>
              <w:sdtContent>
                <w:p>
                  <w:pPr>
                    <w:ind w:firstLine="567"/>
                    <w:jc w:val="both"/>
                    <w:rPr>
                      <w:color w:val="000000"/>
                      <w:szCs w:val="24"/>
                      <w:lang w:eastAsia="lt-LT"/>
                    </w:rPr>
                  </w:pPr>
                  <w:sdt>
                    <w:sdtPr>
                      <w:alias w:val="Numeris"/>
                      <w:tag w:val="nr_2e10b6c3105f4bf0a03dcadc2aca85eb"/>
                      <w:lock w:val="sdtLocked"/>
                      <w:richText/>
                    </w:sdtPr>
                    <w:sdtContent>
                      <w:r>
                        <w:rPr>
                          <w:color w:val="000000"/>
                          <w:szCs w:val="24"/>
                          <w:lang w:eastAsia="lt-LT"/>
                        </w:rPr>
                        <w:t>24</w:t>
                      </w:r>
                    </w:sdtContent>
                  </w:sdt>
                  <w:r>
                    <w:rPr>
                      <w:color w:val="000000"/>
                      <w:szCs w:val="24"/>
                      <w:lang w:eastAsia="lt-LT"/>
                    </w:rPr>
                    <w:t>. Turi būti laikomasi šių</w:t>
                  </w:r>
                  <w:r>
                    <w:t xml:space="preserve"> </w:t>
                  </w:r>
                  <w:r>
                    <w:rPr>
                      <w:color w:val="000000"/>
                      <w:szCs w:val="24"/>
                      <w:lang w:eastAsia="lt-LT"/>
                    </w:rPr>
                    <w:t>traukinio mašinistų ir geležinkeliečių klausai ir kalbėjimui taikomų reikalavimų:</w:t>
                  </w:r>
                </w:p>
                <w:sdt>
                  <w:sdtPr>
                    <w:alias w:val="12 pr. 24.1 pp."/>
                    <w:tag w:val="part_c682db752eb6435987782b7795a5a541"/>
                    <w:lock w:val="sdtLocked"/>
                    <w:richText/>
                  </w:sdtPr>
                  <w:sdtContent>
                    <w:p>
                      <w:pPr>
                        <w:ind w:firstLine="567"/>
                        <w:jc w:val="both"/>
                        <w:rPr>
                          <w:color w:val="000000"/>
                          <w:szCs w:val="24"/>
                          <w:lang w:eastAsia="lt-LT"/>
                        </w:rPr>
                      </w:pPr>
                      <w:sdt>
                        <w:sdtPr>
                          <w:alias w:val="Numeris"/>
                          <w:tag w:val="nr_c682db752eb6435987782b7795a5a541"/>
                          <w:lock w:val="sdtLocked"/>
                          <w:richText/>
                        </w:sdtPr>
                        <w:sdtContent>
                          <w:r>
                            <w:rPr>
                              <w:color w:val="000000"/>
                              <w:szCs w:val="24"/>
                              <w:lang w:eastAsia="lt-LT"/>
                            </w:rPr>
                            <w:t>24.1</w:t>
                          </w:r>
                        </w:sdtContent>
                      </w:sdt>
                      <w:r>
                        <w:rPr>
                          <w:color w:val="000000"/>
                          <w:szCs w:val="24"/>
                          <w:lang w:eastAsia="lt-LT"/>
                        </w:rPr>
                        <w:t>. traukinio mašinistui ir geležinkeliečiui: pakankama, audiograma patvirtinta klausa, t. y. pakankama klausa kalbėtis telefonu ir gebėjimas išgirsti pavojaus signalus bei radijo pranešimus. Orientacinės reikšmės yra šios:</w:t>
                      </w:r>
                    </w:p>
                    <w:sdt>
                      <w:sdtPr>
                        <w:alias w:val="12 pr. 24.1.1 pp."/>
                        <w:tag w:val="part_2ee986ef09144020aff38962e0bd3aba"/>
                        <w:lock w:val="sdtLocked"/>
                        <w:richText/>
                      </w:sdtPr>
                      <w:sdtContent>
                        <w:p>
                          <w:pPr>
                            <w:ind w:firstLine="567"/>
                            <w:jc w:val="both"/>
                            <w:rPr>
                              <w:color w:val="000000"/>
                              <w:szCs w:val="24"/>
                              <w:lang w:eastAsia="lt-LT"/>
                            </w:rPr>
                          </w:pPr>
                          <w:sdt>
                            <w:sdtPr>
                              <w:alias w:val="Numeris"/>
                              <w:tag w:val="nr_2ee986ef09144020aff38962e0bd3aba"/>
                              <w:lock w:val="sdtLocked"/>
                              <w:richText/>
                            </w:sdtPr>
                            <w:sdtContent>
                              <w:r>
                                <w:rPr>
                                  <w:color w:val="000000"/>
                                  <w:szCs w:val="24"/>
                                  <w:lang w:eastAsia="lt-LT"/>
                                </w:rPr>
                                <w:t>24.1.1</w:t>
                              </w:r>
                            </w:sdtContent>
                          </w:sdt>
                          <w:r>
                            <w:rPr>
                              <w:color w:val="000000"/>
                              <w:szCs w:val="24"/>
                              <w:lang w:eastAsia="lt-LT"/>
                            </w:rPr>
                            <w:t>. klausos sutrikimo laipsnis neturi viršyti 40 dB, esant 500 ir 1 000 Hz dažniui;</w:t>
                          </w:r>
                        </w:p>
                      </w:sdtContent>
                    </w:sdt>
                    <w:sdt>
                      <w:sdtPr>
                        <w:alias w:val="12 pr. 24.1.2 pp."/>
                        <w:tag w:val="part_359ec0d5d94b4eec87477b6f6e5d47eb"/>
                        <w:lock w:val="sdtLocked"/>
                        <w:richText/>
                      </w:sdtPr>
                      <w:sdtContent>
                        <w:p>
                          <w:pPr>
                            <w:ind w:firstLine="567"/>
                            <w:jc w:val="both"/>
                            <w:rPr>
                              <w:color w:val="000000"/>
                              <w:szCs w:val="24"/>
                              <w:lang w:eastAsia="lt-LT"/>
                            </w:rPr>
                          </w:pPr>
                          <w:sdt>
                            <w:sdtPr>
                              <w:alias w:val="Numeris"/>
                              <w:tag w:val="nr_359ec0d5d94b4eec87477b6f6e5d47eb"/>
                              <w:lock w:val="sdtLocked"/>
                              <w:richText/>
                            </w:sdtPr>
                            <w:sdtContent>
                              <w:r>
                                <w:rPr>
                                  <w:color w:val="000000"/>
                                  <w:szCs w:val="24"/>
                                  <w:lang w:eastAsia="lt-LT"/>
                                </w:rPr>
                                <w:t>24.1.2</w:t>
                              </w:r>
                            </w:sdtContent>
                          </w:sdt>
                          <w:r>
                            <w:rPr>
                              <w:color w:val="000000"/>
                              <w:szCs w:val="24"/>
                              <w:lang w:eastAsia="lt-LT"/>
                            </w:rPr>
                            <w:t>. tos ausies, kurioje oro laidumas garsui yra blogesnis, klausos sutrikimo laipsnis neturi viršyti 45 dB, esant 2 000 Hz dažniui;</w:t>
                          </w:r>
                        </w:p>
                      </w:sdtContent>
                    </w:sdt>
                  </w:sdtContent>
                </w:sdt>
                <w:sdt>
                  <w:sdtPr>
                    <w:alias w:val="12 pr. 24.2 pp."/>
                    <w:tag w:val="part_f2e2de960d6c4f01811ddabedd572013"/>
                    <w:lock w:val="sdtLocked"/>
                    <w:richText/>
                  </w:sdtPr>
                  <w:sdtContent>
                    <w:p>
                      <w:pPr>
                        <w:ind w:firstLine="567"/>
                        <w:jc w:val="both"/>
                        <w:rPr>
                          <w:color w:val="000000"/>
                          <w:szCs w:val="24"/>
                          <w:lang w:eastAsia="lt-LT"/>
                        </w:rPr>
                      </w:pPr>
                      <w:sdt>
                        <w:sdtPr>
                          <w:alias w:val="Numeris"/>
                          <w:tag w:val="nr_f2e2de960d6c4f01811ddabedd572013"/>
                          <w:lock w:val="sdtLocked"/>
                          <w:richText/>
                        </w:sdtPr>
                        <w:sdtContent>
                          <w:r>
                            <w:rPr>
                              <w:color w:val="000000"/>
                              <w:szCs w:val="24"/>
                              <w:lang w:eastAsia="lt-LT"/>
                            </w:rPr>
                            <w:t>24.2</w:t>
                          </w:r>
                        </w:sdtContent>
                      </w:sdt>
                      <w:r>
                        <w:rPr>
                          <w:color w:val="000000"/>
                          <w:szCs w:val="24"/>
                          <w:lang w:eastAsia="lt-LT"/>
                        </w:rPr>
                        <w:t>. traukinio mašinistui: neturi būti jokių vestibulinės sistemos anomalijų;</w:t>
                      </w:r>
                    </w:p>
                  </w:sdtContent>
                </w:sdt>
                <w:sdt>
                  <w:sdtPr>
                    <w:alias w:val="12 pr. 24.3 pp."/>
                    <w:tag w:val="part_201f1f1665bf40c58247b87b09e6af0d"/>
                    <w:lock w:val="sdtLocked"/>
                    <w:richText/>
                  </w:sdtPr>
                  <w:sdtContent>
                    <w:p>
                      <w:pPr>
                        <w:ind w:firstLine="567"/>
                        <w:jc w:val="both"/>
                        <w:rPr>
                          <w:color w:val="000000"/>
                          <w:szCs w:val="24"/>
                          <w:lang w:eastAsia="lt-LT"/>
                        </w:rPr>
                      </w:pPr>
                      <w:sdt>
                        <w:sdtPr>
                          <w:alias w:val="Numeris"/>
                          <w:tag w:val="nr_201f1f1665bf40c58247b87b09e6af0d"/>
                          <w:lock w:val="sdtLocked"/>
                          <w:richText/>
                        </w:sdtPr>
                        <w:sdtContent>
                          <w:r>
                            <w:rPr>
                              <w:color w:val="000000"/>
                              <w:szCs w:val="24"/>
                              <w:lang w:eastAsia="lt-LT"/>
                            </w:rPr>
                            <w:t>24.3</w:t>
                          </w:r>
                        </w:sdtContent>
                      </w:sdt>
                      <w:r>
                        <w:rPr>
                          <w:color w:val="000000"/>
                          <w:szCs w:val="24"/>
                          <w:lang w:eastAsia="lt-LT"/>
                        </w:rPr>
                        <w:t>. traukinio mašinistui: neleistini jokie lėtiniai kalbos sutrikimai (dėl būtinybės garsiai ir aiškiai perduoti pranešimus);</w:t>
                      </w:r>
                    </w:p>
                  </w:sdtContent>
                </w:sdt>
                <w:sdt>
                  <w:sdtPr>
                    <w:alias w:val="12 pr. 24.4 pp."/>
                    <w:tag w:val="part_f0524ffc02d74e64bc753f5e50ede54a"/>
                    <w:lock w:val="sdtLocked"/>
                    <w:richText/>
                  </w:sdtPr>
                  <w:sdtContent>
                    <w:p>
                      <w:pPr>
                        <w:ind w:firstLine="567"/>
                        <w:jc w:val="both"/>
                        <w:rPr>
                          <w:color w:val="000000"/>
                          <w:szCs w:val="24"/>
                          <w:lang w:eastAsia="lt-LT"/>
                        </w:rPr>
                      </w:pPr>
                      <w:sdt>
                        <w:sdtPr>
                          <w:alias w:val="Numeris"/>
                          <w:tag w:val="nr_f0524ffc02d74e64bc753f5e50ede54a"/>
                          <w:lock w:val="sdtLocked"/>
                          <w:richText/>
                        </w:sdtPr>
                        <w:sdtContent>
                          <w:r>
                            <w:rPr>
                              <w:color w:val="000000"/>
                              <w:szCs w:val="24"/>
                              <w:lang w:eastAsia="lt-LT"/>
                            </w:rPr>
                            <w:t>24.4</w:t>
                          </w:r>
                        </w:sdtContent>
                      </w:sdt>
                      <w:r>
                        <w:rPr>
                          <w:color w:val="000000"/>
                          <w:szCs w:val="24"/>
                          <w:lang w:eastAsia="lt-LT"/>
                        </w:rPr>
                        <w:t>. traukinio mašinistui: ypatingais atvejais (jeigu nėra triukšmo ir vibracijos kenksmingų rizikos veiksnių poveikio) leidžiama naudoti klausos aparatus.</w:t>
                      </w:r>
                    </w:p>
                  </w:sdtContent>
                </w:sdt>
              </w:sdtContent>
            </w:sdt>
            <w:sdt>
              <w:sdtPr>
                <w:alias w:val="12 pr. 25 p."/>
                <w:tag w:val="part_f65463c93a7a419a89d4433758972acc"/>
                <w:lock w:val="sdtLocked"/>
                <w:richText/>
              </w:sdtPr>
              <w:sdtContent>
                <w:p>
                  <w:pPr>
                    <w:ind w:firstLine="567"/>
                    <w:jc w:val="both"/>
                    <w:rPr>
                      <w:color w:val="000000"/>
                      <w:szCs w:val="24"/>
                      <w:lang w:eastAsia="lt-LT"/>
                    </w:rPr>
                  </w:pPr>
                  <w:sdt>
                    <w:sdtPr>
                      <w:alias w:val="Numeris"/>
                      <w:tag w:val="nr_f65463c93a7a419a89d4433758972acc"/>
                      <w:lock w:val="sdtLocked"/>
                      <w:richText/>
                    </w:sdtPr>
                    <w:sdtContent>
                      <w:r>
                        <w:rPr>
                          <w:color w:val="000000"/>
                          <w:szCs w:val="24"/>
                          <w:lang w:eastAsia="lt-LT"/>
                        </w:rPr>
                        <w:t>25</w:t>
                      </w:r>
                    </w:sdtContent>
                  </w:sdt>
                  <w:r>
                    <w:rPr>
                      <w:color w:val="000000"/>
                      <w:szCs w:val="24"/>
                      <w:lang w:eastAsia="lt-LT"/>
                    </w:rPr>
                    <w:t>. Minimalūs traukinio mašinistų ir geležinkeliečių psichologinio tinkamumo reikalavimai:</w:t>
                  </w:r>
                </w:p>
                <w:sdt>
                  <w:sdtPr>
                    <w:alias w:val="12 pr. 25.1 pp."/>
                    <w:tag w:val="part_4deaa2a6fd724495b87e54a3d766b9b6"/>
                    <w:lock w:val="sdtLocked"/>
                    <w:richText/>
                  </w:sdtPr>
                  <w:sdtContent>
                    <w:p>
                      <w:pPr>
                        <w:ind w:firstLine="567"/>
                        <w:jc w:val="both"/>
                        <w:rPr>
                          <w:color w:val="000000"/>
                          <w:szCs w:val="24"/>
                          <w:lang w:eastAsia="lt-LT"/>
                        </w:rPr>
                      </w:pPr>
                      <w:sdt>
                        <w:sdtPr>
                          <w:alias w:val="Numeris"/>
                          <w:tag w:val="nr_4deaa2a6fd724495b87e54a3d766b9b6"/>
                          <w:lock w:val="sdtLocked"/>
                          <w:richText/>
                        </w:sdtPr>
                        <w:sdtContent>
                          <w:r>
                            <w:rPr>
                              <w:color w:val="000000"/>
                              <w:szCs w:val="24"/>
                              <w:lang w:eastAsia="lt-LT"/>
                            </w:rPr>
                            <w:t>25.1</w:t>
                          </w:r>
                        </w:sdtContent>
                      </w:sdt>
                      <w:r>
                        <w:rPr>
                          <w:color w:val="000000"/>
                          <w:szCs w:val="24"/>
                          <w:lang w:eastAsia="lt-LT"/>
                        </w:rPr>
                        <w:t>. normalus arba greitas reakcijos laikas;</w:t>
                      </w:r>
                    </w:p>
                  </w:sdtContent>
                </w:sdt>
                <w:sdt>
                  <w:sdtPr>
                    <w:alias w:val="12 pr. 25.2 pp."/>
                    <w:tag w:val="part_7a4fdeac136d4811857d08d0f39ebdca"/>
                    <w:lock w:val="sdtLocked"/>
                    <w:richText/>
                  </w:sdtPr>
                  <w:sdtContent>
                    <w:p>
                      <w:pPr>
                        <w:ind w:firstLine="567"/>
                        <w:jc w:val="both"/>
                        <w:rPr>
                          <w:color w:val="000000"/>
                          <w:szCs w:val="24"/>
                          <w:lang w:eastAsia="lt-LT"/>
                        </w:rPr>
                      </w:pPr>
                      <w:sdt>
                        <w:sdtPr>
                          <w:alias w:val="Numeris"/>
                          <w:tag w:val="nr_7a4fdeac136d4811857d08d0f39ebdca"/>
                          <w:lock w:val="sdtLocked"/>
                          <w:richText/>
                        </w:sdtPr>
                        <w:sdtContent>
                          <w:r>
                            <w:rPr>
                              <w:color w:val="000000"/>
                              <w:szCs w:val="24"/>
                              <w:lang w:eastAsia="lt-LT"/>
                            </w:rPr>
                            <w:t>25.2</w:t>
                          </w:r>
                        </w:sdtContent>
                      </w:sdt>
                      <w:r>
                        <w:rPr>
                          <w:color w:val="000000"/>
                          <w:szCs w:val="24"/>
                          <w:lang w:eastAsia="lt-LT"/>
                        </w:rPr>
                        <w:t>. adekvatus regimųjų ir girdimųjų stimulų suvokimas;</w:t>
                      </w:r>
                    </w:p>
                  </w:sdtContent>
                </w:sdt>
                <w:sdt>
                  <w:sdtPr>
                    <w:alias w:val="12 pr. 25.3 pp."/>
                    <w:tag w:val="part_28f8b93c9fd64f1296689ea957fcfb2a"/>
                    <w:lock w:val="sdtLocked"/>
                    <w:richText/>
                  </w:sdtPr>
                  <w:sdtContent>
                    <w:p>
                      <w:pPr>
                        <w:ind w:firstLine="567"/>
                        <w:jc w:val="both"/>
                        <w:rPr>
                          <w:color w:val="000000"/>
                          <w:szCs w:val="24"/>
                          <w:lang w:eastAsia="lt-LT"/>
                        </w:rPr>
                      </w:pPr>
                      <w:sdt>
                        <w:sdtPr>
                          <w:alias w:val="Numeris"/>
                          <w:tag w:val="nr_28f8b93c9fd64f1296689ea957fcfb2a"/>
                          <w:lock w:val="sdtLocked"/>
                          <w:richText/>
                        </w:sdtPr>
                        <w:sdtContent>
                          <w:r>
                            <w:rPr>
                              <w:color w:val="000000"/>
                              <w:szCs w:val="24"/>
                              <w:lang w:eastAsia="lt-LT"/>
                            </w:rPr>
                            <w:t>25.3</w:t>
                          </w:r>
                        </w:sdtContent>
                      </w:sdt>
                      <w:r>
                        <w:rPr>
                          <w:color w:val="000000"/>
                          <w:szCs w:val="24"/>
                          <w:lang w:eastAsia="lt-LT"/>
                        </w:rPr>
                        <w:t>. normalus vidutinis kalbos tempas, aiškus žodžių tarimas, pakankamas instrukcijų suvokimas;</w:t>
                      </w:r>
                    </w:p>
                  </w:sdtContent>
                </w:sdt>
                <w:sdt>
                  <w:sdtPr>
                    <w:alias w:val="12 pr. 25.4 pp."/>
                    <w:tag w:val="part_edbfb4cfe27f433f8b345813944c1662"/>
                    <w:lock w:val="sdtLocked"/>
                    <w:richText/>
                  </w:sdtPr>
                  <w:sdtContent>
                    <w:p>
                      <w:pPr>
                        <w:ind w:firstLine="567"/>
                        <w:jc w:val="both"/>
                        <w:rPr>
                          <w:color w:val="000000"/>
                          <w:szCs w:val="24"/>
                          <w:lang w:eastAsia="lt-LT"/>
                        </w:rPr>
                      </w:pPr>
                      <w:sdt>
                        <w:sdtPr>
                          <w:alias w:val="Numeris"/>
                          <w:tag w:val="nr_edbfb4cfe27f433f8b345813944c1662"/>
                          <w:lock w:val="sdtLocked"/>
                          <w:richText/>
                        </w:sdtPr>
                        <w:sdtContent>
                          <w:r>
                            <w:rPr>
                              <w:color w:val="000000"/>
                              <w:szCs w:val="24"/>
                              <w:lang w:eastAsia="lt-LT"/>
                            </w:rPr>
                            <w:t>25.4</w:t>
                          </w:r>
                        </w:sdtContent>
                      </w:sdt>
                      <w:r>
                        <w:rPr>
                          <w:color w:val="000000"/>
                          <w:szCs w:val="24"/>
                          <w:lang w:eastAsia="lt-LT"/>
                        </w:rPr>
                        <w:t>. gebėjimas sutelkti ir išlaikyti dėmesį, ryškių dėmesio išsekimo požymių nebuvimas;</w:t>
                      </w:r>
                    </w:p>
                  </w:sdtContent>
                </w:sdt>
                <w:sdt>
                  <w:sdtPr>
                    <w:alias w:val="12 pr. 25.5 pp."/>
                    <w:tag w:val="part_52ac02df431f47cf9672c2770f3bc447"/>
                    <w:lock w:val="sdtLocked"/>
                    <w:richText/>
                  </w:sdtPr>
                  <w:sdtContent>
                    <w:p>
                      <w:pPr>
                        <w:ind w:firstLine="567"/>
                        <w:jc w:val="both"/>
                        <w:rPr>
                          <w:color w:val="000000"/>
                          <w:szCs w:val="24"/>
                          <w:lang w:eastAsia="lt-LT"/>
                        </w:rPr>
                      </w:pPr>
                      <w:sdt>
                        <w:sdtPr>
                          <w:alias w:val="Numeris"/>
                          <w:tag w:val="nr_52ac02df431f47cf9672c2770f3bc447"/>
                          <w:lock w:val="sdtLocked"/>
                          <w:richText/>
                        </w:sdtPr>
                        <w:sdtContent>
                          <w:r>
                            <w:rPr>
                              <w:color w:val="000000"/>
                              <w:szCs w:val="24"/>
                              <w:lang w:eastAsia="lt-LT"/>
                            </w:rPr>
                            <w:t>25.5</w:t>
                          </w:r>
                        </w:sdtContent>
                      </w:sdt>
                      <w:r>
                        <w:rPr>
                          <w:color w:val="000000"/>
                          <w:szCs w:val="24"/>
                          <w:lang w:eastAsia="lt-LT"/>
                        </w:rPr>
                        <w:t>. informacijos įsiminimo ir išlaikymo atmintyje sutrikimų nebuvimas.</w:t>
                      </w:r>
                    </w:p>
                  </w:sdtContent>
                </w:sdt>
              </w:sdtContent>
            </w:sdt>
            <w:sdt>
              <w:sdtPr>
                <w:alias w:val="12 pr. 26 p."/>
                <w:tag w:val="part_ca47eac0396743148a4657879b481fb4"/>
                <w:lock w:val="sdtLocked"/>
                <w:richText/>
              </w:sdtPr>
              <w:sdtContent>
                <w:p>
                  <w:pPr>
                    <w:ind w:firstLine="567"/>
                    <w:jc w:val="both"/>
                    <w:rPr>
                      <w:szCs w:val="24"/>
                    </w:rPr>
                  </w:pPr>
                  <w:sdt>
                    <w:sdtPr>
                      <w:alias w:val="Numeris"/>
                      <w:tag w:val="nr_ca47eac0396743148a4657879b481fb4"/>
                      <w:lock w:val="sdtLocked"/>
                      <w:richText/>
                    </w:sdtPr>
                    <w:sdtContent>
                      <w:r>
                        <w:rPr>
                          <w:color w:val="000000"/>
                          <w:szCs w:val="24"/>
                          <w:lang w:eastAsia="lt-LT"/>
                        </w:rPr>
                        <w:t>26</w:t>
                      </w:r>
                    </w:sdtContent>
                  </w:sdt>
                  <w:r>
                    <w:rPr>
                      <w:color w:val="000000"/>
                      <w:szCs w:val="24"/>
                      <w:lang w:eastAsia="lt-LT"/>
                    </w:rPr>
                    <w:t>.</w:t>
                  </w:r>
                  <w:r>
                    <w:rPr>
                      <w:szCs w:val="24"/>
                    </w:rPr>
                    <w:t xml:space="preserve"> </w:t>
                  </w:r>
                  <w:r>
                    <w:rPr>
                      <w:color w:val="000000"/>
                      <w:szCs w:val="24"/>
                    </w:rPr>
                    <w:t xml:space="preserve">Nustačius nėštumo patologiją ar kitų nėštumą komplikuojančių veiksnių, teikiama rekomendacija </w:t>
                  </w:r>
                  <w:r>
                    <w:rPr>
                      <w:szCs w:val="24"/>
                    </w:rPr>
                    <w:t>perkelti traukinio mašinistę į kitas pareigas, kuriose yra saugesnės darbo  sąlygos. Traukinio mašinistėms turi būti taikomos Lietuvos Respublikos 2017 m. birželio 21 d. nutarimo Nr. 469 „Dėl Nėščių, neseniai pagimdžiusių, krūtimi maitinančių darbuotojų darbo sąlygų aprašo patvirtinimo“ nuostatos.</w:t>
                  </w:r>
                </w:p>
                <w:p>
                  <w:pPr>
                    <w:ind w:firstLine="567"/>
                    <w:jc w:val="both"/>
                    <w:rPr>
                      <w:szCs w:val="24"/>
                    </w:rPr>
                  </w:pPr>
                </w:p>
              </w:sdtContent>
            </w:sdt>
          </w:sdtContent>
        </w:sdt>
        <w:sdt>
          <w:sdtPr>
            <w:alias w:val="skyrius"/>
            <w:tag w:val="part_6e50a3d78619408da2ea576eb6d3b0d1"/>
            <w:lock w:val="sdtLocked"/>
            <w:richText/>
          </w:sdtPr>
          <w:sdtContent>
            <w:p>
              <w:pPr>
                <w:ind w:firstLine="567"/>
                <w:jc w:val="center"/>
                <w:rPr>
                  <w:b/>
                  <w:bCs/>
                  <w:caps/>
                  <w:color w:val="000000"/>
                  <w:szCs w:val="24"/>
                  <w:lang w:eastAsia="lt-LT"/>
                </w:rPr>
              </w:pPr>
              <w:sdt>
                <w:sdtPr>
                  <w:alias w:val="Numeris"/>
                  <w:tag w:val="nr_6e50a3d78619408da2ea576eb6d3b0d1"/>
                  <w:lock w:val="sdtLocked"/>
                  <w:richText/>
                </w:sdtPr>
                <w:sdtContent>
                  <w:r>
                    <w:rPr>
                      <w:b/>
                      <w:bCs/>
                      <w:caps/>
                      <w:color w:val="000000"/>
                      <w:szCs w:val="24"/>
                      <w:lang w:eastAsia="lt-LT"/>
                    </w:rPr>
                    <w:t>IV</w:t>
                  </w:r>
                </w:sdtContent>
              </w:sdt>
              <w:r>
                <w:rPr>
                  <w:b/>
                  <w:bCs/>
                  <w:caps/>
                  <w:color w:val="000000"/>
                  <w:szCs w:val="24"/>
                  <w:lang w:eastAsia="lt-LT"/>
                </w:rPr>
                <w:t xml:space="preserve"> SKYRIUS</w:t>
              </w:r>
            </w:p>
            <w:p>
              <w:pPr>
                <w:ind w:firstLine="567"/>
                <w:jc w:val="center"/>
                <w:rPr>
                  <w:color w:val="000000"/>
                  <w:szCs w:val="24"/>
                  <w:lang w:eastAsia="lt-LT"/>
                </w:rPr>
              </w:pPr>
              <w:sdt>
                <w:sdtPr>
                  <w:alias w:val="Pavadinimas"/>
                  <w:tag w:val="title_6e50a3d78619408da2ea576eb6d3b0d1"/>
                  <w:lock w:val="sdtLocked"/>
                  <w:richText/>
                </w:sdtPr>
                <w:sdtContent>
                  <w:r>
                    <w:rPr>
                      <w:b/>
                      <w:bCs/>
                      <w:caps/>
                      <w:color w:val="000000"/>
                      <w:szCs w:val="24"/>
                      <w:lang w:eastAsia="lt-LT"/>
                    </w:rPr>
                    <w:t>PRIEŠ PRIIMANT Į DARBĄ ATLIKTINI BŪTINIAUSI SVEIKATOS PATIKRINIMAI</w:t>
                  </w:r>
                </w:sdtContent>
              </w:sdt>
            </w:p>
            <w:p>
              <w:pPr>
                <w:ind w:firstLine="629"/>
                <w:jc w:val="both"/>
                <w:rPr>
                  <w:color w:val="000000"/>
                  <w:szCs w:val="24"/>
                  <w:lang w:eastAsia="lt-LT"/>
                </w:rPr>
              </w:pPr>
            </w:p>
            <w:sdt>
              <w:sdtPr>
                <w:alias w:val="12 pr. 27 p."/>
                <w:tag w:val="part_adfbfc443b114e8cbd46684a5a802781"/>
                <w:lock w:val="sdtLocked"/>
                <w:richText/>
              </w:sdtPr>
              <w:sdtContent>
                <w:p>
                  <w:pPr>
                    <w:ind w:firstLine="567"/>
                    <w:jc w:val="both"/>
                    <w:rPr>
                      <w:color w:val="000000"/>
                      <w:szCs w:val="24"/>
                      <w:lang w:eastAsia="lt-LT"/>
                    </w:rPr>
                  </w:pPr>
                  <w:sdt>
                    <w:sdtPr>
                      <w:alias w:val="Numeris"/>
                      <w:tag w:val="nr_adfbfc443b114e8cbd46684a5a802781"/>
                      <w:lock w:val="sdtLocked"/>
                      <w:richText/>
                    </w:sdtPr>
                    <w:sdtContent>
                      <w:r>
                        <w:rPr>
                          <w:color w:val="000000"/>
                          <w:szCs w:val="24"/>
                          <w:lang w:eastAsia="lt-LT"/>
                        </w:rPr>
                        <w:t>27</w:t>
                      </w:r>
                    </w:sdtContent>
                  </w:sdt>
                  <w:r>
                    <w:rPr>
                      <w:color w:val="000000"/>
                      <w:szCs w:val="24"/>
                      <w:lang w:eastAsia="lt-LT"/>
                    </w:rPr>
                    <w:t>. Įsidarbinančiajam traukinio mašinistui ir įsidarbinančiajam geležinkeliečiui turi būti atliekamas bendras sveikatos patikrinimas (t. y. profilaktinis sveikatos tikrinimas, atliekamas vadovaujantis Neinfekcinių ligų profilaktikos ir kontrolės tvarka, patvirtinta Įsakymu Nr. 301). Antropomorfiniai darbuotojų matmenys turi būti tinkami saugiai naudoti geležinkelių riedmenis. Neturi būti reikalaujama arba leidžiama, kad traukinio mašinistas valdytų tam tikrų tipų geležinkelių riedmenis, jeigu dėl jo ūgio, svorio arba kitų fizinių ypatybių tai būtų nesaugu.</w:t>
                  </w:r>
                </w:p>
              </w:sdtContent>
            </w:sdt>
            <w:sdt>
              <w:sdtPr>
                <w:alias w:val="12 pr. 28 p."/>
                <w:tag w:val="part_7a0f6e8764d2400ab30913c27e017225"/>
                <w:lock w:val="sdtLocked"/>
                <w:richText/>
              </w:sdtPr>
              <w:sdtContent>
                <w:p>
                  <w:pPr>
                    <w:ind w:firstLine="567"/>
                    <w:jc w:val="both"/>
                    <w:rPr>
                      <w:color w:val="000000"/>
                      <w:szCs w:val="24"/>
                      <w:lang w:eastAsia="lt-LT"/>
                    </w:rPr>
                  </w:pPr>
                  <w:sdt>
                    <w:sdtPr>
                      <w:alias w:val="Numeris"/>
                      <w:tag w:val="nr_7a0f6e8764d2400ab30913c27e017225"/>
                      <w:lock w:val="sdtLocked"/>
                      <w:richText/>
                    </w:sdtPr>
                    <w:sdtContent>
                      <w:r>
                        <w:rPr>
                          <w:color w:val="000000"/>
                          <w:szCs w:val="24"/>
                          <w:lang w:eastAsia="lt-LT"/>
                        </w:rPr>
                        <w:t>28</w:t>
                      </w:r>
                    </w:sdtContent>
                  </w:sdt>
                  <w:r>
                    <w:rPr>
                      <w:color w:val="000000"/>
                      <w:szCs w:val="24"/>
                      <w:lang w:eastAsia="lt-LT"/>
                    </w:rPr>
                    <w:t>. Įsidarbinančiajam traukinio mašinistui turi būti atliekamas sensorinių funkcijų patikrinimas:</w:t>
                  </w:r>
                </w:p>
                <w:sdt>
                  <w:sdtPr>
                    <w:alias w:val="12 pr. 28.1 pp."/>
                    <w:tag w:val="part_0a07aec1463c4121bf36543783a1c1c7"/>
                    <w:lock w:val="sdtLocked"/>
                    <w:richText/>
                  </w:sdtPr>
                  <w:sdtContent>
                    <w:p>
                      <w:pPr>
                        <w:ind w:firstLine="567"/>
                        <w:jc w:val="both"/>
                        <w:rPr>
                          <w:color w:val="000000"/>
                          <w:szCs w:val="24"/>
                          <w:lang w:eastAsia="lt-LT"/>
                        </w:rPr>
                      </w:pPr>
                      <w:sdt>
                        <w:sdtPr>
                          <w:alias w:val="Numeris"/>
                          <w:tag w:val="nr_0a07aec1463c4121bf36543783a1c1c7"/>
                          <w:lock w:val="sdtLocked"/>
                          <w:richText/>
                        </w:sdtPr>
                        <w:sdtContent>
                          <w:r>
                            <w:rPr>
                              <w:color w:val="000000"/>
                              <w:szCs w:val="24"/>
                              <w:lang w:eastAsia="lt-LT"/>
                            </w:rPr>
                            <w:t>28.1</w:t>
                          </w:r>
                        </w:sdtContent>
                      </w:sdt>
                      <w:r>
                        <w:rPr>
                          <w:color w:val="000000"/>
                          <w:szCs w:val="24"/>
                          <w:lang w:eastAsia="lt-LT"/>
                        </w:rPr>
                        <w:t>. regėjimo (tikrina gydytojas oftalmologas):</w:t>
                      </w:r>
                    </w:p>
                    <w:sdt>
                      <w:sdtPr>
                        <w:alias w:val="12 pr. 28.1.1 pp."/>
                        <w:tag w:val="part_fcde1892802f405a9c82c4d180f116a6"/>
                        <w:lock w:val="sdtLocked"/>
                        <w:richText/>
                      </w:sdtPr>
                      <w:sdtContent>
                        <w:p>
                          <w:pPr>
                            <w:ind w:firstLine="567"/>
                            <w:jc w:val="both"/>
                            <w:rPr>
                              <w:color w:val="000000"/>
                              <w:szCs w:val="24"/>
                              <w:lang w:eastAsia="lt-LT"/>
                            </w:rPr>
                          </w:pPr>
                          <w:sdt>
                            <w:sdtPr>
                              <w:alias w:val="Numeris"/>
                              <w:tag w:val="nr_fcde1892802f405a9c82c4d180f116a6"/>
                              <w:lock w:val="sdtLocked"/>
                              <w:richText/>
                            </w:sdtPr>
                            <w:sdtContent>
                              <w:r>
                                <w:rPr>
                                  <w:color w:val="000000"/>
                                  <w:szCs w:val="24"/>
                                  <w:lang w:eastAsia="lt-LT"/>
                                </w:rPr>
                                <w:t>28.1.1</w:t>
                              </w:r>
                            </w:sdtContent>
                          </w:sdt>
                          <w:r>
                            <w:rPr>
                              <w:color w:val="000000"/>
                              <w:szCs w:val="24"/>
                              <w:lang w:eastAsia="lt-LT"/>
                            </w:rPr>
                            <w:t>. regėjimo aštrumo;</w:t>
                          </w:r>
                        </w:p>
                      </w:sdtContent>
                    </w:sdt>
                    <w:sdt>
                      <w:sdtPr>
                        <w:alias w:val="12 pr. 28.1.2 pp."/>
                        <w:tag w:val="part_96ff51868d1346b6bab7513dcf182298"/>
                        <w:lock w:val="sdtLocked"/>
                        <w:richText/>
                      </w:sdtPr>
                      <w:sdtContent>
                        <w:p>
                          <w:pPr>
                            <w:ind w:firstLine="567"/>
                            <w:jc w:val="both"/>
                            <w:rPr>
                              <w:color w:val="000000"/>
                              <w:szCs w:val="24"/>
                              <w:lang w:eastAsia="lt-LT"/>
                            </w:rPr>
                          </w:pPr>
                          <w:sdt>
                            <w:sdtPr>
                              <w:alias w:val="Numeris"/>
                              <w:tag w:val="nr_96ff51868d1346b6bab7513dcf182298"/>
                              <w:lock w:val="sdtLocked"/>
                              <w:richText/>
                            </w:sdtPr>
                            <w:sdtContent>
                              <w:r>
                                <w:rPr>
                                  <w:color w:val="000000"/>
                                  <w:szCs w:val="24"/>
                                  <w:lang w:eastAsia="lt-LT"/>
                                </w:rPr>
                                <w:t>28.1.2</w:t>
                              </w:r>
                            </w:sdtContent>
                          </w:sdt>
                          <w:r>
                            <w:rPr>
                              <w:color w:val="000000"/>
                              <w:szCs w:val="24"/>
                              <w:lang w:eastAsia="lt-LT"/>
                            </w:rPr>
                            <w:t>. regėjimo lauko (akipločio);</w:t>
                          </w:r>
                        </w:p>
                      </w:sdtContent>
                    </w:sdt>
                    <w:sdt>
                      <w:sdtPr>
                        <w:alias w:val="12 pr. 28.1.3 pp."/>
                        <w:tag w:val="part_c485632ad56742e9a016119901952931"/>
                        <w:lock w:val="sdtLocked"/>
                        <w:richText/>
                      </w:sdtPr>
                      <w:sdtContent>
                        <w:p>
                          <w:pPr>
                            <w:ind w:firstLine="567"/>
                            <w:jc w:val="both"/>
                            <w:rPr>
                              <w:color w:val="000000"/>
                              <w:szCs w:val="24"/>
                              <w:lang w:eastAsia="lt-LT"/>
                            </w:rPr>
                          </w:pPr>
                          <w:sdt>
                            <w:sdtPr>
                              <w:alias w:val="Numeris"/>
                              <w:tag w:val="nr_c485632ad56742e9a016119901952931"/>
                              <w:lock w:val="sdtLocked"/>
                              <w:richText/>
                            </w:sdtPr>
                            <w:sdtContent>
                              <w:r>
                                <w:rPr>
                                  <w:color w:val="000000"/>
                                  <w:szCs w:val="24"/>
                                  <w:lang w:eastAsia="lt-LT"/>
                                </w:rPr>
                                <w:t>28.1.3</w:t>
                              </w:r>
                            </w:sdtContent>
                          </w:sdt>
                          <w:r>
                            <w:rPr>
                              <w:color w:val="000000"/>
                              <w:szCs w:val="24"/>
                              <w:lang w:eastAsia="lt-LT"/>
                            </w:rPr>
                            <w:t>. regėjimo prieblandoje (adaptacijos tamsai);</w:t>
                          </w:r>
                        </w:p>
                      </w:sdtContent>
                    </w:sdt>
                    <w:sdt>
                      <w:sdtPr>
                        <w:alias w:val="12 pr. 28.1.4 pp."/>
                        <w:tag w:val="part_5f4caacd183b49d7bc9510ca24d565d5"/>
                        <w:lock w:val="sdtLocked"/>
                        <w:richText/>
                      </w:sdtPr>
                      <w:sdtContent>
                        <w:p>
                          <w:pPr>
                            <w:ind w:firstLine="567"/>
                            <w:jc w:val="both"/>
                            <w:rPr>
                              <w:color w:val="000000"/>
                              <w:szCs w:val="24"/>
                              <w:lang w:eastAsia="lt-LT"/>
                            </w:rPr>
                          </w:pPr>
                          <w:sdt>
                            <w:sdtPr>
                              <w:alias w:val="Numeris"/>
                              <w:tag w:val="nr_5f4caacd183b49d7bc9510ca24d565d5"/>
                              <w:lock w:val="sdtLocked"/>
                              <w:richText/>
                            </w:sdtPr>
                            <w:sdtContent>
                              <w:r>
                                <w:rPr>
                                  <w:color w:val="000000"/>
                                  <w:szCs w:val="24"/>
                                  <w:lang w:eastAsia="lt-LT"/>
                                </w:rPr>
                                <w:t>28.1.4</w:t>
                              </w:r>
                            </w:sdtContent>
                          </w:sdt>
                          <w:r>
                            <w:rPr>
                              <w:color w:val="000000"/>
                              <w:szCs w:val="24"/>
                              <w:lang w:eastAsia="lt-LT"/>
                            </w:rPr>
                            <w:t>. akispūdžio matavimas (asmenims nuo 40 m.);</w:t>
                          </w:r>
                        </w:p>
                      </w:sdtContent>
                    </w:sdt>
                    <w:sdt>
                      <w:sdtPr>
                        <w:alias w:val="12 pr. 28.1.5 pp."/>
                        <w:tag w:val="part_75804ff98c334c7380a36d2f70130f10"/>
                        <w:lock w:val="sdtLocked"/>
                        <w:richText/>
                      </w:sdtPr>
                      <w:sdtContent>
                        <w:p>
                          <w:pPr>
                            <w:ind w:firstLine="567"/>
                            <w:jc w:val="both"/>
                            <w:rPr>
                              <w:color w:val="000000"/>
                              <w:szCs w:val="24"/>
                              <w:lang w:eastAsia="lt-LT"/>
                            </w:rPr>
                          </w:pPr>
                          <w:sdt>
                            <w:sdtPr>
                              <w:alias w:val="Numeris"/>
                              <w:tag w:val="nr_75804ff98c334c7380a36d2f70130f10"/>
                              <w:lock w:val="sdtLocked"/>
                              <w:richText/>
                            </w:sdtPr>
                            <w:sdtContent>
                              <w:r>
                                <w:rPr>
                                  <w:color w:val="000000"/>
                                  <w:szCs w:val="24"/>
                                  <w:lang w:eastAsia="lt-LT"/>
                                </w:rPr>
                                <w:t>28.1.5</w:t>
                              </w:r>
                            </w:sdtContent>
                          </w:sdt>
                          <w:r>
                            <w:rPr>
                              <w:color w:val="000000"/>
                              <w:szCs w:val="24"/>
                              <w:lang w:eastAsia="lt-LT"/>
                            </w:rPr>
                            <w:t>. kontrastų jutimo;</w:t>
                          </w:r>
                        </w:p>
                      </w:sdtContent>
                    </w:sdt>
                    <w:sdt>
                      <w:sdtPr>
                        <w:alias w:val="12 pr. 28.1.6 pp."/>
                        <w:tag w:val="part_461ee5c4d87f409ea0790dc29784e2ad"/>
                        <w:lock w:val="sdtLocked"/>
                        <w:richText/>
                      </w:sdtPr>
                      <w:sdtContent>
                        <w:p>
                          <w:pPr>
                            <w:ind w:firstLine="567"/>
                            <w:jc w:val="both"/>
                            <w:rPr>
                              <w:color w:val="000000"/>
                              <w:szCs w:val="24"/>
                              <w:lang w:eastAsia="lt-LT"/>
                            </w:rPr>
                          </w:pPr>
                          <w:sdt>
                            <w:sdtPr>
                              <w:alias w:val="Numeris"/>
                              <w:tag w:val="nr_461ee5c4d87f409ea0790dc29784e2ad"/>
                              <w:lock w:val="sdtLocked"/>
                              <w:richText/>
                            </w:sdtPr>
                            <w:sdtContent>
                              <w:r>
                                <w:rPr>
                                  <w:color w:val="000000"/>
                                  <w:szCs w:val="24"/>
                                  <w:lang w:eastAsia="lt-LT"/>
                                </w:rPr>
                                <w:t>28.1.6</w:t>
                              </w:r>
                            </w:sdtContent>
                          </w:sdt>
                          <w:r>
                            <w:rPr>
                              <w:color w:val="000000"/>
                              <w:szCs w:val="24"/>
                              <w:lang w:eastAsia="lt-LT"/>
                            </w:rPr>
                            <w:t>. spalvų jutimo:</w:t>
                          </w:r>
                        </w:p>
                        <w:sdt>
                          <w:sdtPr>
                            <w:alias w:val="12 pr. 28.1.6.1 pp."/>
                            <w:tag w:val="part_111af5f48ad94ab4938a283c526a8c91"/>
                            <w:lock w:val="sdtLocked"/>
                            <w:richText/>
                          </w:sdtPr>
                          <w:sdtContent>
                            <w:p>
                              <w:pPr>
                                <w:ind w:firstLine="567"/>
                                <w:jc w:val="both"/>
                                <w:rPr>
                                  <w:color w:val="000000"/>
                                  <w:szCs w:val="24"/>
                                  <w:lang w:eastAsia="lt-LT"/>
                                </w:rPr>
                              </w:pPr>
                              <w:sdt>
                                <w:sdtPr>
                                  <w:alias w:val="Numeris"/>
                                  <w:tag w:val="nr_111af5f48ad94ab4938a283c526a8c91"/>
                                  <w:lock w:val="sdtLocked"/>
                                  <w:richText/>
                                </w:sdtPr>
                                <w:sdtContent>
                                  <w:r>
                                    <w:rPr>
                                      <w:color w:val="000000"/>
                                      <w:szCs w:val="24"/>
                                      <w:lang w:eastAsia="lt-LT"/>
                                    </w:rPr>
                                    <w:t>28.1.6.1</w:t>
                                  </w:r>
                                </w:sdtContent>
                              </w:sdt>
                              <w:r>
                                <w:rPr>
                                  <w:color w:val="000000"/>
                                  <w:szCs w:val="24"/>
                                  <w:lang w:eastAsia="lt-LT"/>
                                </w:rPr>
                                <w:t>. spalvinio jutimo (įgyjant traukinio mašinisto pažymėjimą);</w:t>
                              </w:r>
                            </w:p>
                          </w:sdtContent>
                        </w:sdt>
                        <w:sdt>
                          <w:sdtPr>
                            <w:alias w:val="12 pr. 28.1.6.2 pp."/>
                            <w:tag w:val="part_c0ff4917df9c4df19111b86326dc3ce7"/>
                            <w:lock w:val="sdtLocked"/>
                            <w:richText/>
                          </w:sdtPr>
                          <w:sdtContent>
                            <w:p>
                              <w:pPr>
                                <w:ind w:firstLine="567"/>
                                <w:jc w:val="both"/>
                                <w:rPr>
                                  <w:color w:val="000000"/>
                                  <w:szCs w:val="24"/>
                                  <w:lang w:eastAsia="lt-LT"/>
                                </w:rPr>
                              </w:pPr>
                              <w:sdt>
                                <w:sdtPr>
                                  <w:alias w:val="Numeris"/>
                                  <w:tag w:val="nr_c0ff4917df9c4df19111b86326dc3ce7"/>
                                  <w:lock w:val="sdtLocked"/>
                                  <w:richText/>
                                </w:sdtPr>
                                <w:sdtContent>
                                  <w:r>
                                    <w:rPr>
                                      <w:color w:val="000000"/>
                                      <w:szCs w:val="24"/>
                                      <w:lang w:eastAsia="lt-LT"/>
                                    </w:rPr>
                                    <w:t>28.1.6.2</w:t>
                                  </w:r>
                                </w:sdtContent>
                              </w:sdt>
                              <w:r>
                                <w:rPr>
                                  <w:color w:val="000000"/>
                                  <w:szCs w:val="24"/>
                                  <w:lang w:eastAsia="lt-LT"/>
                                </w:rPr>
                                <w:t>. spalvų signalo atpažinimo;</w:t>
                              </w:r>
                            </w:p>
                          </w:sdtContent>
                        </w:sdt>
                      </w:sdtContent>
                    </w:sdt>
                    <w:sdt>
                      <w:sdtPr>
                        <w:alias w:val="12 pr. 28.1.7 pp."/>
                        <w:tag w:val="part_02a16a42c5a74082ab8fdd75111a50ac"/>
                        <w:lock w:val="sdtLocked"/>
                        <w:richText/>
                      </w:sdtPr>
                      <w:sdtContent>
                        <w:p>
                          <w:pPr>
                            <w:ind w:firstLine="567"/>
                            <w:jc w:val="both"/>
                            <w:rPr>
                              <w:color w:val="000000"/>
                              <w:szCs w:val="24"/>
                              <w:lang w:eastAsia="lt-LT"/>
                            </w:rPr>
                          </w:pPr>
                          <w:sdt>
                            <w:sdtPr>
                              <w:alias w:val="Numeris"/>
                              <w:tag w:val="nr_02a16a42c5a74082ab8fdd75111a50ac"/>
                              <w:lock w:val="sdtLocked"/>
                              <w:richText/>
                            </w:sdtPr>
                            <w:sdtContent>
                              <w:r>
                                <w:rPr>
                                  <w:color w:val="000000"/>
                                  <w:szCs w:val="24"/>
                                  <w:lang w:eastAsia="lt-LT"/>
                                </w:rPr>
                                <w:t>28.1.7</w:t>
                              </w:r>
                            </w:sdtContent>
                          </w:sdt>
                          <w:r>
                            <w:rPr>
                              <w:color w:val="000000"/>
                              <w:szCs w:val="24"/>
                              <w:lang w:eastAsia="lt-LT"/>
                            </w:rPr>
                            <w:t>. atsparumo akinimui;</w:t>
                          </w:r>
                        </w:p>
                      </w:sdtContent>
                    </w:sdt>
                  </w:sdtContent>
                </w:sdt>
                <w:sdt>
                  <w:sdtPr>
                    <w:alias w:val="12 pr. 28.2 pp."/>
                    <w:tag w:val="part_12b37b8335ea4933b8fb50e9161bf662"/>
                    <w:lock w:val="sdtLocked"/>
                    <w:richText/>
                  </w:sdtPr>
                  <w:sdtContent>
                    <w:p>
                      <w:pPr>
                        <w:ind w:firstLine="567"/>
                        <w:jc w:val="both"/>
                        <w:rPr>
                          <w:color w:val="000000"/>
                          <w:szCs w:val="24"/>
                          <w:lang w:eastAsia="lt-LT"/>
                        </w:rPr>
                      </w:pPr>
                      <w:sdt>
                        <w:sdtPr>
                          <w:alias w:val="Numeris"/>
                          <w:tag w:val="nr_12b37b8335ea4933b8fb50e9161bf662"/>
                          <w:lock w:val="sdtLocked"/>
                          <w:richText/>
                        </w:sdtPr>
                        <w:sdtContent>
                          <w:r>
                            <w:rPr>
                              <w:color w:val="000000"/>
                              <w:szCs w:val="24"/>
                              <w:lang w:eastAsia="lt-LT"/>
                            </w:rPr>
                            <w:t>28.2</w:t>
                          </w:r>
                        </w:sdtContent>
                      </w:sdt>
                      <w:r>
                        <w:rPr>
                          <w:color w:val="000000"/>
                          <w:szCs w:val="24"/>
                          <w:lang w:eastAsia="lt-LT"/>
                        </w:rPr>
                        <w:t>. klausos (tikrina gydytojas otorinolaringologas):</w:t>
                      </w:r>
                    </w:p>
                    <w:sdt>
                      <w:sdtPr>
                        <w:alias w:val="12 pr. 28.2.1 pp."/>
                        <w:tag w:val="part_559f34cf2df04b099c47f6ddabaa4be5"/>
                        <w:lock w:val="sdtLocked"/>
                        <w:richText/>
                      </w:sdtPr>
                      <w:sdtContent>
                        <w:p>
                          <w:pPr>
                            <w:ind w:firstLine="567"/>
                            <w:jc w:val="both"/>
                            <w:rPr>
                              <w:color w:val="000000"/>
                              <w:szCs w:val="24"/>
                              <w:lang w:eastAsia="lt-LT"/>
                            </w:rPr>
                          </w:pPr>
                          <w:sdt>
                            <w:sdtPr>
                              <w:alias w:val="Numeris"/>
                              <w:tag w:val="nr_559f34cf2df04b099c47f6ddabaa4be5"/>
                              <w:lock w:val="sdtLocked"/>
                              <w:richText/>
                            </w:sdtPr>
                            <w:sdtContent>
                              <w:r>
                                <w:rPr>
                                  <w:color w:val="000000"/>
                                  <w:szCs w:val="24"/>
                                  <w:lang w:eastAsia="lt-LT"/>
                                </w:rPr>
                                <w:t>28.2.1</w:t>
                              </w:r>
                            </w:sdtContent>
                          </w:sdt>
                          <w:r>
                            <w:rPr>
                              <w:color w:val="000000"/>
                              <w:szCs w:val="24"/>
                              <w:lang w:eastAsia="lt-LT"/>
                            </w:rPr>
                            <w:t>. klausos aštrumo, šnabždesiu abipus;</w:t>
                          </w:r>
                        </w:p>
                      </w:sdtContent>
                    </w:sdt>
                    <w:sdt>
                      <w:sdtPr>
                        <w:alias w:val="12 pr. 28.2.2 pp."/>
                        <w:tag w:val="part_187b1df02ac44862aca5db20f8b3d19d"/>
                        <w:lock w:val="sdtLocked"/>
                        <w:richText/>
                      </w:sdtPr>
                      <w:sdtContent>
                        <w:p>
                          <w:pPr>
                            <w:ind w:firstLine="567"/>
                            <w:jc w:val="both"/>
                            <w:rPr>
                              <w:color w:val="000000"/>
                              <w:szCs w:val="24"/>
                              <w:lang w:eastAsia="lt-LT"/>
                            </w:rPr>
                          </w:pPr>
                          <w:sdt>
                            <w:sdtPr>
                              <w:alias w:val="Numeris"/>
                              <w:tag w:val="nr_187b1df02ac44862aca5db20f8b3d19d"/>
                              <w:lock w:val="sdtLocked"/>
                              <w:richText/>
                            </w:sdtPr>
                            <w:sdtContent>
                              <w:r>
                                <w:rPr>
                                  <w:color w:val="000000"/>
                                  <w:szCs w:val="24"/>
                                  <w:lang w:eastAsia="lt-LT"/>
                                </w:rPr>
                                <w:t>28.2.2</w:t>
                              </w:r>
                            </w:sdtContent>
                          </w:sdt>
                          <w:r>
                            <w:rPr>
                              <w:color w:val="000000"/>
                              <w:szCs w:val="24"/>
                              <w:lang w:eastAsia="lt-LT"/>
                            </w:rPr>
                            <w:t>. audiograma;</w:t>
                          </w:r>
                        </w:p>
                      </w:sdtContent>
                    </w:sdt>
                  </w:sdtContent>
                </w:sdt>
                <w:sdt>
                  <w:sdtPr>
                    <w:alias w:val="12 pr. 28.3 pp."/>
                    <w:tag w:val="part_54906c3e37364d778ca9ceda8f0537fd"/>
                    <w:lock w:val="sdtLocked"/>
                    <w:richText/>
                  </w:sdtPr>
                  <w:sdtContent>
                    <w:p>
                      <w:pPr>
                        <w:ind w:firstLine="567"/>
                        <w:jc w:val="both"/>
                        <w:rPr>
                          <w:color w:val="000000"/>
                          <w:szCs w:val="24"/>
                          <w:lang w:eastAsia="lt-LT"/>
                        </w:rPr>
                      </w:pPr>
                      <w:sdt>
                        <w:sdtPr>
                          <w:alias w:val="Numeris"/>
                          <w:tag w:val="nr_54906c3e37364d778ca9ceda8f0537fd"/>
                          <w:lock w:val="sdtLocked"/>
                          <w:richText/>
                        </w:sdtPr>
                        <w:sdtContent>
                          <w:r>
                            <w:rPr>
                              <w:color w:val="000000"/>
                              <w:szCs w:val="24"/>
                              <w:lang w:eastAsia="lt-LT"/>
                            </w:rPr>
                            <w:t>28.3</w:t>
                          </w:r>
                        </w:sdtContent>
                      </w:sdt>
                      <w:r>
                        <w:rPr>
                          <w:color w:val="000000"/>
                          <w:szCs w:val="24"/>
                          <w:lang w:eastAsia="lt-LT"/>
                        </w:rPr>
                        <w:t>. vestibulinės funkcijos įvertinimas (tikrina gydytojas otorinolaringologas):</w:t>
                      </w:r>
                    </w:p>
                    <w:sdt>
                      <w:sdtPr>
                        <w:alias w:val="12 pr. 28.3.1 pp."/>
                        <w:tag w:val="part_c334464fca15486195f0570e7f3cb599"/>
                        <w:lock w:val="sdtLocked"/>
                        <w:richText/>
                      </w:sdtPr>
                      <w:sdtContent>
                        <w:p>
                          <w:pPr>
                            <w:ind w:firstLine="567"/>
                            <w:jc w:val="both"/>
                            <w:rPr>
                              <w:color w:val="000000"/>
                              <w:szCs w:val="24"/>
                              <w:lang w:eastAsia="lt-LT"/>
                            </w:rPr>
                          </w:pPr>
                          <w:sdt>
                            <w:sdtPr>
                              <w:alias w:val="Numeris"/>
                              <w:tag w:val="nr_c334464fca15486195f0570e7f3cb599"/>
                              <w:lock w:val="sdtLocked"/>
                              <w:richText/>
                            </w:sdtPr>
                            <w:sdtContent>
                              <w:r>
                                <w:rPr>
                                  <w:color w:val="000000"/>
                                  <w:szCs w:val="24"/>
                                  <w:lang w:eastAsia="lt-LT"/>
                                </w:rPr>
                                <w:t>28.3.1</w:t>
                              </w:r>
                            </w:sdtContent>
                          </w:sdt>
                          <w:r>
                            <w:rPr>
                              <w:color w:val="000000"/>
                              <w:szCs w:val="24"/>
                              <w:lang w:eastAsia="lt-LT"/>
                            </w:rPr>
                            <w:t>. tikrinamas spontaninis nistagmas;</w:t>
                          </w:r>
                        </w:p>
                      </w:sdtContent>
                    </w:sdt>
                    <w:sdt>
                      <w:sdtPr>
                        <w:alias w:val="12 pr. 28.3.2 pp."/>
                        <w:tag w:val="part_54e93cf44b6a4603b422eef533b1162f"/>
                        <w:lock w:val="sdtLocked"/>
                        <w:richText/>
                      </w:sdtPr>
                      <w:sdtContent>
                        <w:p>
                          <w:pPr>
                            <w:ind w:firstLine="567"/>
                            <w:jc w:val="both"/>
                            <w:rPr>
                              <w:color w:val="000000"/>
                              <w:szCs w:val="24"/>
                              <w:lang w:eastAsia="lt-LT"/>
                            </w:rPr>
                          </w:pPr>
                          <w:sdt>
                            <w:sdtPr>
                              <w:alias w:val="Numeris"/>
                              <w:tag w:val="nr_54e93cf44b6a4603b422eef533b1162f"/>
                              <w:lock w:val="sdtLocked"/>
                              <w:richText/>
                            </w:sdtPr>
                            <w:sdtContent>
                              <w:r>
                                <w:rPr>
                                  <w:color w:val="000000"/>
                                  <w:szCs w:val="24"/>
                                  <w:lang w:eastAsia="lt-LT"/>
                                </w:rPr>
                                <w:t>28.3.2</w:t>
                              </w:r>
                            </w:sdtContent>
                          </w:sdt>
                          <w:r>
                            <w:rPr>
                              <w:color w:val="000000"/>
                              <w:szCs w:val="24"/>
                              <w:lang w:eastAsia="lt-LT"/>
                            </w:rPr>
                            <w:t>. atliekami koordinaciniai mėginiai (Rombergo poza, piršto–nosies mėginys ir kt.);</w:t>
                          </w:r>
                        </w:p>
                      </w:sdtContent>
                    </w:sdt>
                    <w:sdt>
                      <w:sdtPr>
                        <w:alias w:val="12 pr. 28.3.3 pp."/>
                        <w:tag w:val="part_55ba4e8b300649b8bd7de06d5996753c"/>
                        <w:lock w:val="sdtLocked"/>
                        <w:richText/>
                      </w:sdtPr>
                      <w:sdtContent>
                        <w:p>
                          <w:pPr>
                            <w:ind w:firstLine="567"/>
                            <w:jc w:val="both"/>
                            <w:rPr>
                              <w:color w:val="000000"/>
                              <w:szCs w:val="24"/>
                              <w:lang w:eastAsia="lt-LT"/>
                            </w:rPr>
                          </w:pPr>
                          <w:sdt>
                            <w:sdtPr>
                              <w:alias w:val="Numeris"/>
                              <w:tag w:val="nr_55ba4e8b300649b8bd7de06d5996753c"/>
                              <w:lock w:val="sdtLocked"/>
                              <w:richText/>
                            </w:sdtPr>
                            <w:sdtContent>
                              <w:r>
                                <w:rPr>
                                  <w:color w:val="000000"/>
                                  <w:szCs w:val="24"/>
                                  <w:lang w:eastAsia="lt-LT"/>
                                </w:rPr>
                                <w:t>28.3.3</w:t>
                              </w:r>
                            </w:sdtContent>
                          </w:sdt>
                          <w:r>
                            <w:rPr>
                              <w:color w:val="000000"/>
                              <w:szCs w:val="24"/>
                              <w:lang w:eastAsia="lt-LT"/>
                            </w:rPr>
                            <w:t>. videonistagmometrija atliekama esant bent vienam patologiniam simptomui, nustatytam atlikus 28.3.1 ir 28.3.2 papunkčiuose nurodytus tyrimus.</w:t>
                          </w:r>
                        </w:p>
                      </w:sdtContent>
                    </w:sdt>
                  </w:sdtContent>
                </w:sdt>
              </w:sdtContent>
            </w:sdt>
            <w:sdt>
              <w:sdtPr>
                <w:alias w:val="12 pr. 29 p."/>
                <w:tag w:val="part_29d943b8f48a495b8818f29f38573599"/>
                <w:lock w:val="sdtLocked"/>
                <w:richText/>
              </w:sdtPr>
              <w:sdtContent>
                <w:p>
                  <w:pPr>
                    <w:ind w:firstLine="567"/>
                    <w:jc w:val="both"/>
                    <w:rPr>
                      <w:color w:val="000000"/>
                      <w:szCs w:val="24"/>
                      <w:lang w:eastAsia="lt-LT"/>
                    </w:rPr>
                  </w:pPr>
                  <w:sdt>
                    <w:sdtPr>
                      <w:alias w:val="Numeris"/>
                      <w:tag w:val="nr_29d943b8f48a495b8818f29f38573599"/>
                      <w:lock w:val="sdtLocked"/>
                      <w:richText/>
                    </w:sdtPr>
                    <w:sdtContent>
                      <w:r>
                        <w:rPr>
                          <w:color w:val="000000"/>
                          <w:szCs w:val="24"/>
                          <w:lang w:eastAsia="lt-LT"/>
                        </w:rPr>
                        <w:t>29</w:t>
                      </w:r>
                    </w:sdtContent>
                  </w:sdt>
                  <w:r>
                    <w:rPr>
                      <w:color w:val="000000"/>
                      <w:szCs w:val="24"/>
                      <w:lang w:eastAsia="lt-LT"/>
                    </w:rPr>
                    <w:t>. Įsidarbinančiajam traukinio mašinistui turi būti atliekami laboratoriniai tyrimai:</w:t>
                  </w:r>
                </w:p>
                <w:sdt>
                  <w:sdtPr>
                    <w:alias w:val="12 pr. 29.1 pp."/>
                    <w:tag w:val="part_9628940eacd74077a7ae2a20cf213a32"/>
                    <w:lock w:val="sdtLocked"/>
                    <w:richText/>
                  </w:sdtPr>
                  <w:sdtContent>
                    <w:p>
                      <w:pPr>
                        <w:ind w:firstLine="567"/>
                        <w:jc w:val="both"/>
                        <w:rPr>
                          <w:color w:val="000000"/>
                          <w:szCs w:val="24"/>
                          <w:lang w:eastAsia="lt-LT"/>
                        </w:rPr>
                      </w:pPr>
                      <w:sdt>
                        <w:sdtPr>
                          <w:alias w:val="Numeris"/>
                          <w:tag w:val="nr_9628940eacd74077a7ae2a20cf213a32"/>
                          <w:lock w:val="sdtLocked"/>
                          <w:richText/>
                        </w:sdtPr>
                        <w:sdtContent>
                          <w:r>
                            <w:rPr>
                              <w:color w:val="000000"/>
                              <w:szCs w:val="24"/>
                              <w:lang w:eastAsia="lt-LT"/>
                            </w:rPr>
                            <w:t>29.1</w:t>
                          </w:r>
                        </w:sdtContent>
                      </w:sdt>
                      <w:r>
                        <w:rPr>
                          <w:color w:val="000000"/>
                          <w:szCs w:val="24"/>
                          <w:lang w:eastAsia="lt-LT"/>
                        </w:rPr>
                        <w:t>. kraujo tyrimas hematologiniu analizatoriumi;</w:t>
                      </w:r>
                    </w:p>
                  </w:sdtContent>
                </w:sdt>
                <w:sdt>
                  <w:sdtPr>
                    <w:alias w:val="12 pr. 29.2 pp."/>
                    <w:tag w:val="part_f051b07493c844b498ada578a653c833"/>
                    <w:lock w:val="sdtLocked"/>
                    <w:richText/>
                  </w:sdtPr>
                  <w:sdtContent>
                    <w:p>
                      <w:pPr>
                        <w:ind w:firstLine="567"/>
                        <w:jc w:val="both"/>
                        <w:rPr>
                          <w:color w:val="000000"/>
                          <w:szCs w:val="24"/>
                          <w:lang w:eastAsia="lt-LT"/>
                        </w:rPr>
                      </w:pPr>
                      <w:sdt>
                        <w:sdtPr>
                          <w:alias w:val="Numeris"/>
                          <w:tag w:val="nr_f051b07493c844b498ada578a653c833"/>
                          <w:lock w:val="sdtLocked"/>
                          <w:richText/>
                        </w:sdtPr>
                        <w:sdtContent>
                          <w:r>
                            <w:rPr>
                              <w:color w:val="000000"/>
                              <w:szCs w:val="24"/>
                              <w:lang w:eastAsia="lt-LT"/>
                            </w:rPr>
                            <w:t>29.2</w:t>
                          </w:r>
                        </w:sdtContent>
                      </w:sdt>
                      <w:r>
                        <w:rPr>
                          <w:color w:val="000000"/>
                          <w:szCs w:val="24"/>
                          <w:lang w:eastAsia="lt-LT"/>
                        </w:rPr>
                        <w:t>. kraujo tyrimas dėl cukrinio diabeto (gliukozės kiekio kraujyje nustatymas, esant indikacijų), kiek tai būtina siekiant įvertinti fizinę kandidato būklę;</w:t>
                      </w:r>
                    </w:p>
                  </w:sdtContent>
                </w:sdt>
                <w:sdt>
                  <w:sdtPr>
                    <w:alias w:val="12 pr. 29.3 pp."/>
                    <w:tag w:val="part_2392ae7c169b415280eea5c9e56435a9"/>
                    <w:lock w:val="sdtLocked"/>
                    <w:richText/>
                  </w:sdtPr>
                  <w:sdtContent>
                    <w:p>
                      <w:pPr>
                        <w:ind w:firstLine="567"/>
                        <w:jc w:val="both"/>
                        <w:rPr>
                          <w:color w:val="000000"/>
                          <w:szCs w:val="24"/>
                          <w:lang w:eastAsia="lt-LT"/>
                        </w:rPr>
                      </w:pPr>
                      <w:sdt>
                        <w:sdtPr>
                          <w:alias w:val="Numeris"/>
                          <w:tag w:val="nr_2392ae7c169b415280eea5c9e56435a9"/>
                          <w:lock w:val="sdtLocked"/>
                          <w:richText/>
                        </w:sdtPr>
                        <w:sdtContent>
                          <w:r>
                            <w:rPr>
                              <w:color w:val="000000"/>
                              <w:szCs w:val="24"/>
                              <w:lang w:eastAsia="lt-LT"/>
                            </w:rPr>
                            <w:t>29.3</w:t>
                          </w:r>
                        </w:sdtContent>
                      </w:sdt>
                      <w:r>
                        <w:rPr>
                          <w:color w:val="000000"/>
                          <w:szCs w:val="24"/>
                          <w:lang w:eastAsia="lt-LT"/>
                        </w:rPr>
                        <w:t>. bendras šlapimo tyrimas analizatoriumi, įskaitant gliukozės nustatymą (esant indikacijų).</w:t>
                      </w:r>
                    </w:p>
                  </w:sdtContent>
                </w:sdt>
              </w:sdtContent>
            </w:sdt>
            <w:sdt>
              <w:sdtPr>
                <w:alias w:val="12 pr. 30 p."/>
                <w:tag w:val="part_05065254a93048dba4c6335f8fe3f426"/>
                <w:lock w:val="sdtLocked"/>
                <w:richText/>
              </w:sdtPr>
              <w:sdtContent>
                <w:p>
                  <w:pPr>
                    <w:ind w:firstLine="567"/>
                    <w:jc w:val="both"/>
                    <w:rPr>
                      <w:color w:val="000000"/>
                      <w:szCs w:val="24"/>
                      <w:lang w:eastAsia="lt-LT"/>
                    </w:rPr>
                  </w:pPr>
                  <w:sdt>
                    <w:sdtPr>
                      <w:alias w:val="Numeris"/>
                      <w:tag w:val="nr_05065254a93048dba4c6335f8fe3f426"/>
                      <w:lock w:val="sdtLocked"/>
                      <w:richText/>
                    </w:sdtPr>
                    <w:sdtContent>
                      <w:r>
                        <w:rPr>
                          <w:szCs w:val="24"/>
                          <w:lang w:eastAsia="lt-LT"/>
                        </w:rPr>
                        <w:t>30</w:t>
                      </w:r>
                    </w:sdtContent>
                  </w:sdt>
                  <w:r>
                    <w:rPr>
                      <w:color w:val="000000"/>
                      <w:szCs w:val="24"/>
                      <w:lang w:eastAsia="lt-LT"/>
                    </w:rPr>
                    <w:t>. Įsidarbinančiajam traukinio mašinistui turi būti atliekama elektrokardiograma (toliau – EKG) esant ramybės būsenos.</w:t>
                  </w:r>
                </w:p>
              </w:sdtContent>
            </w:sdt>
            <w:sdt>
              <w:sdtPr>
                <w:alias w:val="12 pr. 31 p."/>
                <w:tag w:val="part_1dee15334bb54cabbafdf385583909af"/>
                <w:lock w:val="sdtLocked"/>
                <w:richText/>
              </w:sdtPr>
              <w:sdtContent>
                <w:p>
                  <w:pPr>
                    <w:ind w:firstLine="567"/>
                    <w:jc w:val="both"/>
                    <w:rPr>
                      <w:color w:val="000000"/>
                      <w:szCs w:val="24"/>
                      <w:lang w:eastAsia="lt-LT"/>
                    </w:rPr>
                  </w:pPr>
                  <w:sdt>
                    <w:sdtPr>
                      <w:alias w:val="Numeris"/>
                      <w:tag w:val="nr_1dee15334bb54cabbafdf385583909af"/>
                      <w:lock w:val="sdtLocked"/>
                      <w:richText/>
                    </w:sdtPr>
                    <w:sdtContent>
                      <w:r>
                        <w:rPr>
                          <w:color w:val="000000"/>
                          <w:szCs w:val="24"/>
                          <w:lang w:eastAsia="lt-LT"/>
                        </w:rPr>
                        <w:t>31</w:t>
                      </w:r>
                    </w:sdtContent>
                  </w:sdt>
                  <w:r>
                    <w:rPr>
                      <w:color w:val="000000"/>
                      <w:szCs w:val="24"/>
                      <w:lang w:eastAsia="lt-LT"/>
                    </w:rPr>
                    <w:t>. Patikrinimai dėl psichotropinių medžiagų, pavyzdžiui, neteisėtų narkotinių medžiagų ar psichotropinių medikamentų vartojimo, piktnaudžiavimo alkoholiu, atliekami, jei dėl to kyla abejonių dėl tinkamumo darbui.</w:t>
                  </w:r>
                </w:p>
              </w:sdtContent>
            </w:sdt>
            <w:sdt>
              <w:sdtPr>
                <w:alias w:val="12 pr. 32 p."/>
                <w:tag w:val="part_391a1d64129143b881dc7e90059f7128"/>
                <w:lock w:val="sdtLocked"/>
                <w:richText/>
              </w:sdtPr>
              <w:sdtContent>
                <w:p>
                  <w:pPr>
                    <w:ind w:firstLine="567"/>
                    <w:jc w:val="both"/>
                    <w:rPr>
                      <w:color w:val="000000"/>
                      <w:szCs w:val="24"/>
                      <w:lang w:eastAsia="lt-LT"/>
                    </w:rPr>
                  </w:pPr>
                  <w:sdt>
                    <w:sdtPr>
                      <w:alias w:val="Numeris"/>
                      <w:tag w:val="nr_391a1d64129143b881dc7e90059f7128"/>
                      <w:lock w:val="sdtLocked"/>
                      <w:richText/>
                    </w:sdtPr>
                    <w:sdtContent>
                      <w:r>
                        <w:rPr>
                          <w:color w:val="000000"/>
                          <w:szCs w:val="24"/>
                          <w:lang w:eastAsia="lt-LT"/>
                        </w:rPr>
                        <w:t>32</w:t>
                      </w:r>
                    </w:sdtContent>
                  </w:sdt>
                  <w:r>
                    <w:rPr>
                      <w:color w:val="000000"/>
                      <w:szCs w:val="24"/>
                      <w:lang w:eastAsia="lt-LT"/>
                    </w:rPr>
                    <w:t>. Psichikos sveikatos įvertinimą atlieka gydytojas psichiatras, įvertinęs medicinos psichologo atliktus tyrimus:</w:t>
                  </w:r>
                </w:p>
                <w:sdt>
                  <w:sdtPr>
                    <w:alias w:val="12 pr. 32.1 pp."/>
                    <w:tag w:val="part_9a17a1bca4d74b738ff295ffa78e1993"/>
                    <w:lock w:val="sdtLocked"/>
                    <w:richText/>
                  </w:sdtPr>
                  <w:sdtContent>
                    <w:p>
                      <w:pPr>
                        <w:ind w:firstLine="567"/>
                        <w:jc w:val="both"/>
                        <w:rPr>
                          <w:color w:val="000000"/>
                          <w:szCs w:val="24"/>
                          <w:lang w:eastAsia="lt-LT"/>
                        </w:rPr>
                      </w:pPr>
                      <w:sdt>
                        <w:sdtPr>
                          <w:alias w:val="Numeris"/>
                          <w:tag w:val="nr_9a17a1bca4d74b738ff295ffa78e1993"/>
                          <w:lock w:val="sdtLocked"/>
                          <w:richText/>
                        </w:sdtPr>
                        <w:sdtContent>
                          <w:r>
                            <w:rPr>
                              <w:color w:val="000000"/>
                              <w:szCs w:val="24"/>
                              <w:lang w:eastAsia="lt-LT"/>
                            </w:rPr>
                            <w:t>32.1</w:t>
                          </w:r>
                        </w:sdtContent>
                      </w:sdt>
                      <w:r>
                        <w:rPr>
                          <w:color w:val="000000"/>
                          <w:szCs w:val="24"/>
                          <w:lang w:eastAsia="lt-LT"/>
                        </w:rPr>
                        <w:t>. kognityvines funkcijas:</w:t>
                      </w:r>
                    </w:p>
                    <w:sdt>
                      <w:sdtPr>
                        <w:alias w:val="12 pr. 32.1.1 pp."/>
                        <w:tag w:val="part_89dfb75fe1fb4092bb87b7c64696d2ea"/>
                        <w:lock w:val="sdtLocked"/>
                        <w:richText/>
                      </w:sdtPr>
                      <w:sdtContent>
                        <w:p>
                          <w:pPr>
                            <w:ind w:firstLine="567"/>
                            <w:jc w:val="both"/>
                            <w:rPr>
                              <w:color w:val="000000"/>
                              <w:szCs w:val="24"/>
                              <w:lang w:eastAsia="lt-LT"/>
                            </w:rPr>
                          </w:pPr>
                          <w:sdt>
                            <w:sdtPr>
                              <w:alias w:val="Numeris"/>
                              <w:tag w:val="nr_89dfb75fe1fb4092bb87b7c64696d2ea"/>
                              <w:lock w:val="sdtLocked"/>
                              <w:richText/>
                            </w:sdtPr>
                            <w:sdtContent>
                              <w:r>
                                <w:rPr>
                                  <w:color w:val="000000"/>
                                  <w:szCs w:val="24"/>
                                  <w:lang w:eastAsia="lt-LT"/>
                                </w:rPr>
                                <w:t>32.1.1</w:t>
                              </w:r>
                            </w:sdtContent>
                          </w:sdt>
                          <w:r>
                            <w:rPr>
                              <w:color w:val="000000"/>
                              <w:szCs w:val="24"/>
                              <w:lang w:eastAsia="lt-LT"/>
                            </w:rPr>
                            <w:t>. reakcijos greitį;</w:t>
                          </w:r>
                        </w:p>
                      </w:sdtContent>
                    </w:sdt>
                    <w:sdt>
                      <w:sdtPr>
                        <w:alias w:val="12 pr. 32.1.2 pp."/>
                        <w:tag w:val="part_1f8298589d734309bf038dbbb4ff4e22"/>
                        <w:lock w:val="sdtLocked"/>
                        <w:richText/>
                      </w:sdtPr>
                      <w:sdtContent>
                        <w:p>
                          <w:pPr>
                            <w:ind w:firstLine="567"/>
                            <w:jc w:val="both"/>
                            <w:rPr>
                              <w:color w:val="000000"/>
                              <w:szCs w:val="24"/>
                              <w:lang w:eastAsia="lt-LT"/>
                            </w:rPr>
                          </w:pPr>
                          <w:sdt>
                            <w:sdtPr>
                              <w:alias w:val="Numeris"/>
                              <w:tag w:val="nr_1f8298589d734309bf038dbbb4ff4e22"/>
                              <w:lock w:val="sdtLocked"/>
                              <w:richText/>
                            </w:sdtPr>
                            <w:sdtContent>
                              <w:r>
                                <w:rPr>
                                  <w:color w:val="000000"/>
                                  <w:szCs w:val="24"/>
                                  <w:lang w:eastAsia="lt-LT"/>
                                </w:rPr>
                                <w:t>32.1.2</w:t>
                              </w:r>
                            </w:sdtContent>
                          </w:sdt>
                          <w:r>
                            <w:rPr>
                              <w:color w:val="000000"/>
                              <w:szCs w:val="24"/>
                              <w:lang w:eastAsia="lt-LT"/>
                            </w:rPr>
                            <w:t>. regimųjų ir girdimųjų stimulų suvokimą;</w:t>
                          </w:r>
                        </w:p>
                      </w:sdtContent>
                    </w:sdt>
                    <w:sdt>
                      <w:sdtPr>
                        <w:alias w:val="12 pr. 32.1.3 pp."/>
                        <w:tag w:val="part_9180daba58b24a959c3dfbce2a49cdb8"/>
                        <w:lock w:val="sdtLocked"/>
                        <w:richText/>
                      </w:sdtPr>
                      <w:sdtContent>
                        <w:p>
                          <w:pPr>
                            <w:ind w:firstLine="567"/>
                            <w:jc w:val="both"/>
                            <w:rPr>
                              <w:color w:val="000000"/>
                              <w:szCs w:val="24"/>
                              <w:lang w:eastAsia="lt-LT"/>
                            </w:rPr>
                          </w:pPr>
                          <w:sdt>
                            <w:sdtPr>
                              <w:alias w:val="Numeris"/>
                              <w:tag w:val="nr_9180daba58b24a959c3dfbce2a49cdb8"/>
                              <w:lock w:val="sdtLocked"/>
                              <w:richText/>
                            </w:sdtPr>
                            <w:sdtContent>
                              <w:r>
                                <w:rPr>
                                  <w:color w:val="000000"/>
                                  <w:szCs w:val="24"/>
                                  <w:lang w:eastAsia="lt-LT"/>
                                </w:rPr>
                                <w:t>32.1.3</w:t>
                              </w:r>
                            </w:sdtContent>
                          </w:sdt>
                          <w:r>
                            <w:rPr>
                              <w:color w:val="000000"/>
                              <w:szCs w:val="24"/>
                              <w:lang w:eastAsia="lt-LT"/>
                            </w:rPr>
                            <w:t>. kalbos funkcijas (automatinė kalba, kalbos nuoseklumas, šnekamosios kalbos suvokimas, komunikabilumas);</w:t>
                          </w:r>
                        </w:p>
                      </w:sdtContent>
                    </w:sdt>
                    <w:sdt>
                      <w:sdtPr>
                        <w:alias w:val="12 pr. 32.1.4 pp."/>
                        <w:tag w:val="part_eff23dccc61741fda738fed8e676abc9"/>
                        <w:lock w:val="sdtLocked"/>
                        <w:richText/>
                      </w:sdtPr>
                      <w:sdtContent>
                        <w:p>
                          <w:pPr>
                            <w:ind w:firstLine="567"/>
                            <w:jc w:val="both"/>
                            <w:rPr>
                              <w:color w:val="000000"/>
                              <w:szCs w:val="24"/>
                              <w:lang w:eastAsia="lt-LT"/>
                            </w:rPr>
                          </w:pPr>
                          <w:sdt>
                            <w:sdtPr>
                              <w:alias w:val="Numeris"/>
                              <w:tag w:val="nr_eff23dccc61741fda738fed8e676abc9"/>
                              <w:lock w:val="sdtLocked"/>
                              <w:richText/>
                            </w:sdtPr>
                            <w:sdtContent>
                              <w:r>
                                <w:rPr>
                                  <w:color w:val="000000"/>
                                  <w:szCs w:val="24"/>
                                  <w:lang w:eastAsia="lt-LT"/>
                                </w:rPr>
                                <w:t>32.1.4</w:t>
                              </w:r>
                            </w:sdtContent>
                          </w:sdt>
                          <w:r>
                            <w:rPr>
                              <w:color w:val="000000"/>
                              <w:szCs w:val="24"/>
                              <w:lang w:eastAsia="lt-LT"/>
                            </w:rPr>
                            <w:t>. dėmesį;</w:t>
                          </w:r>
                        </w:p>
                      </w:sdtContent>
                    </w:sdt>
                    <w:sdt>
                      <w:sdtPr>
                        <w:alias w:val="12 pr. 32.1.5 pp."/>
                        <w:tag w:val="part_7de2ab819c384775b00dfcb78b2986b4"/>
                        <w:lock w:val="sdtLocked"/>
                        <w:richText/>
                      </w:sdtPr>
                      <w:sdtContent>
                        <w:p>
                          <w:pPr>
                            <w:ind w:firstLine="567"/>
                            <w:jc w:val="both"/>
                            <w:rPr>
                              <w:color w:val="000000"/>
                              <w:szCs w:val="24"/>
                              <w:lang w:eastAsia="lt-LT"/>
                            </w:rPr>
                          </w:pPr>
                          <w:sdt>
                            <w:sdtPr>
                              <w:alias w:val="Numeris"/>
                              <w:tag w:val="nr_7de2ab819c384775b00dfcb78b2986b4"/>
                              <w:lock w:val="sdtLocked"/>
                              <w:richText/>
                            </w:sdtPr>
                            <w:sdtContent>
                              <w:r>
                                <w:rPr>
                                  <w:color w:val="000000"/>
                                  <w:szCs w:val="24"/>
                                  <w:lang w:eastAsia="lt-LT"/>
                                </w:rPr>
                                <w:t>32.1.5</w:t>
                              </w:r>
                            </w:sdtContent>
                          </w:sdt>
                          <w:r>
                            <w:rPr>
                              <w:color w:val="000000"/>
                              <w:szCs w:val="24"/>
                              <w:lang w:eastAsia="lt-LT"/>
                            </w:rPr>
                            <w:t>. atmintį;</w:t>
                          </w:r>
                        </w:p>
                      </w:sdtContent>
                    </w:sdt>
                  </w:sdtContent>
                </w:sdt>
                <w:sdt>
                  <w:sdtPr>
                    <w:alias w:val="12 pr. 32.2 pp."/>
                    <w:tag w:val="part_2d08a0ff3f1a4a5692339fe7e0e59b74"/>
                    <w:lock w:val="sdtLocked"/>
                    <w:richText/>
                  </w:sdtPr>
                  <w:sdtContent>
                    <w:p>
                      <w:pPr>
                        <w:ind w:firstLine="567"/>
                        <w:jc w:val="both"/>
                        <w:rPr>
                          <w:color w:val="000000"/>
                          <w:szCs w:val="24"/>
                          <w:lang w:eastAsia="lt-LT"/>
                        </w:rPr>
                      </w:pPr>
                      <w:sdt>
                        <w:sdtPr>
                          <w:alias w:val="Numeris"/>
                          <w:tag w:val="nr_2d08a0ff3f1a4a5692339fe7e0e59b74"/>
                          <w:lock w:val="sdtLocked"/>
                          <w:richText/>
                        </w:sdtPr>
                        <w:sdtContent>
                          <w:r>
                            <w:rPr>
                              <w:color w:val="000000"/>
                              <w:szCs w:val="24"/>
                              <w:lang w:eastAsia="lt-LT"/>
                            </w:rPr>
                            <w:t>32.2</w:t>
                          </w:r>
                        </w:sdtContent>
                      </w:sdt>
                      <w:r>
                        <w:rPr>
                          <w:color w:val="000000"/>
                          <w:szCs w:val="24"/>
                          <w:lang w:eastAsia="lt-LT"/>
                        </w:rPr>
                        <w:t>. mąstymo tyrimą (gydytojui psichiatrui skyrus);</w:t>
                      </w:r>
                    </w:p>
                  </w:sdtContent>
                </w:sdt>
                <w:sdt>
                  <w:sdtPr>
                    <w:alias w:val="12 pr. 32.3 pp."/>
                    <w:tag w:val="part_404be7e83b794d64bee2d9fb39348143"/>
                    <w:lock w:val="sdtLocked"/>
                    <w:richText/>
                  </w:sdtPr>
                  <w:sdtContent>
                    <w:p>
                      <w:pPr>
                        <w:ind w:firstLine="567"/>
                        <w:jc w:val="both"/>
                        <w:rPr>
                          <w:color w:val="000000"/>
                          <w:szCs w:val="24"/>
                          <w:lang w:eastAsia="lt-LT"/>
                        </w:rPr>
                      </w:pPr>
                      <w:sdt>
                        <w:sdtPr>
                          <w:alias w:val="Numeris"/>
                          <w:tag w:val="nr_404be7e83b794d64bee2d9fb39348143"/>
                          <w:lock w:val="sdtLocked"/>
                          <w:richText/>
                        </w:sdtPr>
                        <w:sdtContent>
                          <w:r>
                            <w:rPr>
                              <w:color w:val="000000"/>
                              <w:szCs w:val="24"/>
                              <w:lang w:eastAsia="lt-LT"/>
                            </w:rPr>
                            <w:t>32.3</w:t>
                          </w:r>
                        </w:sdtContent>
                      </w:sdt>
                      <w:r>
                        <w:rPr>
                          <w:color w:val="000000"/>
                          <w:szCs w:val="24"/>
                          <w:lang w:eastAsia="lt-LT"/>
                        </w:rPr>
                        <w:t>. asmenybės ir emocijų tyrimą (gydytojui psichiatrui skyrus);</w:t>
                      </w:r>
                    </w:p>
                  </w:sdtContent>
                </w:sdt>
                <w:sdt>
                  <w:sdtPr>
                    <w:alias w:val="12 pr. 32.4 pp."/>
                    <w:tag w:val="part_83db3fe25afd410b811e3e1e7f169919"/>
                    <w:lock w:val="sdtLocked"/>
                    <w:richText/>
                  </w:sdtPr>
                  <w:sdtContent>
                    <w:p>
                      <w:pPr>
                        <w:ind w:firstLine="567"/>
                        <w:jc w:val="both"/>
                        <w:rPr>
                          <w:color w:val="000000"/>
                          <w:szCs w:val="24"/>
                          <w:lang w:eastAsia="lt-LT"/>
                        </w:rPr>
                      </w:pPr>
                      <w:sdt>
                        <w:sdtPr>
                          <w:alias w:val="Numeris"/>
                          <w:tag w:val="nr_83db3fe25afd410b811e3e1e7f169919"/>
                          <w:lock w:val="sdtLocked"/>
                          <w:richText/>
                        </w:sdtPr>
                        <w:sdtContent>
                          <w:r>
                            <w:rPr>
                              <w:color w:val="000000"/>
                              <w:szCs w:val="24"/>
                              <w:lang w:eastAsia="lt-LT"/>
                            </w:rPr>
                            <w:t>32.4</w:t>
                          </w:r>
                        </w:sdtContent>
                      </w:sdt>
                      <w:r>
                        <w:rPr>
                          <w:color w:val="000000"/>
                          <w:szCs w:val="24"/>
                          <w:lang w:eastAsia="lt-LT"/>
                        </w:rPr>
                        <w:t>. narkotinių medžiagų naudojimo tyrimus (jei yra klinikinių indikacijų).</w:t>
                      </w:r>
                    </w:p>
                  </w:sdtContent>
                </w:sdt>
              </w:sdtContent>
            </w:sdt>
            <w:sdt>
              <w:sdtPr>
                <w:alias w:val="12 pr. 33 p."/>
                <w:tag w:val="part_756741070aee474a844b8789bde3fd31"/>
                <w:lock w:val="sdtLocked"/>
                <w:richText/>
              </w:sdtPr>
              <w:sdtContent>
                <w:p>
                  <w:pPr>
                    <w:ind w:firstLine="567"/>
                    <w:jc w:val="both"/>
                    <w:rPr>
                      <w:color w:val="000000"/>
                      <w:szCs w:val="24"/>
                      <w:lang w:eastAsia="lt-LT"/>
                    </w:rPr>
                  </w:pPr>
                  <w:sdt>
                    <w:sdtPr>
                      <w:alias w:val="Numeris"/>
                      <w:tag w:val="nr_756741070aee474a844b8789bde3fd31"/>
                      <w:lock w:val="sdtLocked"/>
                      <w:richText/>
                    </w:sdtPr>
                    <w:sdtContent>
                      <w:r>
                        <w:rPr>
                          <w:color w:val="000000"/>
                          <w:szCs w:val="24"/>
                          <w:lang w:eastAsia="lt-LT"/>
                        </w:rPr>
                        <w:t>33</w:t>
                      </w:r>
                    </w:sdtContent>
                  </w:sdt>
                  <w:r>
                    <w:rPr>
                      <w:color w:val="000000"/>
                      <w:szCs w:val="24"/>
                      <w:lang w:eastAsia="lt-LT"/>
                    </w:rPr>
                    <w:t>. Atliekamas neurologo įvertinimas:</w:t>
                  </w:r>
                </w:p>
                <w:sdt>
                  <w:sdtPr>
                    <w:alias w:val="12 pr. 33.1 pp."/>
                    <w:tag w:val="part_a1ea04ffba404ca3af36b8d025a211ac"/>
                    <w:lock w:val="sdtLocked"/>
                    <w:richText/>
                  </w:sdtPr>
                  <w:sdtContent>
                    <w:p>
                      <w:pPr>
                        <w:ind w:firstLine="567"/>
                        <w:jc w:val="both"/>
                        <w:rPr>
                          <w:color w:val="000000"/>
                          <w:szCs w:val="24"/>
                          <w:lang w:eastAsia="lt-LT"/>
                        </w:rPr>
                      </w:pPr>
                      <w:sdt>
                        <w:sdtPr>
                          <w:alias w:val="Numeris"/>
                          <w:tag w:val="nr_a1ea04ffba404ca3af36b8d025a211ac"/>
                          <w:lock w:val="sdtLocked"/>
                          <w:richText/>
                        </w:sdtPr>
                        <w:sdtContent>
                          <w:r>
                            <w:rPr>
                              <w:color w:val="000000"/>
                              <w:szCs w:val="24"/>
                              <w:lang w:eastAsia="lt-LT"/>
                            </w:rPr>
                            <w:t>33.1</w:t>
                          </w:r>
                        </w:sdtContent>
                      </w:sdt>
                      <w:r>
                        <w:rPr>
                          <w:color w:val="000000"/>
                          <w:szCs w:val="24"/>
                          <w:lang w:eastAsia="lt-LT"/>
                        </w:rPr>
                        <w:t>. jutimų, motorikos ir koordinacijos įvertinimas;</w:t>
                      </w:r>
                    </w:p>
                  </w:sdtContent>
                </w:sdt>
                <w:sdt>
                  <w:sdtPr>
                    <w:alias w:val="12 pr. 33.2 pp."/>
                    <w:tag w:val="part_183372b0fd9d4b6888f66b01f0907c36"/>
                    <w:lock w:val="sdtLocked"/>
                    <w:richText/>
                  </w:sdtPr>
                  <w:sdtContent>
                    <w:p>
                      <w:pPr>
                        <w:ind w:firstLine="567"/>
                        <w:jc w:val="both"/>
                        <w:rPr>
                          <w:color w:val="000000"/>
                          <w:szCs w:val="24"/>
                          <w:lang w:eastAsia="lt-LT"/>
                        </w:rPr>
                      </w:pPr>
                      <w:sdt>
                        <w:sdtPr>
                          <w:alias w:val="Numeris"/>
                          <w:tag w:val="nr_183372b0fd9d4b6888f66b01f0907c36"/>
                          <w:lock w:val="sdtLocked"/>
                          <w:richText/>
                        </w:sdtPr>
                        <w:sdtContent>
                          <w:r>
                            <w:rPr>
                              <w:color w:val="000000"/>
                              <w:szCs w:val="24"/>
                              <w:lang w:eastAsia="lt-LT"/>
                            </w:rPr>
                            <w:t>33.2</w:t>
                          </w:r>
                        </w:sdtContent>
                      </w:sdt>
                      <w:r>
                        <w:rPr>
                          <w:color w:val="000000"/>
                          <w:szCs w:val="24"/>
                          <w:lang w:eastAsia="lt-LT"/>
                        </w:rPr>
                        <w:t>. kalbos funkcijų įvertinimas (afazija, dizartrija).</w:t>
                      </w:r>
                    </w:p>
                  </w:sdtContent>
                </w:sdt>
              </w:sdtContent>
            </w:sdt>
            <w:sdt>
              <w:sdtPr>
                <w:alias w:val="12 pr. 34 p."/>
                <w:tag w:val="part_04accbda376c4644ae43dada1db4a33d"/>
                <w:lock w:val="sdtLocked"/>
                <w:richText/>
              </w:sdtPr>
              <w:sdtContent>
                <w:p>
                  <w:pPr>
                    <w:ind w:firstLine="567"/>
                    <w:jc w:val="both"/>
                    <w:rPr>
                      <w:color w:val="000000"/>
                      <w:szCs w:val="24"/>
                      <w:lang w:eastAsia="lt-LT"/>
                    </w:rPr>
                  </w:pPr>
                  <w:sdt>
                    <w:sdtPr>
                      <w:alias w:val="Numeris"/>
                      <w:tag w:val="nr_04accbda376c4644ae43dada1db4a33d"/>
                      <w:lock w:val="sdtLocked"/>
                      <w:richText/>
                    </w:sdtPr>
                    <w:sdtContent>
                      <w:r>
                        <w:rPr>
                          <w:color w:val="000000"/>
                          <w:szCs w:val="24"/>
                          <w:lang w:eastAsia="lt-LT"/>
                        </w:rPr>
                        <w:t>34</w:t>
                      </w:r>
                    </w:sdtContent>
                  </w:sdt>
                  <w:r>
                    <w:rPr>
                      <w:color w:val="000000"/>
                      <w:szCs w:val="24"/>
                      <w:lang w:eastAsia="lt-LT"/>
                    </w:rPr>
                    <w:t>. Esant indikacijų, įvertinama krūtinės ląstos rentgenograma.</w:t>
                  </w:r>
                </w:p>
                <w:p>
                  <w:pPr>
                    <w:ind w:firstLine="629"/>
                    <w:jc w:val="both"/>
                    <w:rPr>
                      <w:color w:val="000000"/>
                      <w:szCs w:val="24"/>
                      <w:lang w:eastAsia="lt-LT"/>
                    </w:rPr>
                  </w:pPr>
                </w:p>
              </w:sdtContent>
            </w:sdt>
          </w:sdtContent>
        </w:sdt>
        <w:sdt>
          <w:sdtPr>
            <w:alias w:val="skyrius"/>
            <w:tag w:val="part_833f3a42c09b47d8ab6dca57aaf4ad4e"/>
            <w:lock w:val="sdtLocked"/>
            <w:richText/>
          </w:sdtPr>
          <w:sdtContent>
            <w:p>
              <w:pPr>
                <w:jc w:val="center"/>
                <w:rPr>
                  <w:b/>
                  <w:bCs/>
                  <w:caps/>
                  <w:color w:val="000000"/>
                  <w:szCs w:val="24"/>
                  <w:lang w:eastAsia="lt-LT"/>
                </w:rPr>
              </w:pPr>
              <w:sdt>
                <w:sdtPr>
                  <w:alias w:val="Numeris"/>
                  <w:tag w:val="nr_833f3a42c09b47d8ab6dca57aaf4ad4e"/>
                  <w:lock w:val="sdtLocked"/>
                  <w:richText/>
                </w:sdtPr>
                <w:sdtContent>
                  <w:r>
                    <w:rPr>
                      <w:b/>
                      <w:bCs/>
                      <w:caps/>
                      <w:color w:val="000000"/>
                      <w:szCs w:val="24"/>
                      <w:lang w:eastAsia="lt-LT"/>
                    </w:rPr>
                    <w:t>V</w:t>
                  </w:r>
                </w:sdtContent>
              </w:sdt>
              <w:r>
                <w:rPr>
                  <w:b/>
                  <w:bCs/>
                  <w:caps/>
                  <w:color w:val="000000"/>
                  <w:szCs w:val="24"/>
                  <w:lang w:eastAsia="lt-LT"/>
                </w:rPr>
                <w:t xml:space="preserve"> SKYRIUS</w:t>
              </w:r>
            </w:p>
            <w:p>
              <w:pPr>
                <w:jc w:val="center"/>
                <w:rPr>
                  <w:color w:val="000000"/>
                  <w:szCs w:val="24"/>
                  <w:lang w:eastAsia="lt-LT"/>
                </w:rPr>
              </w:pPr>
              <w:sdt>
                <w:sdtPr>
                  <w:alias w:val="Pavadinimas"/>
                  <w:tag w:val="title_833f3a42c09b47d8ab6dca57aaf4ad4e"/>
                  <w:lock w:val="sdtLocked"/>
                  <w:richText/>
                </w:sdtPr>
                <w:sdtContent>
                  <w:r>
                    <w:rPr>
                      <w:b/>
                      <w:bCs/>
                      <w:caps/>
                      <w:color w:val="000000"/>
                      <w:szCs w:val="24"/>
                      <w:lang w:eastAsia="lt-LT"/>
                    </w:rPr>
                    <w:t>PERIODINIO privalomo SVEIKATOS PATIKRINIMO REIKALAVIMAI</w:t>
                  </w:r>
                </w:sdtContent>
              </w:sdt>
            </w:p>
            <w:p>
              <w:pPr>
                <w:ind w:firstLine="629"/>
                <w:jc w:val="both"/>
                <w:rPr>
                  <w:color w:val="000000"/>
                  <w:szCs w:val="24"/>
                  <w:lang w:eastAsia="lt-LT"/>
                </w:rPr>
              </w:pPr>
            </w:p>
            <w:sdt>
              <w:sdtPr>
                <w:alias w:val="12 pr. 35 p."/>
                <w:tag w:val="part_bfcfa96c47d64bbab0ecf98755712b1e"/>
                <w:lock w:val="sdtLocked"/>
                <w:richText/>
              </w:sdtPr>
              <w:sdtContent>
                <w:p>
                  <w:pPr>
                    <w:ind w:firstLine="567"/>
                    <w:jc w:val="both"/>
                    <w:rPr>
                      <w:color w:val="000000"/>
                      <w:szCs w:val="24"/>
                      <w:lang w:eastAsia="lt-LT"/>
                    </w:rPr>
                  </w:pPr>
                  <w:sdt>
                    <w:sdtPr>
                      <w:alias w:val="Numeris"/>
                      <w:tag w:val="nr_bfcfa96c47d64bbab0ecf98755712b1e"/>
                      <w:lock w:val="sdtLocked"/>
                      <w:richText/>
                    </w:sdtPr>
                    <w:sdtContent>
                      <w:r>
                        <w:rPr>
                          <w:color w:val="000000"/>
                          <w:szCs w:val="24"/>
                          <w:lang w:eastAsia="lt-LT"/>
                        </w:rPr>
                        <w:t>35</w:t>
                      </w:r>
                    </w:sdtContent>
                  </w:sdt>
                  <w:r>
                    <w:rPr>
                      <w:color w:val="000000"/>
                      <w:szCs w:val="24"/>
                      <w:lang w:eastAsia="lt-LT"/>
                    </w:rPr>
                    <w:t>. Traukinio mašinistams ir geležinkeliečiams sveikata turi būti tikrinama:</w:t>
                  </w:r>
                </w:p>
                <w:sdt>
                  <w:sdtPr>
                    <w:alias w:val="12 pr. 35.1 pp."/>
                    <w:tag w:val="part_4023e316f4f44a66bb4bb8cb88de7abc"/>
                    <w:lock w:val="sdtLocked"/>
                    <w:richText/>
                  </w:sdtPr>
                  <w:sdtContent>
                    <w:p>
                      <w:pPr>
                        <w:ind w:firstLine="567"/>
                        <w:jc w:val="both"/>
                        <w:rPr>
                          <w:color w:val="000000"/>
                          <w:szCs w:val="24"/>
                          <w:lang w:eastAsia="lt-LT"/>
                        </w:rPr>
                      </w:pPr>
                      <w:sdt>
                        <w:sdtPr>
                          <w:alias w:val="Numeris"/>
                          <w:tag w:val="nr_4023e316f4f44a66bb4bb8cb88de7abc"/>
                          <w:lock w:val="sdtLocked"/>
                          <w:richText/>
                        </w:sdtPr>
                        <w:sdtContent>
                          <w:r>
                            <w:rPr>
                              <w:color w:val="000000"/>
                              <w:szCs w:val="24"/>
                              <w:lang w:eastAsia="lt-LT"/>
                            </w:rPr>
                            <w:t>35.1</w:t>
                          </w:r>
                        </w:sdtContent>
                      </w:sdt>
                      <w:r>
                        <w:rPr>
                          <w:color w:val="000000"/>
                          <w:szCs w:val="24"/>
                          <w:lang w:eastAsia="lt-LT"/>
                        </w:rPr>
                        <w:t xml:space="preserve">. traukinio mašinistams – </w:t>
                      </w:r>
                      <w:r>
                        <w:rPr>
                          <w:color w:val="000000"/>
                          <w:szCs w:val="24"/>
                        </w:rPr>
                        <w:t>Geležinkelių transporto eismo saugos įstatymo 32 straipsnio 2 dalyje nustatytu periodiškumu</w:t>
                      </w:r>
                      <w:r>
                        <w:rPr>
                          <w:color w:val="000000"/>
                          <w:szCs w:val="24"/>
                          <w:lang w:eastAsia="lt-LT"/>
                        </w:rPr>
                        <w:t>;</w:t>
                      </w:r>
                    </w:p>
                  </w:sdtContent>
                </w:sdt>
                <w:sdt>
                  <w:sdtPr>
                    <w:alias w:val="12 pr. 35.2 pp."/>
                    <w:tag w:val="part_142dd82e7d584f52962e56dd89825ee5"/>
                    <w:lock w:val="sdtLocked"/>
                    <w:richText/>
                  </w:sdtPr>
                  <w:sdtContent>
                    <w:p>
                      <w:pPr>
                        <w:ind w:firstLine="567"/>
                        <w:jc w:val="both"/>
                        <w:rPr>
                          <w:color w:val="000000"/>
                          <w:szCs w:val="24"/>
                          <w:lang w:eastAsia="lt-LT"/>
                        </w:rPr>
                      </w:pPr>
                      <w:sdt>
                        <w:sdtPr>
                          <w:alias w:val="Numeris"/>
                          <w:tag w:val="nr_142dd82e7d584f52962e56dd89825ee5"/>
                          <w:lock w:val="sdtLocked"/>
                          <w:richText/>
                        </w:sdtPr>
                        <w:sdtContent>
                          <w:r>
                            <w:rPr>
                              <w:color w:val="000000"/>
                              <w:szCs w:val="24"/>
                              <w:lang w:eastAsia="lt-LT"/>
                            </w:rPr>
                            <w:t>35.2</w:t>
                          </w:r>
                        </w:sdtContent>
                      </w:sdt>
                      <w:r>
                        <w:rPr>
                          <w:color w:val="000000"/>
                          <w:szCs w:val="24"/>
                          <w:lang w:eastAsia="lt-LT"/>
                        </w:rPr>
                        <w:t>. geležinkeliečiams –</w:t>
                      </w:r>
                      <w:r>
                        <w:t xml:space="preserve"> </w:t>
                      </w:r>
                      <w:r>
                        <w:rPr>
                          <w:color w:val="000000"/>
                          <w:szCs w:val="24"/>
                        </w:rPr>
                        <w:t>Reglamento (ES) 2019/773 priedo 4.7.2.2.1 skirsnyje nustatytu periodiškumu</w:t>
                      </w:r>
                      <w:r>
                        <w:rPr>
                          <w:color w:val="000000"/>
                          <w:szCs w:val="24"/>
                          <w:lang w:eastAsia="lt-LT"/>
                        </w:rPr>
                        <w:t>;</w:t>
                      </w:r>
                    </w:p>
                  </w:sdtContent>
                </w:sdt>
                <w:sdt>
                  <w:sdtPr>
                    <w:alias w:val="12 pr. 35.3 pp."/>
                    <w:tag w:val="part_bdaf7e5c072d4a8c8e70dbf5cf2b5917"/>
                    <w:lock w:val="sdtLocked"/>
                    <w:richText/>
                  </w:sdtPr>
                  <w:sdtContent>
                    <w:p>
                      <w:pPr>
                        <w:tabs>
                          <w:tab w:val="left" w:pos="0"/>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rPr>
                          <w:color w:val="000000"/>
                          <w:szCs w:val="24"/>
                          <w:lang w:eastAsia="lt-LT"/>
                        </w:rPr>
                      </w:pPr>
                      <w:sdt>
                        <w:sdtPr>
                          <w:alias w:val="Numeris"/>
                          <w:tag w:val="nr_bdaf7e5c072d4a8c8e70dbf5cf2b5917"/>
                          <w:lock w:val="sdtLocked"/>
                          <w:richText/>
                        </w:sdtPr>
                        <w:sdtContent>
                          <w:r>
                            <w:rPr>
                              <w:color w:val="000000"/>
                              <w:szCs w:val="24"/>
                            </w:rPr>
                            <w:t>35.3</w:t>
                          </w:r>
                        </w:sdtContent>
                      </w:sdt>
                      <w:r>
                        <w:rPr>
                          <w:color w:val="000000"/>
                          <w:szCs w:val="24"/>
                        </w:rPr>
                        <w:t>. gydytojas sveikatos patikrinimus gali skirti dažniau, jei to reikia dėl traukinio mašinisto ar geležinkeliečio sveikatos: jis gali nuspręsti, kad traukinio mašinisto ar geležinkeliečio, turinčio galiojančią išvadą dėl tinkamumo dirbti (formoje Nr. 048/a ar formoje Nr. E048), sveikata turi būti neeilinį kartą patikrinta grįžtant į darbą po ilgo nedarbingumo periodo, jeigu jo nedarbingumas tęsiasi ilgiau kaip 30 dienų, atsižvelgiant į jo nedarbingumo priežastį, ar kitais atvejais;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c1d914846111efabdbb4a1fc8b0b63">
                        <w:r w:rsidRPr="00532B9F">
                          <w:rPr>
                            <w:rFonts w:ascii="Times New Roman" w:eastAsia="MS Mincho" w:hAnsi="Times New Roman"/>
                            <w:sz w:val="20"/>
                            <w:i/>
                            <w:iCs/>
                            <w:color w:val="0000FF" w:themeColor="hyperlink"/>
                            <w:u w:val="single"/>
                          </w:rPr>
                          <w:t>V-966</w:t>
                        </w:r>
                      </w:fldSimple>
                      <w:r>
                        <w:rPr>
                          <w:rFonts w:ascii="Times New Roman" w:eastAsia="MS Mincho" w:hAnsi="Times New Roman"/>
                          <w:sz w:val="20"/>
                          <w:i/>
                          <w:iCs/>
                        </w:rPr>
                        <w:t>,
2024-10-07,
paskelbta TAR 2024-10-07, i. k. 2024-17546            </w:t>
                      </w:r>
                    </w:p>
                    <w:p/>
                  </w:sdtContent>
                </w:sdt>
                <w:sdt>
                  <w:sdtPr>
                    <w:alias w:val="12 pr. 35.4 pp."/>
                    <w:tag w:val="part_50cb512062b143c689fe0e53a505f0d3"/>
                    <w:lock w:val="sdtLocked"/>
                    <w:richText/>
                  </w:sdtPr>
                  <w:sdtContent>
                    <w:p>
                      <w:pPr>
                        <w:ind w:firstLine="567"/>
                        <w:jc w:val="both"/>
                        <w:rPr>
                          <w:color w:val="000000"/>
                          <w:szCs w:val="24"/>
                          <w:lang w:eastAsia="lt-LT"/>
                        </w:rPr>
                      </w:pPr>
                      <w:sdt>
                        <w:sdtPr>
                          <w:alias w:val="Numeris"/>
                          <w:tag w:val="nr_50cb512062b143c689fe0e53a505f0d3"/>
                          <w:lock w:val="sdtLocked"/>
                          <w:richText/>
                        </w:sdtPr>
                        <w:sdtContent>
                          <w:r>
                            <w:rPr>
                              <w:color w:val="000000"/>
                              <w:szCs w:val="24"/>
                              <w:lang w:eastAsia="lt-LT"/>
                            </w:rPr>
                            <w:t>35.4</w:t>
                          </w:r>
                        </w:sdtContent>
                      </w:sdt>
                      <w:r>
                        <w:rPr>
                          <w:color w:val="000000"/>
                          <w:szCs w:val="24"/>
                          <w:lang w:eastAsia="lt-LT"/>
                        </w:rPr>
                        <w:t>. sveikatos patikrinimas turi būti atliktas, jei yra pagrindas abejoti, kad pažymėjimo ar sertifikato turėtojo sveikatos būklė nebeatitinka bendrųjų sveikatos būklės reikalavimų, nurodytų Aprašo III skyriuje;</w:t>
                      </w:r>
                    </w:p>
                  </w:sdtContent>
                </w:sdt>
                <w:sdt>
                  <w:sdtPr>
                    <w:alias w:val="12 pr. 35.5 pp."/>
                    <w:tag w:val="part_82c281d2f222415fa38f92419a942a8a"/>
                    <w:lock w:val="sdtLocked"/>
                    <w:richText/>
                  </w:sdtPr>
                  <w:sdtContent>
                    <w:p>
                      <w:pPr>
                        <w:ind w:firstLine="567"/>
                        <w:jc w:val="both"/>
                        <w:rPr>
                          <w:color w:val="000000"/>
                          <w:szCs w:val="24"/>
                          <w:lang w:eastAsia="lt-LT"/>
                        </w:rPr>
                      </w:pPr>
                      <w:sdt>
                        <w:sdtPr>
                          <w:alias w:val="Numeris"/>
                          <w:tag w:val="nr_82c281d2f222415fa38f92419a942a8a"/>
                          <w:lock w:val="sdtLocked"/>
                          <w:richText/>
                        </w:sdtPr>
                        <w:sdtContent>
                          <w:r>
                            <w:rPr>
                              <w:color w:val="000000"/>
                              <w:szCs w:val="24"/>
                              <w:lang w:eastAsia="lt-LT"/>
                            </w:rPr>
                            <w:t>35.5</w:t>
                          </w:r>
                        </w:sdtContent>
                      </w:sdt>
                      <w:r>
                        <w:rPr>
                          <w:color w:val="000000"/>
                          <w:szCs w:val="24"/>
                          <w:lang w:eastAsia="lt-LT"/>
                        </w:rPr>
                        <w:t>. darbdaviui atstovaujantis ar jo įgaliotas asmuo turi teisę, nurodęs priežastį, siųsti darbuotojus neeilinio privalomo sveikatos tikrinimo:</w:t>
                      </w:r>
                    </w:p>
                    <w:sdt>
                      <w:sdtPr>
                        <w:alias w:val="12 pr. 35.5.1 pp."/>
                        <w:tag w:val="part_d81cfdfbf8a040159bab15d05082c3e5"/>
                        <w:lock w:val="sdtLocked"/>
                        <w:richText/>
                      </w:sdtPr>
                      <w:sdtContent>
                        <w:p>
                          <w:pPr>
                            <w:ind w:firstLine="567"/>
                            <w:jc w:val="both"/>
                            <w:rPr>
                              <w:color w:val="000000"/>
                              <w:szCs w:val="24"/>
                              <w:lang w:eastAsia="lt-LT"/>
                            </w:rPr>
                          </w:pPr>
                          <w:sdt>
                            <w:sdtPr>
                              <w:alias w:val="Numeris"/>
                              <w:tag w:val="nr_d81cfdfbf8a040159bab15d05082c3e5"/>
                              <w:lock w:val="sdtLocked"/>
                              <w:richText/>
                            </w:sdtPr>
                            <w:sdtContent>
                              <w:r>
                                <w:rPr>
                                  <w:color w:val="000000"/>
                                  <w:szCs w:val="24"/>
                                  <w:lang w:eastAsia="lt-LT"/>
                                </w:rPr>
                                <w:t>35.5.1</w:t>
                              </w:r>
                            </w:sdtContent>
                          </w:sdt>
                          <w:r>
                            <w:rPr>
                              <w:color w:val="000000"/>
                              <w:szCs w:val="24"/>
                              <w:lang w:eastAsia="lt-LT"/>
                            </w:rPr>
                            <w:t>. po kiekvieno nelaimingo atsitikimo darbe, ypač po geležinkelių transporto katastrofos, geležinkelių transporto eismo įvykio ar rikto, kurių priežastis – žmogaus padaryta klaida;</w:t>
                          </w:r>
                        </w:p>
                      </w:sdtContent>
                    </w:sdt>
                    <w:sdt>
                      <w:sdtPr>
                        <w:alias w:val="12 pr. 35.5.2 pp."/>
                        <w:tag w:val="part_3482922fdca240cab969b272a8d1755a"/>
                        <w:lock w:val="sdtLocked"/>
                        <w:richText/>
                      </w:sdtPr>
                      <w:sdtContent>
                        <w:p>
                          <w:pPr>
                            <w:ind w:firstLine="567"/>
                            <w:jc w:val="both"/>
                            <w:rPr>
                              <w:color w:val="000000"/>
                              <w:szCs w:val="24"/>
                              <w:lang w:eastAsia="lt-LT"/>
                            </w:rPr>
                          </w:pPr>
                          <w:sdt>
                            <w:sdtPr>
                              <w:alias w:val="Numeris"/>
                              <w:tag w:val="nr_3482922fdca240cab969b272a8d1755a"/>
                              <w:lock w:val="sdtLocked"/>
                              <w:richText/>
                            </w:sdtPr>
                            <w:sdtContent>
                              <w:r>
                                <w:rPr>
                                  <w:color w:val="000000"/>
                                  <w:szCs w:val="24"/>
                                  <w:lang w:eastAsia="lt-LT"/>
                                </w:rPr>
                                <w:t>35.5.2</w:t>
                              </w:r>
                            </w:sdtContent>
                          </w:sdt>
                          <w:r>
                            <w:rPr>
                              <w:color w:val="000000"/>
                              <w:szCs w:val="24"/>
                              <w:lang w:eastAsia="lt-LT"/>
                            </w:rPr>
                            <w:t>. po nebuvimo darbe dėl nelaimingo atsitikimo, per kurį nukentėjo asmenys;</w:t>
                          </w:r>
                        </w:p>
                      </w:sdtContent>
                    </w:sdt>
                    <w:sdt>
                      <w:sdtPr>
                        <w:alias w:val="12 pr. 35.5.3 pp."/>
                        <w:tag w:val="part_4d622430717445b78dbe29bc829b6572"/>
                        <w:lock w:val="sdtLocked"/>
                        <w:richText/>
                      </w:sdtPr>
                      <w:sdtContent>
                        <w:p>
                          <w:pPr>
                            <w:ind w:firstLine="567"/>
                            <w:jc w:val="both"/>
                            <w:rPr>
                              <w:color w:val="000000"/>
                              <w:szCs w:val="24"/>
                              <w:lang w:eastAsia="lt-LT"/>
                            </w:rPr>
                          </w:pPr>
                          <w:sdt>
                            <w:sdtPr>
                              <w:alias w:val="Numeris"/>
                              <w:tag w:val="nr_4d622430717445b78dbe29bc829b6572"/>
                              <w:lock w:val="sdtLocked"/>
                              <w:richText/>
                            </w:sdtPr>
                            <w:sdtContent>
                              <w:r>
                                <w:rPr>
                                  <w:color w:val="000000"/>
                                  <w:szCs w:val="24"/>
                                  <w:lang w:eastAsia="lt-LT"/>
                                </w:rPr>
                                <w:t>35.5.3</w:t>
                              </w:r>
                            </w:sdtContent>
                          </w:sdt>
                          <w:r>
                            <w:rPr>
                              <w:color w:val="000000"/>
                              <w:szCs w:val="24"/>
                              <w:lang w:eastAsia="lt-LT"/>
                            </w:rPr>
                            <w:t>. jeigu darbdaviui atstovaujantis ar jo įgaliotas asmuo turėjo nušalinti traukinio mašinistą nuo pareigų, kai dėl jo veikos iškilo grėsmė eismo saugai;</w:t>
                          </w:r>
                        </w:p>
                      </w:sdtContent>
                    </w:sdt>
                    <w:sdt>
                      <w:sdtPr>
                        <w:alias w:val="12 pr. 35.5.4 pp."/>
                        <w:tag w:val="part_79006177b00741c1876db3ac5a0edd91"/>
                        <w:lock w:val="sdtLocked"/>
                        <w:richText/>
                      </w:sdtPr>
                      <w:sdtContent>
                        <w:p>
                          <w:pPr>
                            <w:ind w:firstLine="567"/>
                            <w:jc w:val="both"/>
                            <w:rPr>
                              <w:color w:val="000000"/>
                              <w:szCs w:val="24"/>
                              <w:lang w:eastAsia="lt-LT"/>
                            </w:rPr>
                          </w:pPr>
                          <w:sdt>
                            <w:sdtPr>
                              <w:alias w:val="Numeris"/>
                              <w:tag w:val="nr_79006177b00741c1876db3ac5a0edd91"/>
                              <w:lock w:val="sdtLocked"/>
                              <w:richText/>
                            </w:sdtPr>
                            <w:sdtContent>
                              <w:r>
                                <w:rPr>
                                  <w:color w:val="000000"/>
                                  <w:szCs w:val="24"/>
                                  <w:lang w:eastAsia="lt-LT"/>
                                </w:rPr>
                                <w:t>35.5.4</w:t>
                              </w:r>
                            </w:sdtContent>
                          </w:sdt>
                          <w:r>
                            <w:rPr>
                              <w:color w:val="000000"/>
                              <w:szCs w:val="24"/>
                              <w:lang w:eastAsia="lt-LT"/>
                            </w:rPr>
                            <w:t>. dėl tokio tikrinimo turi teisę kreiptis ir pats darbuotojas – jei mano, kad jo sveikatos būklė gali būti netinkama dirbti šį darbą, jis tuojau pat praneša apie tai darbdaviui atstovaujančiam ar jo įgaliotam asmeniui.</w:t>
                          </w:r>
                        </w:p>
                      </w:sdtContent>
                    </w:sdt>
                  </w:sdtContent>
                </w:sdt>
              </w:sdtContent>
            </w:sdt>
            <w:sdt>
              <w:sdtPr>
                <w:alias w:val="12 pr. 36 p."/>
                <w:tag w:val="part_2dc3af7490f14506b89ab74bcced153e"/>
                <w:lock w:val="sdtLocked"/>
                <w:richText/>
              </w:sdtPr>
              <w:sdtContent>
                <w:p>
                  <w:pPr>
                    <w:ind w:firstLine="567"/>
                    <w:jc w:val="both"/>
                    <w:rPr>
                      <w:color w:val="000000"/>
                      <w:szCs w:val="24"/>
                      <w:lang w:eastAsia="lt-LT"/>
                    </w:rPr>
                  </w:pPr>
                  <w:sdt>
                    <w:sdtPr>
                      <w:alias w:val="Numeris"/>
                      <w:tag w:val="nr_2dc3af7490f14506b89ab74bcced153e"/>
                      <w:lock w:val="sdtLocked"/>
                      <w:richText/>
                    </w:sdtPr>
                    <w:sdtContent>
                      <w:r>
                        <w:rPr>
                          <w:color w:val="000000"/>
                          <w:szCs w:val="24"/>
                          <w:lang w:eastAsia="lt-LT"/>
                        </w:rPr>
                        <w:t>36</w:t>
                      </w:r>
                    </w:sdtContent>
                  </w:sdt>
                  <w:r>
                    <w:rPr>
                      <w:color w:val="000000"/>
                      <w:szCs w:val="24"/>
                      <w:lang w:eastAsia="lt-LT"/>
                    </w:rPr>
                    <w:t>. Jei traukinio mašinistas ar geležinkelietis atitinka visus sveikatos patikrinimo prieš priimant į darbą kriterijus, periodiniai patikrinimai privalo apimti bent:</w:t>
                  </w:r>
                </w:p>
                <w:sdt>
                  <w:sdtPr>
                    <w:alias w:val="12 pr. 36.1 pp."/>
                    <w:tag w:val="part_50e0d77d30634a3887ea05bf99f0e137"/>
                    <w:lock w:val="sdtLocked"/>
                    <w:richText/>
                  </w:sdtPr>
                  <w:sdtContent>
                    <w:p>
                      <w:pPr>
                        <w:ind w:firstLine="567"/>
                        <w:jc w:val="both"/>
                        <w:rPr>
                          <w:color w:val="000000"/>
                          <w:szCs w:val="24"/>
                          <w:lang w:eastAsia="lt-LT"/>
                        </w:rPr>
                      </w:pPr>
                      <w:sdt>
                        <w:sdtPr>
                          <w:alias w:val="Numeris"/>
                          <w:tag w:val="nr_50e0d77d30634a3887ea05bf99f0e137"/>
                          <w:lock w:val="sdtLocked"/>
                          <w:richText/>
                        </w:sdtPr>
                        <w:sdtContent>
                          <w:r>
                            <w:rPr>
                              <w:color w:val="000000"/>
                              <w:szCs w:val="24"/>
                              <w:lang w:eastAsia="lt-LT"/>
                            </w:rPr>
                            <w:t>36.1</w:t>
                          </w:r>
                        </w:sdtContent>
                      </w:sdt>
                      <w:r>
                        <w:rPr>
                          <w:color w:val="000000"/>
                          <w:szCs w:val="24"/>
                          <w:lang w:eastAsia="lt-LT"/>
                        </w:rPr>
                        <w:t>. bendrą sveikatos patikrinimą vadovaujantis Aprašo 27 punktu;</w:t>
                      </w:r>
                    </w:p>
                  </w:sdtContent>
                </w:sdt>
                <w:sdt>
                  <w:sdtPr>
                    <w:alias w:val="12 pr. 36.2 pp."/>
                    <w:tag w:val="part_1132ca1bd0a9405f9a1c8f9a71a3c0a1"/>
                    <w:lock w:val="sdtLocked"/>
                    <w:richText/>
                  </w:sdtPr>
                  <w:sdtContent>
                    <w:p>
                      <w:pPr>
                        <w:ind w:firstLine="567"/>
                        <w:jc w:val="both"/>
                        <w:rPr>
                          <w:color w:val="000000"/>
                          <w:szCs w:val="24"/>
                          <w:lang w:eastAsia="lt-LT"/>
                        </w:rPr>
                      </w:pPr>
                      <w:sdt>
                        <w:sdtPr>
                          <w:alias w:val="Numeris"/>
                          <w:tag w:val="nr_1132ca1bd0a9405f9a1c8f9a71a3c0a1"/>
                          <w:lock w:val="sdtLocked"/>
                          <w:richText/>
                        </w:sdtPr>
                        <w:sdtContent>
                          <w:r>
                            <w:rPr>
                              <w:color w:val="000000"/>
                              <w:szCs w:val="24"/>
                              <w:lang w:eastAsia="lt-LT"/>
                            </w:rPr>
                            <w:t>36.2</w:t>
                          </w:r>
                        </w:sdtContent>
                      </w:sdt>
                      <w:r>
                        <w:rPr>
                          <w:color w:val="000000"/>
                          <w:szCs w:val="24"/>
                          <w:lang w:eastAsia="lt-LT"/>
                        </w:rPr>
                        <w:t>. sensorinių funkcijų patikrinimą (regėjimas, klausa, spalvų jutimas);</w:t>
                      </w:r>
                    </w:p>
                  </w:sdtContent>
                </w:sdt>
                <w:sdt>
                  <w:sdtPr>
                    <w:alias w:val="12 pr. 36.3 pp."/>
                    <w:tag w:val="part_472778f8a5224630acf40a56b0168f32"/>
                    <w:lock w:val="sdtLocked"/>
                    <w:richText/>
                  </w:sdtPr>
                  <w:sdtContent>
                    <w:p>
                      <w:pPr>
                        <w:ind w:firstLine="567"/>
                        <w:jc w:val="both"/>
                        <w:rPr>
                          <w:color w:val="000000"/>
                          <w:szCs w:val="24"/>
                          <w:lang w:eastAsia="lt-LT"/>
                        </w:rPr>
                      </w:pPr>
                      <w:sdt>
                        <w:sdtPr>
                          <w:alias w:val="Numeris"/>
                          <w:tag w:val="nr_472778f8a5224630acf40a56b0168f32"/>
                          <w:lock w:val="sdtLocked"/>
                          <w:richText/>
                        </w:sdtPr>
                        <w:sdtContent>
                          <w:r>
                            <w:rPr>
                              <w:color w:val="000000"/>
                              <w:szCs w:val="24"/>
                              <w:lang w:eastAsia="lt-LT"/>
                            </w:rPr>
                            <w:t>36.3</w:t>
                          </w:r>
                        </w:sdtContent>
                      </w:sdt>
                      <w:r>
                        <w:rPr>
                          <w:color w:val="000000"/>
                          <w:szCs w:val="24"/>
                          <w:lang w:eastAsia="lt-LT"/>
                        </w:rPr>
                        <w:t>. kraujo tyrimą hematologiniu analizatoriumi;</w:t>
                      </w:r>
                    </w:p>
                  </w:sdtContent>
                </w:sdt>
                <w:sdt>
                  <w:sdtPr>
                    <w:alias w:val="12 pr. 36.4 pp."/>
                    <w:tag w:val="part_98e3cf20aee14789ae66c9bd9eef3917"/>
                    <w:lock w:val="sdtLocked"/>
                    <w:richText/>
                  </w:sdtPr>
                  <w:sdtContent>
                    <w:p>
                      <w:pPr>
                        <w:ind w:firstLine="567"/>
                        <w:jc w:val="both"/>
                        <w:rPr>
                          <w:color w:val="000000"/>
                          <w:szCs w:val="24"/>
                          <w:lang w:eastAsia="lt-LT"/>
                        </w:rPr>
                      </w:pPr>
                      <w:sdt>
                        <w:sdtPr>
                          <w:alias w:val="Numeris"/>
                          <w:tag w:val="nr_98e3cf20aee14789ae66c9bd9eef3917"/>
                          <w:lock w:val="sdtLocked"/>
                          <w:richText/>
                        </w:sdtPr>
                        <w:sdtContent>
                          <w:r>
                            <w:rPr>
                              <w:color w:val="000000"/>
                              <w:szCs w:val="24"/>
                              <w:lang w:eastAsia="lt-LT"/>
                            </w:rPr>
                            <w:t>36.4</w:t>
                          </w:r>
                        </w:sdtContent>
                      </w:sdt>
                      <w:r>
                        <w:rPr>
                          <w:color w:val="000000"/>
                          <w:szCs w:val="24"/>
                          <w:lang w:eastAsia="lt-LT"/>
                        </w:rPr>
                        <w:t>. gliukozės kiekio kraujyje tyrimą;</w:t>
                      </w:r>
                    </w:p>
                  </w:sdtContent>
                </w:sdt>
                <w:sdt>
                  <w:sdtPr>
                    <w:alias w:val="12 pr. 36.5 pp."/>
                    <w:tag w:val="part_506eb6e6b78d4db6842f3147136ae34d"/>
                    <w:lock w:val="sdtLocked"/>
                    <w:richText/>
                  </w:sdtPr>
                  <w:sdtContent>
                    <w:p>
                      <w:pPr>
                        <w:ind w:firstLine="567"/>
                        <w:jc w:val="both"/>
                        <w:rPr>
                          <w:color w:val="000000"/>
                          <w:szCs w:val="24"/>
                          <w:lang w:eastAsia="lt-LT"/>
                        </w:rPr>
                      </w:pPr>
                      <w:sdt>
                        <w:sdtPr>
                          <w:alias w:val="Numeris"/>
                          <w:tag w:val="nr_506eb6e6b78d4db6842f3147136ae34d"/>
                          <w:lock w:val="sdtLocked"/>
                          <w:richText/>
                        </w:sdtPr>
                        <w:sdtContent>
                          <w:r>
                            <w:rPr>
                              <w:color w:val="000000"/>
                              <w:szCs w:val="24"/>
                              <w:lang w:eastAsia="lt-LT"/>
                            </w:rPr>
                            <w:t>36.5</w:t>
                          </w:r>
                        </w:sdtContent>
                      </w:sdt>
                      <w:r>
                        <w:rPr>
                          <w:color w:val="000000"/>
                          <w:szCs w:val="24"/>
                          <w:lang w:eastAsia="lt-LT"/>
                        </w:rPr>
                        <w:t>. bendrą šlapimo tyrimą analizatoriumi (įskaitant tyrimą dėl cukrinio diabeto), kiek tai būtina siekiant įvertinti fizinę asmens būklę;</w:t>
                      </w:r>
                    </w:p>
                  </w:sdtContent>
                </w:sdt>
                <w:sdt>
                  <w:sdtPr>
                    <w:alias w:val="12 pr. 36.6 pp."/>
                    <w:tag w:val="part_d0fb5c9d141749b68750af995ed89b4e"/>
                    <w:lock w:val="sdtLocked"/>
                    <w:richText/>
                  </w:sdtPr>
                  <w:sdtContent>
                    <w:p>
                      <w:pPr>
                        <w:ind w:firstLine="567"/>
                        <w:jc w:val="both"/>
                        <w:rPr>
                          <w:color w:val="000000"/>
                          <w:szCs w:val="24"/>
                          <w:lang w:eastAsia="lt-LT"/>
                        </w:rPr>
                      </w:pPr>
                      <w:sdt>
                        <w:sdtPr>
                          <w:alias w:val="Numeris"/>
                          <w:tag w:val="nr_d0fb5c9d141749b68750af995ed89b4e"/>
                          <w:lock w:val="sdtLocked"/>
                          <w:richText/>
                        </w:sdtPr>
                        <w:sdtContent>
                          <w:r>
                            <w:rPr>
                              <w:color w:val="000000"/>
                              <w:szCs w:val="24"/>
                              <w:lang w:eastAsia="lt-LT"/>
                            </w:rPr>
                            <w:t>36.6</w:t>
                          </w:r>
                        </w:sdtContent>
                      </w:sdt>
                      <w:r>
                        <w:rPr>
                          <w:color w:val="000000"/>
                          <w:szCs w:val="24"/>
                          <w:lang w:eastAsia="lt-LT"/>
                        </w:rPr>
                        <w:t>. narkotinių medžiagų naudojimo tyrimus, jei yra klinikinių indikacijų;</w:t>
                      </w:r>
                    </w:p>
                  </w:sdtContent>
                </w:sdt>
                <w:sdt>
                  <w:sdtPr>
                    <w:alias w:val="12 pr. 36.7 pp."/>
                    <w:tag w:val="part_866044860ae848a188a8e625a4e62e51"/>
                    <w:lock w:val="sdtLocked"/>
                    <w:richText/>
                  </w:sdtPr>
                  <w:sdtContent>
                    <w:p>
                      <w:pPr>
                        <w:ind w:firstLine="567"/>
                        <w:jc w:val="both"/>
                        <w:rPr>
                          <w:color w:val="000000"/>
                          <w:szCs w:val="24"/>
                          <w:lang w:eastAsia="lt-LT"/>
                        </w:rPr>
                      </w:pPr>
                      <w:sdt>
                        <w:sdtPr>
                          <w:alias w:val="Numeris"/>
                          <w:tag w:val="nr_866044860ae848a188a8e625a4e62e51"/>
                          <w:lock w:val="sdtLocked"/>
                          <w:richText/>
                        </w:sdtPr>
                        <w:sdtContent>
                          <w:r>
                            <w:rPr>
                              <w:color w:val="000000"/>
                              <w:szCs w:val="24"/>
                              <w:lang w:eastAsia="lt-LT"/>
                            </w:rPr>
                            <w:t>36.7</w:t>
                          </w:r>
                        </w:sdtContent>
                      </w:sdt>
                      <w:r>
                        <w:rPr>
                          <w:color w:val="000000"/>
                          <w:szCs w:val="24"/>
                          <w:lang w:eastAsia="lt-LT"/>
                        </w:rPr>
                        <w:t>. vyresniems nei 40 metų traukinio mašinistams – EKG, esant ramybės būsenos.</w:t>
                      </w:r>
                    </w:p>
                    <w:p>
                      <w:pPr>
                        <w:ind w:firstLine="629"/>
                        <w:jc w:val="both"/>
                        <w:rPr>
                          <w:color w:val="000000"/>
                          <w:szCs w:val="24"/>
                          <w:lang w:eastAsia="lt-LT"/>
                        </w:rPr>
                      </w:pPr>
                    </w:p>
                  </w:sdtContent>
                </w:sdt>
              </w:sdtContent>
            </w:sdt>
          </w:sdtContent>
        </w:sdt>
        <w:sdt>
          <w:sdtPr>
            <w:alias w:val="skyrius"/>
            <w:tag w:val="part_5068e0895c2e4fa2835e9d18514fa4e6"/>
            <w:lock w:val="sdtLocked"/>
            <w:richText/>
          </w:sdtPr>
          <w:sdtContent>
            <w:p>
              <w:pPr>
                <w:jc w:val="center"/>
                <w:rPr>
                  <w:b/>
                  <w:bCs/>
                  <w:caps/>
                  <w:color w:val="000000"/>
                  <w:szCs w:val="24"/>
                  <w:lang w:eastAsia="lt-LT"/>
                </w:rPr>
              </w:pPr>
              <w:sdt>
                <w:sdtPr>
                  <w:alias w:val="Numeris"/>
                  <w:tag w:val="nr_5068e0895c2e4fa2835e9d18514fa4e6"/>
                  <w:lock w:val="sdtLocked"/>
                  <w:richText/>
                </w:sdtPr>
                <w:sdtContent>
                  <w:r>
                    <w:rPr>
                      <w:b/>
                      <w:bCs/>
                      <w:caps/>
                      <w:color w:val="000000"/>
                      <w:szCs w:val="24"/>
                      <w:lang w:eastAsia="lt-LT"/>
                    </w:rPr>
                    <w:t>VI</w:t>
                  </w:r>
                </w:sdtContent>
              </w:sdt>
              <w:r>
                <w:rPr>
                  <w:b/>
                  <w:bCs/>
                  <w:caps/>
                  <w:color w:val="000000"/>
                  <w:szCs w:val="24"/>
                  <w:lang w:eastAsia="lt-LT"/>
                </w:rPr>
                <w:t>  SKYRIUS</w:t>
              </w:r>
            </w:p>
            <w:p>
              <w:pPr>
                <w:jc w:val="center"/>
                <w:rPr>
                  <w:color w:val="000000"/>
                  <w:szCs w:val="24"/>
                  <w:lang w:eastAsia="lt-LT"/>
                </w:rPr>
              </w:pPr>
              <w:sdt>
                <w:sdtPr>
                  <w:alias w:val="Pavadinimas"/>
                  <w:tag w:val="title_5068e0895c2e4fa2835e9d18514fa4e6"/>
                  <w:lock w:val="sdtLocked"/>
                  <w:richText/>
                </w:sdtPr>
                <w:sdtContent>
                  <w:r>
                    <w:rPr>
                      <w:b/>
                      <w:bCs/>
                      <w:caps/>
                      <w:color w:val="000000"/>
                      <w:szCs w:val="24"/>
                      <w:lang w:eastAsia="lt-LT"/>
                    </w:rPr>
                    <w:t>BAIGIAMOSIOS NUOSTATOS</w:t>
                  </w:r>
                </w:sdtContent>
              </w:sdt>
            </w:p>
            <w:p>
              <w:pPr>
                <w:ind w:firstLine="629"/>
                <w:jc w:val="both"/>
                <w:rPr>
                  <w:color w:val="000000"/>
                  <w:szCs w:val="24"/>
                  <w:lang w:eastAsia="lt-LT"/>
                </w:rPr>
              </w:pPr>
            </w:p>
            <w:sdt>
              <w:sdtPr>
                <w:alias w:val="12 pr. 37 p."/>
                <w:tag w:val="part_f3c2f2973be34974bff285b0841d5204"/>
                <w:lock w:val="sdtLocked"/>
                <w:richText/>
              </w:sdtPr>
              <w:sdtContent>
                <w:p>
                  <w:pPr>
                    <w:ind w:firstLine="567"/>
                    <w:jc w:val="both"/>
                    <w:rPr>
                      <w:color w:val="000000"/>
                      <w:szCs w:val="24"/>
                      <w:lang w:eastAsia="lt-LT"/>
                    </w:rPr>
                  </w:pPr>
                  <w:sdt>
                    <w:sdtPr>
                      <w:alias w:val="Numeris"/>
                      <w:tag w:val="nr_f3c2f2973be34974bff285b0841d5204"/>
                      <w:lock w:val="sdtLocked"/>
                      <w:richText/>
                    </w:sdtPr>
                    <w:sdtContent>
                      <w:r>
                        <w:rPr>
                          <w:color w:val="000000"/>
                          <w:szCs w:val="24"/>
                          <w:lang w:eastAsia="lt-LT"/>
                        </w:rPr>
                        <w:t>37</w:t>
                      </w:r>
                    </w:sdtContent>
                  </w:sdt>
                  <w:r>
                    <w:rPr>
                      <w:color w:val="000000"/>
                      <w:szCs w:val="24"/>
                      <w:lang w:eastAsia="lt-LT"/>
                    </w:rPr>
                    <w:t xml:space="preserve">. ASPĮ atlikus privalomą sveikatos patikrinimą, forma Nr. 047/a ar F Nr. 048/a atiduodama pacientui, kuris pats ją pateikia darbdaviui atstovaujančiam ar jo įgaliotam asmeniui. </w:t>
                  </w:r>
                </w:p>
              </w:sdtContent>
            </w:sdt>
            <w:sdt>
              <w:sdtPr>
                <w:alias w:val="12 pr. 38 p."/>
                <w:tag w:val="part_24db75b65785484380e55064df5f7efa"/>
                <w:lock w:val="sdtLocked"/>
                <w:richText/>
              </w:sdtPr>
              <w:sdtContent>
                <w:p>
                  <w:pPr>
                    <w:tabs>
                      <w:tab w:val="left" w:pos="0"/>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rPr>
                      <w:rFonts w:eastAsia="Calibri"/>
                      <w:szCs w:val="24"/>
                    </w:rPr>
                  </w:pPr>
                  <w:sdt>
                    <w:sdtPr>
                      <w:alias w:val="Numeris"/>
                      <w:tag w:val="nr_24db75b65785484380e55064df5f7efa"/>
                      <w:lock w:val="sdtLocked"/>
                      <w:richText/>
                    </w:sdtPr>
                    <w:sdtContent>
                      <w:r>
                        <w:rPr>
                          <w:color w:val="000000"/>
                          <w:szCs w:val="24"/>
                        </w:rPr>
                        <w:t>38</w:t>
                      </w:r>
                    </w:sdtContent>
                  </w:sdt>
                  <w:r>
                    <w:rPr>
                      <w:color w:val="000000"/>
                      <w:szCs w:val="24"/>
                    </w:rPr>
                    <w:t>. Jeigu ASPĮ, atliekančioje privalomą sveikatos patikrinimą,</w:t>
                  </w:r>
                  <w:r>
                    <w:rPr>
                      <w:szCs w:val="24"/>
                    </w:rPr>
                    <w:t xml:space="preserve"> gauta darbdaviui atstovaujančio ar jo įgalioto asmens elektroniniu būdu užpildytos formos Nr. E047 ar formos Nr. E048 darbdavio dalis, atlikus </w:t>
                  </w:r>
                  <w:r>
                    <w:rPr>
                      <w:color w:val="000000"/>
                      <w:szCs w:val="24"/>
                    </w:rPr>
                    <w:t xml:space="preserve">Aprašo 4 punkte nurodytų asmenų </w:t>
                  </w:r>
                  <w:r>
                    <w:rPr>
                      <w:szCs w:val="24"/>
                    </w:rPr>
                    <w:t>sveikatos tikrinimą, ESPBI IS yra užpildoma atitinkamos formos ASPĮ dalis.</w:t>
                  </w:r>
                  <w:r>
                    <w:rPr>
                      <w:color w:val="000000"/>
                      <w:szCs w:val="24"/>
                    </w:rPr>
                    <w:t> Esant ESPBI IS arba ASPĮ vidinių informacinės sistemos veikimo sutrikimų, forma Nr. E047 arba forma Nr. E048 užpildoma atkūrus sistemos / sistemų veiklą. Užpildytą formą Nr. E047 arba formą Nr. E048 darbdaviui atstovaujantis ar jo įgaliotas asmuo gauna tiesiogiai elektroninėmis priemonėmis. Pacientui pageidaujant, ASPĮ nustatyta tvarka išduodama atspausdinta formos Nr. E047 arba formos Nr. E048 kopija.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c1d914846111efabdbb4a1fc8b0b63">
                    <w:r w:rsidRPr="00532B9F">
                      <w:rPr>
                        <w:rFonts w:ascii="Times New Roman" w:eastAsia="MS Mincho" w:hAnsi="Times New Roman"/>
                        <w:sz w:val="20"/>
                        <w:i/>
                        <w:iCs/>
                        <w:color w:val="0000FF" w:themeColor="hyperlink"/>
                        <w:u w:val="single"/>
                      </w:rPr>
                      <w:t>V-966</w:t>
                    </w:r>
                  </w:fldSimple>
                  <w:r>
                    <w:rPr>
                      <w:rFonts w:ascii="Times New Roman" w:eastAsia="MS Mincho" w:hAnsi="Times New Roman"/>
                      <w:sz w:val="20"/>
                      <w:i/>
                      <w:iCs/>
                    </w:rPr>
                    <w:t>,
2024-10-07,
paskelbta TAR 2024-10-07, i. k. 2024-17546            </w:t>
                  </w:r>
                </w:p>
                <w:p/>
              </w:sdtContent>
            </w:sdt>
            <w:sdt>
              <w:sdtPr>
                <w:alias w:val="12 pr. 39 p."/>
                <w:tag w:val="part_7b327be1141a4af9801229710280b573"/>
                <w:lock w:val="sdtLocked"/>
                <w:richText/>
              </w:sdtPr>
              <w:sdtContent>
                <w:p>
                  <w:pPr>
                    <w:ind w:firstLine="567"/>
                    <w:jc w:val="both"/>
                    <w:rPr>
                      <w:color w:val="000000"/>
                      <w:szCs w:val="24"/>
                      <w:lang w:eastAsia="lt-LT"/>
                    </w:rPr>
                  </w:pPr>
                  <w:sdt>
                    <w:sdtPr>
                      <w:alias w:val="Numeris"/>
                      <w:tag w:val="nr_7b327be1141a4af9801229710280b573"/>
                      <w:lock w:val="sdtLocked"/>
                      <w:richText/>
                    </w:sdtPr>
                    <w:sdtContent>
                      <w:r>
                        <w:rPr>
                          <w:color w:val="000000"/>
                          <w:szCs w:val="24"/>
                          <w:lang w:eastAsia="lt-LT"/>
                        </w:rPr>
                        <w:t>39</w:t>
                      </w:r>
                    </w:sdtContent>
                  </w:sdt>
                  <w:r>
                    <w:rPr>
                      <w:color w:val="000000"/>
                      <w:szCs w:val="24"/>
                      <w:lang w:eastAsia="lt-LT"/>
                    </w:rPr>
                    <w:t>. Sudėtingais ir ginčytinais atvejais apie tinkamumą dirbti traukinio mašinistu ar geležinkeliečiu sprendžia ASPĮ gydytojų konsultacinė komisija (toliau – GKK).</w:t>
                  </w:r>
                </w:p>
              </w:sdtContent>
            </w:sdt>
            <w:sdt>
              <w:sdtPr>
                <w:alias w:val="12 pr. 40 p."/>
                <w:tag w:val="part_a3d82b2ce09c4dc5a714f411d6dc4c8e"/>
                <w:lock w:val="sdtLocked"/>
                <w:richText/>
              </w:sdtPr>
              <w:sdtContent>
                <w:p>
                  <w:pPr>
                    <w:ind w:firstLine="567"/>
                    <w:jc w:val="both"/>
                    <w:rPr>
                      <w:color w:val="000000"/>
                      <w:szCs w:val="24"/>
                      <w:lang w:eastAsia="lt-LT"/>
                    </w:rPr>
                  </w:pPr>
                  <w:sdt>
                    <w:sdtPr>
                      <w:alias w:val="Numeris"/>
                      <w:tag w:val="nr_a3d82b2ce09c4dc5a714f411d6dc4c8e"/>
                      <w:lock w:val="sdtLocked"/>
                      <w:richText/>
                    </w:sdtPr>
                    <w:sdtContent>
                      <w:r>
                        <w:rPr>
                          <w:color w:val="000000"/>
                          <w:szCs w:val="24"/>
                          <w:lang w:eastAsia="lt-LT"/>
                        </w:rPr>
                        <w:t>40</w:t>
                      </w:r>
                    </w:sdtContent>
                  </w:sdt>
                  <w:r>
                    <w:rPr>
                      <w:color w:val="000000"/>
                      <w:szCs w:val="24"/>
                      <w:lang w:eastAsia="lt-LT"/>
                    </w:rPr>
                    <w:t>. Kai kyla klausimų dėl individualaus tinkamumo dirbti dėl psichikos sveikatos būklės, sprendžia psichikos sveikatos priežiūros įstaigos GKK, sudaryta iš gydytojų psichiatrų. Į šią komisiją gali būti įtraukti ir kiti psichikos sveikatos priežiūros specialistai.</w:t>
                  </w:r>
                </w:p>
              </w:sdtContent>
            </w:sdt>
            <w:sdt>
              <w:sdtPr>
                <w:alias w:val="12 pr. 41 p."/>
                <w:tag w:val="part_7d88dd7780fc4ef8aa3edd7f28528474"/>
                <w:lock w:val="sdtLocked"/>
                <w:richText/>
              </w:sdtPr>
              <w:sdtContent>
                <w:p>
                  <w:pPr>
                    <w:ind w:firstLine="567"/>
                    <w:jc w:val="both"/>
                    <w:rPr>
                      <w:color w:val="000000"/>
                      <w:szCs w:val="24"/>
                      <w:lang w:eastAsia="lt-LT"/>
                    </w:rPr>
                  </w:pPr>
                  <w:sdt>
                    <w:sdtPr>
                      <w:alias w:val="Numeris"/>
                      <w:tag w:val="nr_7d88dd7780fc4ef8aa3edd7f28528474"/>
                      <w:lock w:val="sdtLocked"/>
                      <w:richText/>
                    </w:sdtPr>
                    <w:sdtContent>
                      <w:r>
                        <w:rPr>
                          <w:color w:val="000000"/>
                          <w:szCs w:val="24"/>
                          <w:lang w:eastAsia="lt-LT"/>
                        </w:rPr>
                        <w:t>41</w:t>
                      </w:r>
                    </w:sdtContent>
                  </w:sdt>
                  <w:r>
                    <w:rPr>
                      <w:color w:val="000000"/>
                      <w:szCs w:val="24"/>
                      <w:lang w:eastAsia="lt-LT"/>
                    </w:rPr>
                    <w:t>. Pacientas, nesutinkantis su privalomo sveikatos patikrinimo išvadomis, gali jas apskųsti Lietuvos Respublikos pacientų teisių ir žalos sveikatai atlyginimo įstatymo nustatyta tvarka.</w:t>
                  </w:r>
                </w:p>
                <w:p>
                  <w:pPr>
                    <w:ind w:firstLine="567"/>
                    <w:jc w:val="both"/>
                    <w:rPr>
                      <w:color w:val="000000"/>
                      <w:szCs w:val="24"/>
                      <w:lang w:eastAsia="lt-LT"/>
                    </w:rPr>
                  </w:pPr>
                </w:p>
              </w:sdtContent>
            </w:sdt>
          </w:sdtContent>
        </w:sdt>
        <w:sdt>
          <w:sdtPr>
            <w:alias w:val="pabaiga"/>
            <w:tag w:val="part_28dc116ae5814f97b793174ace06e61e"/>
            <w:lock w:val="sdtLocked"/>
            <w:richText/>
          </w:sdtPr>
          <w:sdtContent>
            <w:p>
              <w:pPr>
                <w:jc w:val="center"/>
                <w:rPr>
                  <w:color w:val="000000"/>
                  <w:szCs w:val="24"/>
                  <w:lang w:eastAsia="lt-LT"/>
                </w:rPr>
              </w:pPr>
              <w:r>
                <w:rPr>
                  <w:color w:val="000000"/>
                  <w:szCs w:val="24"/>
                  <w:lang w:eastAsia="lt-LT"/>
                </w:rPr>
                <w:t>___________________________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82D19C6A6B6">
            <w:r w:rsidRPr="00532B9F">
              <w:rPr>
                <w:rFonts w:ascii="Times New Roman" w:eastAsia="MS Mincho" w:hAnsi="Times New Roman"/>
                <w:sz w:val="20"/>
                <w:i/>
                <w:iCs/>
                <w:color w:val="0000FF" w:themeColor="hyperlink"/>
                <w:u w:val="single"/>
              </w:rPr>
              <w:t>V-1062</w:t>
            </w:r>
          </w:fldSimple>
          <w:r>
            <w:rPr>
              <w:rFonts w:ascii="Times New Roman" w:eastAsia="MS Mincho" w:hAnsi="Times New Roman"/>
              <w:sz w:val="20"/>
              <w:i/>
              <w:iCs/>
            </w:rPr>
            <w:t>,
2009-12-23,
Žin., 2010, Nr.
1-45 (2010-01-05), i. k. 1092250ISAK00V-1062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0f81cd0e33011ed9978886e85107ab2">
            <w:r w:rsidRPr="00532B9F">
              <w:rPr>
                <w:rFonts w:ascii="Times New Roman" w:eastAsia="MS Mincho" w:hAnsi="Times New Roman"/>
                <w:sz w:val="20"/>
                <w:i/>
                <w:iCs/>
                <w:color w:val="0000FF" w:themeColor="hyperlink"/>
                <w:u w:val="single"/>
              </w:rPr>
              <w:t>V-506</w:t>
            </w:r>
          </w:fldSimple>
          <w:r>
            <w:rPr>
              <w:rFonts w:ascii="Times New Roman" w:eastAsia="MS Mincho" w:hAnsi="Times New Roman"/>
              <w:sz w:val="20"/>
              <w:i/>
              <w:iCs/>
            </w:rPr>
            <w:t>,
2023-04-25,
paskelbta TAR 2023-04-25, i. k. 2023-07901            </w:t>
          </w:r>
        </w:p>
        <w:p/>
      </w:sdtContent>
    </w:sdt>
    <w:sdt>
      <w:sdtPr>
        <w:alias w:val="lentele"/>
        <w:tag w:val="part_d9f06a71aefd43cd958038c1762c8543"/>
        <w:lock w:val="sdtLocked"/>
        <w:richText/>
      </w:sdtPr>
      <w:sdtContent>
        <w:p>
          <w:pPr>
            <w:jc w:val="center"/>
            <w:rPr>
              <w:color w:val="000000"/>
              <w:szCs w:val="24"/>
              <w:lang w:eastAsia="lt-LT"/>
            </w:rPr>
          </w:pPr>
        </w:p>
        <w:p>
          <w:pPr>
            <w:ind w:left="9000"/>
            <w:sectPr>
              <w:pgSz w:w="11906" w:h="16838"/>
              <w:pgMar w:top="567" w:right="1134" w:bottom="1134" w:left="1701" w:header="567" w:footer="567" w:gutter="0"/>
              <w:pgNumType w:start="1"/>
              <w:cols w:space="1296"/>
              <w:titlePg/>
              <w:docGrid w:linePitch="326"/>
            </w:sectPr>
          </w:pPr>
        </w:p>
        <w:p>
          <w:pPr>
            <w:ind w:left="9000"/>
          </w:pPr>
          <w:r>
            <w:t>1 lentelė</w:t>
          </w:r>
        </w:p>
        <w:p>
          <w:pPr>
            <w:jc w:val="both"/>
            <w:rPr>
              <w:rFonts w:eastAsia="MS Mincho"/>
            </w:rPr>
          </w:pPr>
        </w:p>
        <w:p>
          <w:pPr>
            <w:jc w:val="center"/>
          </w:pPr>
          <w:r>
            <w:rPr>
              <w:b/>
              <w:bCs/>
              <w:color w:val="000000"/>
              <w:szCs w:val="24"/>
              <w:lang w:eastAsia="lt-LT"/>
            </w:rPr>
            <w:t>RIBOJIMAI, TAIKOMI ASMENIMS, SIEKIANTIEMS ĮSIDARBINTI AR DIRBTI TRAUKINIO MAŠINISTAIS</w:t>
          </w:r>
        </w:p>
        <w:tbl>
          <w:tblPr>
            <w:tblW w:w="14220" w:type="dxa"/>
            <w:tblInd w:w="10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720"/>
            <w:gridCol w:w="8820"/>
            <w:gridCol w:w="2340"/>
            <w:gridCol w:w="2340"/>
          </w:tblGrid>
          <w:tr>
            <w:trPr>
              <w:cantSplit/>
              <w:trHeight w:val="20"/>
              <w:tblHeader/>
            </w:trPr>
            <w:tc>
              <w:tcPr>
                <w:tcW w:w="720" w:type="dxa"/>
                <w:vMerge w:val="restart"/>
                <w:vAlign w:val="center"/>
              </w:tcPr>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jc w:val="center"/>
                  <w:rPr>
                    <w:b/>
                    <w:bCs/>
                    <w:color w:val="000000"/>
                    <w:sz w:val="22"/>
                    <w:szCs w:val="22"/>
                  </w:rPr>
                </w:pPr>
                <w:r>
                  <w:rPr>
                    <w:b/>
                    <w:bCs/>
                    <w:color w:val="000000"/>
                    <w:sz w:val="22"/>
                    <w:szCs w:val="22"/>
                  </w:rPr>
                  <w:t>Eil. Nr.</w:t>
                </w:r>
              </w:p>
            </w:tc>
            <w:tc>
              <w:tcPr>
                <w:tcW w:w="8820" w:type="dxa"/>
                <w:vMerge w:val="restart"/>
                <w:vAlign w:val="center"/>
              </w:tcPr>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jc w:val="center"/>
                  <w:rPr>
                    <w:b/>
                    <w:bCs/>
                    <w:color w:val="000000"/>
                    <w:sz w:val="22"/>
                    <w:szCs w:val="22"/>
                  </w:rPr>
                </w:pPr>
                <w:r>
                  <w:rPr>
                    <w:b/>
                    <w:bCs/>
                    <w:color w:val="000000"/>
                    <w:sz w:val="22"/>
                    <w:szCs w:val="22"/>
                    <w:lang w:val="pt-BR"/>
                  </w:rPr>
                  <w:t xml:space="preserve">Ligos ir sveikatos būklės, dėl kurių ribojama teisė įsidarbinti ar </w:t>
                </w:r>
                <w:r>
                  <w:rPr>
                    <w:b/>
                    <w:bCs/>
                    <w:color w:val="000000"/>
                    <w:sz w:val="22"/>
                    <w:szCs w:val="22"/>
                  </w:rPr>
                  <w:t>dirbti traukinio mašinistais</w:t>
                </w:r>
              </w:p>
            </w:tc>
            <w:tc>
              <w:tcPr>
                <w:tcW w:w="4680" w:type="dxa"/>
                <w:gridSpan w:val="2"/>
                <w:tcBorders>
                  <w:right w:val="single" w:sz="6" w:space="0" w:color="auto"/>
                </w:tcBorders>
              </w:tcPr>
              <w:p>
                <w:pPr>
                  <w:jc w:val="center"/>
                  <w:rPr>
                    <w:sz w:val="22"/>
                    <w:szCs w:val="22"/>
                  </w:rPr>
                </w:pPr>
                <w:r>
                  <w:rPr>
                    <w:b/>
                    <w:bCs/>
                    <w:color w:val="000000"/>
                    <w:sz w:val="22"/>
                    <w:szCs w:val="22"/>
                  </w:rPr>
                  <w:t>Draudžiama</w:t>
                </w:r>
              </w:p>
            </w:tc>
          </w:tr>
          <w:tr>
            <w:trPr>
              <w:cantSplit/>
              <w:trHeight w:val="20"/>
              <w:tblHeader/>
            </w:trPr>
            <w:tc>
              <w:tcPr>
                <w:tcW w:w="720" w:type="dxa"/>
                <w:vMerge/>
                <w:hideMark/>
              </w:tcPr>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rPr>
                    <w:color w:val="000000"/>
                    <w:sz w:val="22"/>
                    <w:szCs w:val="22"/>
                  </w:rPr>
                </w:pPr>
              </w:p>
            </w:tc>
            <w:tc>
              <w:tcPr>
                <w:tcW w:w="8820" w:type="dxa"/>
                <w:vMerge/>
                <w:hideMark/>
              </w:tcPr>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rPr>
                    <w:color w:val="000000"/>
                    <w:sz w:val="22"/>
                    <w:szCs w:val="22"/>
                  </w:rPr>
                </w:pPr>
              </w:p>
            </w:tc>
            <w:tc>
              <w:tcPr>
                <w:tcW w:w="2340" w:type="dxa"/>
                <w:hideMark/>
              </w:tcPr>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rPr>
                    <w:b/>
                    <w:bCs/>
                    <w:color w:val="000000"/>
                    <w:sz w:val="22"/>
                    <w:szCs w:val="22"/>
                  </w:rPr>
                </w:pPr>
                <w:r>
                  <w:rPr>
                    <w:b/>
                    <w:bCs/>
                    <w:color w:val="000000"/>
                    <w:sz w:val="22"/>
                    <w:szCs w:val="22"/>
                  </w:rPr>
                  <w:t>Prieš priimant į darbą</w:t>
                </w:r>
              </w:p>
            </w:tc>
            <w:tc>
              <w:tcPr>
                <w:tcW w:w="2340" w:type="dxa"/>
                <w:hideMark/>
              </w:tcPr>
              <w:p>
                <w:pPr>
                  <w:jc w:val="center"/>
                  <w:rPr>
                    <w:b/>
                    <w:bCs/>
                    <w:color w:val="000000"/>
                    <w:sz w:val="22"/>
                    <w:szCs w:val="22"/>
                    <w:lang w:eastAsia="lt-LT"/>
                  </w:rPr>
                </w:pPr>
                <w:r>
                  <w:rPr>
                    <w:b/>
                    <w:bCs/>
                    <w:color w:val="000000"/>
                    <w:sz w:val="22"/>
                    <w:szCs w:val="22"/>
                    <w:lang w:eastAsia="lt-LT"/>
                  </w:rPr>
                  <w:t>Periodiškai</w:t>
                </w:r>
              </w:p>
              <w:p>
                <w:pPr>
                  <w:jc w:val="center"/>
                  <w:rPr>
                    <w:b/>
                    <w:bCs/>
                    <w:color w:val="000000"/>
                    <w:sz w:val="22"/>
                    <w:szCs w:val="22"/>
                  </w:rPr>
                </w:pPr>
                <w:r>
                  <w:rPr>
                    <w:b/>
                    <w:bCs/>
                    <w:color w:val="000000"/>
                    <w:sz w:val="22"/>
                    <w:szCs w:val="22"/>
                    <w:lang w:eastAsia="lt-LT"/>
                  </w:rPr>
                  <w:t>(dirbant)</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1.</w:t>
                </w:r>
              </w:p>
            </w:tc>
            <w:tc>
              <w:tcPr>
                <w:tcW w:w="8820" w:type="dxa"/>
                <w:tcBorders>
                  <w:top w:val="single" w:sz="6" w:space="0" w:color="auto"/>
                  <w:left w:val="single" w:sz="6" w:space="0" w:color="auto"/>
                  <w:bottom w:val="single" w:sz="6" w:space="0" w:color="auto"/>
                  <w:right w:val="single" w:sz="6" w:space="0" w:color="auto"/>
                </w:tcBorders>
                <w:hideMark/>
              </w:tcPr>
              <w:p>
                <w:pPr>
                  <w:rPr>
                    <w:sz w:val="22"/>
                    <w:szCs w:val="22"/>
                  </w:rPr>
                </w:pPr>
                <w:r>
                  <w:rPr>
                    <w:b/>
                    <w:sz w:val="22"/>
                    <w:szCs w:val="22"/>
                  </w:rPr>
                  <w:t>REGĖJIMAS</w:t>
                </w:r>
                <w:r>
                  <w:rPr>
                    <w:sz w:val="22"/>
                    <w:szCs w:val="22"/>
                  </w:rPr>
                  <w:t xml:space="preserve"> Turi būti laikomasi šių su regėjimu susijusių reikalavimų: regėjimo į tolį aštrumas su pagalba ar be jos: 1,0; blogiau matančios akies – mažiausiai 0,5</w:t>
                </w:r>
              </w:p>
              <w:p>
                <w:pPr>
                  <w:rPr>
                    <w:sz w:val="22"/>
                    <w:szCs w:val="22"/>
                  </w:rPr>
                </w:pPr>
                <w:r>
                  <w:rPr>
                    <w:sz w:val="22"/>
                    <w:szCs w:val="22"/>
                  </w:rPr>
                  <w:t>Pastaba. Įsidarbinančiųjų traukinio mašinisto pažymėjimui gauti arba tokiam pažymėjimui atnaujinti sveikesnės akies regėjimo aštrumas, jeigu reikia, su korekciniais lęšiais, privalo būti ne mažesnis kaip1,0, o silpnesnės akies – ne mažesnis kaip 0,5. Jei korekciniai lęšiai naudojami tam, kad regėjimo aštrumas būtų 1,0 ir 0,5, regėjimo aštrumas kiekviena akimi be korekcinių lęšių privalo būti 0,05 arba minimalus regėjimo aštrumas (1,0 ir 0,5) privalo būti pasiektas nešiojant akinius, kurių stiprumas neturi būti didesnis kaip plius ar minus penkios dioptrijos, arba nešiojant kontaktinius lęšius (nekoreguotas regėjimas ne mažiau kaip 0,05). Korekcija turi būti gerai toleruojama. Mašinisto pažymėjimai neišduodami tiems kandidatams į mašinistus ar neatnaujinami tiems, kurių binokuliarinis regėjimo laukas nėra normalus arba kurie serga diplopija.</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Žr. pastabą</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Žr. pastabą</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1.1.</w:t>
                </w:r>
              </w:p>
            </w:tc>
            <w:tc>
              <w:tcPr>
                <w:tcW w:w="8820" w:type="dxa"/>
                <w:tcBorders>
                  <w:top w:val="single" w:sz="6" w:space="0" w:color="auto"/>
                  <w:left w:val="single" w:sz="6" w:space="0" w:color="auto"/>
                  <w:bottom w:val="single" w:sz="6" w:space="0" w:color="auto"/>
                  <w:right w:val="single" w:sz="6" w:space="0" w:color="auto"/>
                </w:tcBorders>
                <w:hideMark/>
              </w:tcPr>
              <w:p>
                <w:pPr>
                  <w:rPr>
                    <w:sz w:val="22"/>
                    <w:szCs w:val="22"/>
                    <w:lang w:val="pt-BR"/>
                  </w:rPr>
                </w:pPr>
                <w:r>
                  <w:rPr>
                    <w:sz w:val="22"/>
                    <w:szCs w:val="22"/>
                    <w:lang w:val="pt-BR"/>
                  </w:rPr>
                  <w:t xml:space="preserve">Toliaregystė H52.0 arba trumparegystė H52.1 </w:t>
                </w:r>
              </w:p>
              <w:p>
                <w:pPr>
                  <w:rPr>
                    <w:sz w:val="22"/>
                    <w:szCs w:val="22"/>
                  </w:rPr>
                </w:pPr>
                <w:r>
                  <w:rPr>
                    <w:sz w:val="22"/>
                    <w:szCs w:val="22"/>
                    <w:lang w:val="pt-BR"/>
                  </w:rPr>
                  <w:t xml:space="preserve">Pastaba. Leidžiama naudoti kontaktinius lęšius ar akinius, jei regėjimą periodiškai tikrina gydytojas oftalmologas. Korekciniams lęšiams taikomi maksimumai: +5 D ir -8 D. Jei mašinistas daug metų dirbo tą darbą </w:t>
                </w:r>
                <w:r>
                  <w:rPr>
                    <w:sz w:val="22"/>
                    <w:szCs w:val="22"/>
                  </w:rPr>
                  <w:t>– spręsti individualiai.</w:t>
                </w:r>
                <w:r>
                  <w:rPr>
                    <w:sz w:val="22"/>
                    <w:szCs w:val="22"/>
                    <w:lang w:val="pt-BR"/>
                  </w:rPr>
                  <w:t xml:space="preserve"> Išimtis galima daryti ypatingais atvejais, sprendimą priima gydytojas oftalmologas.</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lang w:val="pt-BR"/>
                  </w:rPr>
                </w:pPr>
                <w:r>
                  <w:rPr>
                    <w:sz w:val="22"/>
                    <w:szCs w:val="22"/>
                    <w:lang w:val="pt-BR"/>
                  </w:rPr>
                  <w:t xml:space="preserve">Jei toliaregystė daugiau kaip +5 D ir trumparegystė daugiau kaip -5 D </w:t>
                </w:r>
              </w:p>
              <w:p>
                <w:pPr>
                  <w:jc w:val="center"/>
                  <w:rPr>
                    <w:sz w:val="22"/>
                    <w:szCs w:val="22"/>
                    <w:lang w:val="pt-BR"/>
                  </w:rPr>
                </w:pPr>
                <w:r>
                  <w:rPr>
                    <w:sz w:val="22"/>
                    <w:szCs w:val="22"/>
                    <w:lang w:val="pt-BR"/>
                  </w:rPr>
                  <w:t>žr. Pastabą</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lang w:val="pt-BR"/>
                  </w:rPr>
                </w:pPr>
                <w:r>
                  <w:rPr>
                    <w:sz w:val="22"/>
                    <w:szCs w:val="22"/>
                    <w:lang w:val="pt-BR"/>
                  </w:rPr>
                  <w:t xml:space="preserve">Jei toliaregystė daugiau kaip +5 D ir trumparegystė </w:t>
                  <w:br/>
                  <w:t>daugiau kaip -8 D</w:t>
                </w:r>
              </w:p>
              <w:p>
                <w:pPr>
                  <w:ind w:firstLine="55"/>
                  <w:jc w:val="center"/>
                  <w:rPr>
                    <w:sz w:val="22"/>
                    <w:szCs w:val="22"/>
                    <w:lang w:val="pt-BR"/>
                  </w:rPr>
                </w:pPr>
                <w:r>
                  <w:rPr>
                    <w:sz w:val="22"/>
                    <w:szCs w:val="22"/>
                    <w:lang w:val="pt-BR"/>
                  </w:rPr>
                  <w:t>žr. Pastabą</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ind w:right="-119"/>
                  <w:rPr>
                    <w:sz w:val="22"/>
                    <w:szCs w:val="22"/>
                  </w:rPr>
                </w:pPr>
                <w:r>
                  <w:rPr>
                    <w:sz w:val="22"/>
                    <w:szCs w:val="22"/>
                  </w:rPr>
                  <w:t>1.2</w:t>
                </w:r>
              </w:p>
            </w:tc>
            <w:tc>
              <w:tcPr>
                <w:tcW w:w="8820" w:type="dxa"/>
                <w:tcBorders>
                  <w:top w:val="single" w:sz="6" w:space="0" w:color="auto"/>
                  <w:left w:val="single" w:sz="6" w:space="0" w:color="auto"/>
                  <w:bottom w:val="single" w:sz="6" w:space="0" w:color="auto"/>
                  <w:right w:val="single" w:sz="6" w:space="0" w:color="auto"/>
                </w:tcBorders>
                <w:hideMark/>
              </w:tcPr>
              <w:p>
                <w:pPr>
                  <w:rPr>
                    <w:sz w:val="22"/>
                    <w:szCs w:val="22"/>
                    <w:lang w:val="pt-BR"/>
                  </w:rPr>
                </w:pPr>
                <w:r>
                  <w:rPr>
                    <w:sz w:val="22"/>
                    <w:szCs w:val="22"/>
                    <w:lang w:val="pt-BR"/>
                  </w:rPr>
                  <w:t>Glaukoma H40.1–H42 (II–III stadija)</w:t>
                </w:r>
              </w:p>
              <w:p>
                <w:pPr>
                  <w:rPr>
                    <w:sz w:val="22"/>
                    <w:szCs w:val="22"/>
                    <w:lang w:val="pt-BR"/>
                  </w:rPr>
                </w:pPr>
                <w:r>
                  <w:rPr>
                    <w:sz w:val="22"/>
                    <w:szCs w:val="22"/>
                    <w:lang w:val="pt-BR"/>
                  </w:rPr>
                  <w:t>Kitos tinklainės ligos H35–H36 (Progresuojančios akių ligos)</w:t>
                </w:r>
              </w:p>
              <w:p>
                <w:pPr>
                  <w:rPr>
                    <w:sz w:val="22"/>
                    <w:szCs w:val="22"/>
                    <w:lang w:val="pt-BR"/>
                  </w:rPr>
                </w:pPr>
                <w:r>
                  <w:rPr>
                    <w:sz w:val="22"/>
                    <w:szCs w:val="22"/>
                    <w:lang w:val="pt-BR"/>
                  </w:rPr>
                  <w:t xml:space="preserve">Pastaba. I stadijos glaukoma ir jei traukinio mašinistas dirbo tą darbą ne mažiau kaip 10 metų </w:t>
                </w:r>
                <w:r>
                  <w:rPr>
                    <w:sz w:val="22"/>
                    <w:szCs w:val="22"/>
                  </w:rPr>
                  <w:t>– spręsti individualiai.</w:t>
                </w:r>
                <w:r>
                  <w:rPr>
                    <w:sz w:val="22"/>
                    <w:szCs w:val="22"/>
                    <w:lang w:val="pt-BR"/>
                  </w:rPr>
                  <w:t xml:space="preserve"> Išimtis galima daryti ypatingais atvejais, individualiu gydytojo oftalmologo sprendimu.</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Draudžiama</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1.3.</w:t>
                </w:r>
              </w:p>
            </w:tc>
            <w:tc>
              <w:tcPr>
                <w:tcW w:w="8820" w:type="dxa"/>
                <w:tcBorders>
                  <w:top w:val="single" w:sz="6" w:space="0" w:color="auto"/>
                  <w:left w:val="single" w:sz="6" w:space="0" w:color="auto"/>
                  <w:bottom w:val="single" w:sz="6" w:space="0" w:color="auto"/>
                  <w:right w:val="single" w:sz="6" w:space="0" w:color="auto"/>
                </w:tcBorders>
                <w:hideMark/>
              </w:tcPr>
              <w:p>
                <w:pPr>
                  <w:tabs>
                    <w:tab w:val="left" w:pos="1296"/>
                    <w:tab w:val="center" w:pos="4153"/>
                    <w:tab w:val="right" w:pos="8306"/>
                  </w:tabs>
                  <w:rPr>
                    <w:sz w:val="22"/>
                    <w:szCs w:val="22"/>
                  </w:rPr>
                </w:pPr>
                <w:r>
                  <w:rPr>
                    <w:sz w:val="22"/>
                    <w:szCs w:val="22"/>
                  </w:rPr>
                  <w:t>Vokų ligos su regėjimo funkcijos sutrikimu, stabilūs vokų gleivinės pakitimai, vokų raumenų parezės, trukdantys regėjimui arba ribojantys akies obuolio judesius: H02.0–H02.5. Įgimtos vokų, ašarų aparato ir akiduobės formavimosi ydos Q10.0–Q10.3.</w:t>
                </w:r>
              </w:p>
              <w:p>
                <w:pPr>
                  <w:tabs>
                    <w:tab w:val="left" w:pos="1296"/>
                    <w:tab w:val="center" w:pos="4153"/>
                    <w:tab w:val="right" w:pos="8306"/>
                  </w:tabs>
                  <w:rPr>
                    <w:sz w:val="22"/>
                    <w:szCs w:val="22"/>
                  </w:rPr>
                </w:pPr>
                <w:r>
                  <w:rPr>
                    <w:sz w:val="22"/>
                    <w:szCs w:val="22"/>
                    <w:lang w:val="pt-BR"/>
                  </w:rPr>
                  <w:t xml:space="preserve">Pastaba. </w:t>
                </w:r>
                <w:r>
                  <w:rPr>
                    <w:sz w:val="22"/>
                    <w:szCs w:val="22"/>
                  </w:rPr>
                  <w:t>Jeigu po chirurginio gydymo rezultatai geri, dirbti leidžiama.</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Spręsti individualiai</w:t>
                </w:r>
                <w:r>
                  <w:rPr>
                    <w:sz w:val="22"/>
                    <w:szCs w:val="22"/>
                    <w:lang w:val="pt-BR"/>
                  </w:rPr>
                  <w:t xml:space="preserve"> </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1.4.</w:t>
                </w:r>
              </w:p>
            </w:tc>
            <w:tc>
              <w:tcPr>
                <w:tcW w:w="8820" w:type="dxa"/>
                <w:tcBorders>
                  <w:top w:val="single" w:sz="6" w:space="0" w:color="auto"/>
                  <w:left w:val="single" w:sz="6" w:space="0" w:color="auto"/>
                  <w:bottom w:val="single" w:sz="6" w:space="0" w:color="auto"/>
                  <w:right w:val="single" w:sz="6" w:space="0" w:color="auto"/>
                </w:tcBorders>
                <w:hideMark/>
              </w:tcPr>
              <w:p>
                <w:pPr>
                  <w:rPr>
                    <w:sz w:val="22"/>
                    <w:szCs w:val="22"/>
                    <w:lang w:val="pt-BR"/>
                  </w:rPr>
                </w:pPr>
                <w:r>
                  <w:rPr>
                    <w:sz w:val="22"/>
                    <w:szCs w:val="22"/>
                    <w:lang w:val="pt-BR"/>
                  </w:rPr>
                  <w:t>Lėtinės ašarų sistemos ligos, neišgydomas ašarojimas: H04.2, H04.4, H04.5, H04.6; H04.8; H04.9</w:t>
                </w:r>
              </w:p>
              <w:p>
                <w:pPr>
                  <w:rPr>
                    <w:sz w:val="22"/>
                    <w:szCs w:val="22"/>
                    <w:lang w:val="pt-BR"/>
                  </w:rPr>
                </w:pPr>
                <w:r>
                  <w:rPr>
                    <w:sz w:val="22"/>
                    <w:szCs w:val="22"/>
                    <w:lang w:val="pt-BR"/>
                  </w:rPr>
                  <w:t>Pastaba. Jeigu po chirurginio gydymo rezultatai geri, dirbti leidžiama.</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Spręsti individualiai</w:t>
                </w:r>
                <w:r>
                  <w:rPr>
                    <w:sz w:val="22"/>
                    <w:szCs w:val="22"/>
                    <w:lang w:val="pt-BR"/>
                  </w:rPr>
                  <w:t xml:space="preserve"> </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1.5.</w:t>
                </w:r>
              </w:p>
            </w:tc>
            <w:tc>
              <w:tcPr>
                <w:tcW w:w="8820" w:type="dxa"/>
                <w:tcBorders>
                  <w:top w:val="single" w:sz="6" w:space="0" w:color="auto"/>
                  <w:left w:val="single" w:sz="6" w:space="0" w:color="auto"/>
                  <w:bottom w:val="single" w:sz="6" w:space="0" w:color="auto"/>
                  <w:right w:val="single" w:sz="6" w:space="0" w:color="auto"/>
                </w:tcBorders>
                <w:hideMark/>
              </w:tcPr>
              <w:p>
                <w:pPr>
                  <w:rPr>
                    <w:sz w:val="22"/>
                    <w:szCs w:val="22"/>
                    <w:lang w:val="pt-BR"/>
                  </w:rPr>
                </w:pPr>
                <w:r>
                  <w:rPr>
                    <w:sz w:val="22"/>
                    <w:szCs w:val="22"/>
                    <w:lang w:val="pt-BR"/>
                  </w:rPr>
                  <w:t xml:space="preserve">Diplopija ir žvairumas: H49–H50 </w:t>
                </w:r>
              </w:p>
              <w:p>
                <w:pPr>
                  <w:rPr>
                    <w:sz w:val="22"/>
                    <w:szCs w:val="22"/>
                    <w:lang w:val="pt-BR"/>
                  </w:rPr>
                </w:pPr>
                <w:r>
                  <w:rPr>
                    <w:sz w:val="22"/>
                    <w:szCs w:val="22"/>
                    <w:lang w:val="pt-BR"/>
                  </w:rPr>
                  <w:t>Pastaba. Traukinio mašinistu mokytis ir dirbti gali</w:t>
                </w:r>
                <w:r>
                  <w:rPr>
                    <w:sz w:val="22"/>
                    <w:szCs w:val="22"/>
                  </w:rPr>
                  <w:t>.</w:t>
                </w:r>
                <w:r>
                  <w:rPr>
                    <w:sz w:val="22"/>
                    <w:szCs w:val="22"/>
                    <w:lang w:val="pt-BR"/>
                  </w:rPr>
                  <w:t xml:space="preserve"> Išimtis galima daryti ypatingais atvejais, individualiu gydytojo oftalmologo sprendimu.</w:t>
                </w:r>
                <w:r>
                  <w:rPr>
                    <w:i/>
                    <w:sz w:val="22"/>
                    <w:szCs w:val="22"/>
                    <w:lang w:val="pt-BR"/>
                  </w:rPr>
                  <w:t xml:space="preserve"> </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Spręsti individualiai</w:t>
                </w:r>
                <w:r>
                  <w:rPr>
                    <w:sz w:val="22"/>
                    <w:szCs w:val="22"/>
                    <w:lang w:val="pt-BR"/>
                  </w:rPr>
                  <w:t xml:space="preserve"> </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1.6.</w:t>
                </w:r>
              </w:p>
            </w:tc>
            <w:tc>
              <w:tcPr>
                <w:tcW w:w="8820" w:type="dxa"/>
                <w:tcBorders>
                  <w:top w:val="single" w:sz="6" w:space="0" w:color="auto"/>
                  <w:left w:val="single" w:sz="6" w:space="0" w:color="auto"/>
                  <w:bottom w:val="single" w:sz="6" w:space="0" w:color="auto"/>
                  <w:right w:val="single" w:sz="6" w:space="0" w:color="auto"/>
                </w:tcBorders>
                <w:hideMark/>
              </w:tcPr>
              <w:p>
                <w:pPr>
                  <w:rPr>
                    <w:sz w:val="22"/>
                    <w:szCs w:val="22"/>
                    <w:lang w:val="pt-BR"/>
                  </w:rPr>
                </w:pPr>
                <w:r>
                  <w:rPr>
                    <w:sz w:val="22"/>
                    <w:szCs w:val="22"/>
                    <w:lang w:val="pt-BR"/>
                  </w:rPr>
                  <w:t xml:space="preserve">Lęšiuko ligos H 25–H 28, gyslainės ir tinklainės uždegimas H30–H36, </w:t>
                </w:r>
              </w:p>
              <w:p>
                <w:pPr>
                  <w:rPr>
                    <w:sz w:val="22"/>
                    <w:szCs w:val="22"/>
                    <w:lang w:val="pt-BR"/>
                  </w:rPr>
                </w:pPr>
                <w:r>
                  <w:rPr>
                    <w:sz w:val="22"/>
                    <w:szCs w:val="22"/>
                    <w:lang w:val="pt-BR"/>
                  </w:rPr>
                  <w:t>kitos regos nervo (2-ojo) ir regos takų ligos H47</w:t>
                </w:r>
              </w:p>
              <w:p>
                <w:pPr>
                  <w:rPr>
                    <w:sz w:val="22"/>
                    <w:szCs w:val="22"/>
                    <w:lang w:val="pt-BR"/>
                  </w:rPr>
                </w:pPr>
                <w:r>
                  <w:rPr>
                    <w:sz w:val="22"/>
                    <w:szCs w:val="22"/>
                    <w:lang w:val="pt-BR"/>
                  </w:rPr>
                  <w:t>Pastaba. Regėjimo susilpnėjimas dėl nuolatinio šviesos laužiamųjų skaidrių terpių drumstumo arba akių dugno pakitimų, refrakcijos anomalijų ir kitų organinio pobūdžio priežasčių.</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lang w:val="pt-BR"/>
                  </w:rPr>
                </w:pPr>
                <w:r>
                  <w:rPr>
                    <w:sz w:val="22"/>
                    <w:szCs w:val="22"/>
                    <w:lang w:val="pt-BR"/>
                  </w:rPr>
                  <w:t>Jei regėjimas mažesnis kaip 1,0 geresniosios akies ir mažiau kaip 0,5 su korekcija blogiau matančios akies</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lang w:val="pt-BR"/>
                  </w:rPr>
                </w:pPr>
                <w:r>
                  <w:rPr>
                    <w:sz w:val="22"/>
                    <w:szCs w:val="22"/>
                    <w:lang w:val="pt-BR"/>
                  </w:rPr>
                  <w:t>Jei regėjimas mažesnis kaip 1,0 geresniosios akies ir mažiau kaip 0,5 su korekcija blogiau matančios akies</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1.7.</w:t>
                </w:r>
              </w:p>
            </w:tc>
            <w:tc>
              <w:tcPr>
                <w:tcW w:w="8820" w:type="dxa"/>
                <w:tcBorders>
                  <w:top w:val="single" w:sz="6" w:space="0" w:color="auto"/>
                  <w:left w:val="single" w:sz="6" w:space="0" w:color="auto"/>
                  <w:bottom w:val="single" w:sz="6" w:space="0" w:color="auto"/>
                  <w:right w:val="single" w:sz="6" w:space="0" w:color="auto"/>
                </w:tcBorders>
              </w:tcPr>
              <w:p>
                <w:pPr>
                  <w:rPr>
                    <w:sz w:val="22"/>
                    <w:szCs w:val="22"/>
                    <w:lang w:val="pt-BR"/>
                  </w:rPr>
                </w:pPr>
                <w:r>
                  <w:rPr>
                    <w:sz w:val="22"/>
                    <w:szCs w:val="22"/>
                    <w:lang w:val="pt-BR"/>
                  </w:rPr>
                  <w:t xml:space="preserve">Silpnas abiejų akių regėjimas H54.2 </w:t>
                </w:r>
              </w:p>
              <w:p>
                <w:pPr>
                  <w:rPr>
                    <w:sz w:val="22"/>
                    <w:szCs w:val="22"/>
                  </w:rPr>
                </w:pP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Regėjimas su korekcija silpnesnis kaip 0,5 žiūrint abiem akimis</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Regėjimas su korekcija silpnesnis kaip 0,5 žiūrint abiem akimis</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1.8.</w:t>
                </w:r>
              </w:p>
            </w:tc>
            <w:tc>
              <w:tcPr>
                <w:tcW w:w="88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Akipločio defektai H53.4</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Draudžiama</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Draudžiama</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1.9.</w:t>
                </w:r>
              </w:p>
            </w:tc>
            <w:tc>
              <w:tcPr>
                <w:tcW w:w="88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Spalvinio matymo trūkumai H53.5</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Draudžiama</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Draudžiama</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 xml:space="preserve">2 </w:t>
                </w:r>
              </w:p>
            </w:tc>
            <w:tc>
              <w:tcPr>
                <w:tcW w:w="8820" w:type="dxa"/>
                <w:tcBorders>
                  <w:top w:val="single" w:sz="6" w:space="0" w:color="auto"/>
                  <w:left w:val="single" w:sz="6" w:space="0" w:color="auto"/>
                  <w:bottom w:val="single" w:sz="6" w:space="0" w:color="auto"/>
                  <w:right w:val="single" w:sz="6" w:space="0" w:color="auto"/>
                </w:tcBorders>
                <w:hideMark/>
              </w:tcPr>
              <w:p>
                <w:pPr>
                  <w:rPr>
                    <w:b/>
                    <w:bCs/>
                    <w:sz w:val="22"/>
                    <w:szCs w:val="22"/>
                    <w:lang w:val="pt-BR"/>
                  </w:rPr>
                </w:pPr>
                <w:r>
                  <w:rPr>
                    <w:b/>
                    <w:bCs/>
                    <w:sz w:val="22"/>
                    <w:szCs w:val="22"/>
                    <w:lang w:val="pt-BR"/>
                  </w:rPr>
                  <w:t>KLAUSA</w:t>
                </w:r>
              </w:p>
              <w:p>
                <w:pPr>
                  <w:rPr>
                    <w:sz w:val="22"/>
                    <w:szCs w:val="22"/>
                    <w:lang w:val="pt-BR"/>
                  </w:rPr>
                </w:pPr>
                <w:r>
                  <w:rPr>
                    <w:bCs/>
                    <w:sz w:val="22"/>
                    <w:szCs w:val="22"/>
                    <w:lang w:val="pt-BR"/>
                  </w:rPr>
                  <w:t>Sergant šiomis ausies ir speninės ataugos ligomis:</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lang w:val="pt-BR"/>
                  </w:rPr>
                </w:pP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lang w:val="pt-BR"/>
                  </w:rPr>
                </w:pP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2.1.</w:t>
                </w:r>
              </w:p>
            </w:tc>
            <w:tc>
              <w:tcPr>
                <w:tcW w:w="8820" w:type="dxa"/>
                <w:tcBorders>
                  <w:top w:val="single" w:sz="6" w:space="0" w:color="auto"/>
                  <w:left w:val="single" w:sz="6" w:space="0" w:color="auto"/>
                  <w:bottom w:val="single" w:sz="6" w:space="0" w:color="auto"/>
                  <w:right w:val="single" w:sz="6" w:space="0" w:color="auto"/>
                </w:tcBorders>
                <w:hideMark/>
              </w:tcPr>
              <w:p>
                <w:pPr>
                  <w:rPr>
                    <w:sz w:val="22"/>
                    <w:szCs w:val="22"/>
                    <w:lang w:val="pt-BR"/>
                  </w:rPr>
                </w:pPr>
                <w:r>
                  <w:rPr>
                    <w:bCs/>
                    <w:sz w:val="22"/>
                    <w:szCs w:val="22"/>
                    <w:lang w:val="pt-BR"/>
                  </w:rPr>
                  <w:t>Vienpusiu ar abipusiu kurtumu H91.3</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Draudžiama</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Draudžiama</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2.2.</w:t>
                </w:r>
              </w:p>
            </w:tc>
            <w:tc>
              <w:tcPr>
                <w:tcW w:w="8820" w:type="dxa"/>
                <w:tcBorders>
                  <w:top w:val="single" w:sz="6" w:space="0" w:color="auto"/>
                  <w:left w:val="single" w:sz="6" w:space="0" w:color="auto"/>
                  <w:bottom w:val="single" w:sz="6" w:space="0" w:color="auto"/>
                  <w:right w:val="single" w:sz="6" w:space="0" w:color="auto"/>
                </w:tcBorders>
                <w:hideMark/>
              </w:tcPr>
              <w:p>
                <w:pPr>
                  <w:rPr>
                    <w:bCs/>
                    <w:sz w:val="22"/>
                    <w:szCs w:val="22"/>
                  </w:rPr>
                </w:pPr>
                <w:r>
                  <w:rPr>
                    <w:bCs/>
                    <w:sz w:val="22"/>
                    <w:szCs w:val="22"/>
                  </w:rPr>
                  <w:t>otosclerozė H80.0</w:t>
                </w:r>
              </w:p>
              <w:p>
                <w:pPr>
                  <w:rPr>
                    <w:sz w:val="22"/>
                    <w:szCs w:val="22"/>
                  </w:rPr>
                </w:pPr>
                <w:r>
                  <w:rPr>
                    <w:sz w:val="22"/>
                    <w:szCs w:val="22"/>
                    <w:lang w:val="pt-BR"/>
                  </w:rPr>
                  <w:t>Pastaba. J</w:t>
                </w:r>
                <w:r>
                  <w:rPr>
                    <w:bCs/>
                    <w:sz w:val="22"/>
                    <w:szCs w:val="22"/>
                  </w:rPr>
                  <w:t>ei po gydymo pasveikstama (ausis nepūliuoja, nėra svaigimo, klausa atitinka reikalavimus) apie tinkamumą mokytis ir dirbti sprendžia gydytojas otorinolaringologas</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Spręsti individualiai</w:t>
                </w:r>
                <w:r>
                  <w:rPr>
                    <w:sz w:val="22"/>
                    <w:szCs w:val="22"/>
                    <w:lang w:val="pt-BR"/>
                  </w:rPr>
                  <w:t xml:space="preserve"> </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2.3.</w:t>
                </w:r>
              </w:p>
            </w:tc>
            <w:tc>
              <w:tcPr>
                <w:tcW w:w="8820" w:type="dxa"/>
                <w:tcBorders>
                  <w:top w:val="single" w:sz="6" w:space="0" w:color="auto"/>
                  <w:left w:val="single" w:sz="6" w:space="0" w:color="auto"/>
                  <w:bottom w:val="single" w:sz="6" w:space="0" w:color="auto"/>
                  <w:right w:val="single" w:sz="6" w:space="0" w:color="auto"/>
                </w:tcBorders>
                <w:hideMark/>
              </w:tcPr>
              <w:p>
                <w:pPr>
                  <w:rPr>
                    <w:bCs/>
                    <w:sz w:val="22"/>
                    <w:szCs w:val="22"/>
                  </w:rPr>
                </w:pPr>
                <w:r>
                  <w:rPr>
                    <w:bCs/>
                    <w:sz w:val="22"/>
                    <w:szCs w:val="22"/>
                  </w:rPr>
                  <w:t>lėtine atikoantraline liga H66.2 svaigimas</w:t>
                </w:r>
              </w:p>
              <w:p>
                <w:pPr>
                  <w:rPr>
                    <w:sz w:val="22"/>
                    <w:szCs w:val="22"/>
                  </w:rPr>
                </w:pPr>
                <w:r>
                  <w:rPr>
                    <w:bCs/>
                    <w:sz w:val="22"/>
                    <w:szCs w:val="22"/>
                  </w:rPr>
                  <w:t>Pastaba. Jei po gydymo pasveikstama: ausis nepūliuoja, nėra svaigimo, klausa atitinka reikalavimus apie tinkamumą mokytis ir dirbti sprendžia gydytojas otorinolaringologas.</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Spręsti individualiai</w:t>
                </w:r>
                <w:r>
                  <w:rPr>
                    <w:sz w:val="22"/>
                    <w:szCs w:val="22"/>
                    <w:lang w:val="pt-BR"/>
                  </w:rPr>
                  <w:t xml:space="preserve"> </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2.4.</w:t>
                </w:r>
              </w:p>
            </w:tc>
            <w:tc>
              <w:tcPr>
                <w:tcW w:w="8820" w:type="dxa"/>
                <w:tcBorders>
                  <w:top w:val="single" w:sz="6" w:space="0" w:color="auto"/>
                  <w:left w:val="single" w:sz="6" w:space="0" w:color="auto"/>
                  <w:bottom w:val="single" w:sz="6" w:space="0" w:color="auto"/>
                  <w:right w:val="single" w:sz="6" w:space="0" w:color="auto"/>
                </w:tcBorders>
                <w:hideMark/>
              </w:tcPr>
              <w:p>
                <w:pPr>
                  <w:rPr>
                    <w:bCs/>
                    <w:sz w:val="22"/>
                    <w:szCs w:val="22"/>
                    <w:lang w:val="pt-BR"/>
                  </w:rPr>
                </w:pPr>
                <w:r>
                  <w:rPr>
                    <w:bCs/>
                    <w:sz w:val="22"/>
                    <w:szCs w:val="22"/>
                    <w:lang w:val="pt-BR"/>
                  </w:rPr>
                  <w:t>Sergant kitomis ausų, nosies, gerklės ligomis:</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lang w:val="fr-FR"/>
                  </w:rPr>
                </w:pP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lang w:val="fr-FR"/>
                  </w:rPr>
                </w:pP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2.5.</w:t>
                </w:r>
              </w:p>
            </w:tc>
            <w:tc>
              <w:tcPr>
                <w:tcW w:w="8820" w:type="dxa"/>
                <w:tcBorders>
                  <w:top w:val="single" w:sz="6" w:space="0" w:color="auto"/>
                  <w:left w:val="single" w:sz="6" w:space="0" w:color="auto"/>
                  <w:bottom w:val="single" w:sz="6" w:space="0" w:color="auto"/>
                  <w:right w:val="single" w:sz="6" w:space="0" w:color="auto"/>
                </w:tcBorders>
                <w:hideMark/>
              </w:tcPr>
              <w:p>
                <w:pPr>
                  <w:rPr>
                    <w:sz w:val="22"/>
                    <w:szCs w:val="22"/>
                  </w:rPr>
                </w:pPr>
                <w:r>
                  <w:rPr>
                    <w:bCs/>
                    <w:sz w:val="22"/>
                    <w:szCs w:val="22"/>
                    <w:lang w:val="pt-BR"/>
                  </w:rPr>
                  <w:t>Menjero liga H81.0 svaigimas</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Draudžiama</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Draudžiama</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2.6.</w:t>
                </w:r>
              </w:p>
            </w:tc>
            <w:tc>
              <w:tcPr>
                <w:tcW w:w="8820" w:type="dxa"/>
                <w:tcBorders>
                  <w:top w:val="single" w:sz="6" w:space="0" w:color="auto"/>
                  <w:left w:val="single" w:sz="6" w:space="0" w:color="auto"/>
                  <w:bottom w:val="single" w:sz="6" w:space="0" w:color="auto"/>
                  <w:right w:val="single" w:sz="6" w:space="0" w:color="auto"/>
                </w:tcBorders>
                <w:hideMark/>
              </w:tcPr>
              <w:p>
                <w:pPr>
                  <w:rPr>
                    <w:bCs/>
                    <w:sz w:val="22"/>
                    <w:szCs w:val="22"/>
                  </w:rPr>
                </w:pPr>
                <w:r>
                  <w:rPr>
                    <w:bCs/>
                    <w:sz w:val="22"/>
                    <w:szCs w:val="22"/>
                  </w:rPr>
                  <w:t xml:space="preserve">Kitų ir nepatikslintų lokalizacijų gerybiniai navikai D36 klausos </w:t>
                </w:r>
                <w:r>
                  <w:rPr>
                    <w:sz w:val="22"/>
                    <w:szCs w:val="22"/>
                  </w:rPr>
                  <w:t>(8-ojo)</w:t>
                </w:r>
                <w:r>
                  <w:rPr>
                    <w:bCs/>
                    <w:sz w:val="22"/>
                    <w:szCs w:val="22"/>
                  </w:rPr>
                  <w:t xml:space="preserve"> nervo neurinoma D36.1) svaigimas</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Draudžiama</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Draudžiama</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2.7.</w:t>
                </w:r>
              </w:p>
            </w:tc>
            <w:tc>
              <w:tcPr>
                <w:tcW w:w="8820" w:type="dxa"/>
                <w:tcBorders>
                  <w:top w:val="single" w:sz="6" w:space="0" w:color="auto"/>
                  <w:left w:val="single" w:sz="6" w:space="0" w:color="auto"/>
                  <w:bottom w:val="single" w:sz="6" w:space="0" w:color="auto"/>
                  <w:right w:val="single" w:sz="6" w:space="0" w:color="auto"/>
                </w:tcBorders>
                <w:hideMark/>
              </w:tcPr>
              <w:p>
                <w:pPr>
                  <w:rPr>
                    <w:bCs/>
                    <w:sz w:val="22"/>
                    <w:szCs w:val="22"/>
                  </w:rPr>
                </w:pPr>
                <w:r>
                  <w:rPr>
                    <w:bCs/>
                    <w:sz w:val="22"/>
                    <w:szCs w:val="22"/>
                  </w:rPr>
                  <w:t>Gerklų stenoze su ryškiu kvėpavimo ir kalbos funkcijų sutrikimu: gerklų papilomatoze D14.0</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Draudžiama</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Draudžiama</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2.8.</w:t>
                </w:r>
              </w:p>
            </w:tc>
            <w:tc>
              <w:tcPr>
                <w:tcW w:w="8820" w:type="dxa"/>
                <w:tcBorders>
                  <w:top w:val="single" w:sz="6" w:space="0" w:color="auto"/>
                  <w:left w:val="single" w:sz="6" w:space="0" w:color="auto"/>
                  <w:bottom w:val="single" w:sz="6" w:space="0" w:color="auto"/>
                  <w:right w:val="single" w:sz="6" w:space="0" w:color="auto"/>
                </w:tcBorders>
                <w:hideMark/>
              </w:tcPr>
              <w:p>
                <w:pPr>
                  <w:rPr>
                    <w:bCs/>
                    <w:sz w:val="22"/>
                    <w:szCs w:val="22"/>
                  </w:rPr>
                </w:pPr>
                <w:r>
                  <w:rPr>
                    <w:bCs/>
                    <w:sz w:val="22"/>
                    <w:szCs w:val="22"/>
                  </w:rPr>
                  <w:t>abipusiu balso klosčių paralyžiumi J38.0</w:t>
                </w:r>
              </w:p>
              <w:p>
                <w:pPr>
                  <w:rPr>
                    <w:bCs/>
                    <w:sz w:val="22"/>
                    <w:szCs w:val="22"/>
                  </w:rPr>
                </w:pPr>
                <w:r>
                  <w:rPr>
                    <w:bCs/>
                    <w:sz w:val="22"/>
                    <w:szCs w:val="22"/>
                  </w:rPr>
                  <w:t>Pastaba: jei po gydymo kvėpavimo ir kalbos funkcijų sutrikimų nėra, gali būti tinkami dirbti.</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Spręsti individualiai</w:t>
                </w:r>
                <w:r>
                  <w:rPr>
                    <w:sz w:val="22"/>
                    <w:szCs w:val="22"/>
                    <w:lang w:val="pt-BR"/>
                  </w:rPr>
                  <w:t xml:space="preserve"> </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2.9.</w:t>
                </w:r>
              </w:p>
            </w:tc>
            <w:tc>
              <w:tcPr>
                <w:tcW w:w="8820" w:type="dxa"/>
                <w:tcBorders>
                  <w:top w:val="single" w:sz="6" w:space="0" w:color="auto"/>
                  <w:left w:val="single" w:sz="6" w:space="0" w:color="auto"/>
                  <w:bottom w:val="single" w:sz="6" w:space="0" w:color="auto"/>
                  <w:right w:val="single" w:sz="6" w:space="0" w:color="auto"/>
                </w:tcBorders>
                <w:hideMark/>
              </w:tcPr>
              <w:p>
                <w:pPr>
                  <w:rPr>
                    <w:bCs/>
                    <w:sz w:val="22"/>
                    <w:szCs w:val="22"/>
                    <w:lang w:val="pt-BR"/>
                  </w:rPr>
                </w:pPr>
                <w:r>
                  <w:rPr>
                    <w:bCs/>
                    <w:sz w:val="22"/>
                    <w:szCs w:val="22"/>
                    <w:lang w:val="pt-BR"/>
                  </w:rPr>
                  <w:t>gerklų ir ryklės onkologinėmis ligomis C14.0–C32.0</w:t>
                </w:r>
              </w:p>
              <w:p>
                <w:pPr>
                  <w:rPr>
                    <w:bCs/>
                    <w:sz w:val="22"/>
                    <w:szCs w:val="22"/>
                    <w:lang w:val="pt-BR"/>
                  </w:rPr>
                </w:pPr>
                <w:r>
                  <w:rPr>
                    <w:bCs/>
                    <w:sz w:val="22"/>
                    <w:szCs w:val="22"/>
                    <w:lang w:val="pt-BR"/>
                  </w:rPr>
                  <w:t>Pastaba: jei po gydymo kvėpavimo ir kalbos funkcijų sutrikimų nėra, gali būti tinkami dirbti.</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Spręsti individualiai</w:t>
                </w:r>
                <w:r>
                  <w:rPr>
                    <w:sz w:val="22"/>
                    <w:szCs w:val="22"/>
                    <w:lang w:val="pt-BR"/>
                  </w:rPr>
                  <w:t xml:space="preserve"> </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2.10.</w:t>
                </w:r>
              </w:p>
            </w:tc>
            <w:tc>
              <w:tcPr>
                <w:tcW w:w="8820" w:type="dxa"/>
                <w:tcBorders>
                  <w:top w:val="single" w:sz="6" w:space="0" w:color="auto"/>
                  <w:left w:val="single" w:sz="6" w:space="0" w:color="auto"/>
                  <w:bottom w:val="single" w:sz="6" w:space="0" w:color="auto"/>
                  <w:right w:val="single" w:sz="6" w:space="0" w:color="auto"/>
                </w:tcBorders>
                <w:hideMark/>
              </w:tcPr>
              <w:p>
                <w:pPr>
                  <w:rPr>
                    <w:bCs/>
                    <w:sz w:val="22"/>
                    <w:szCs w:val="22"/>
                  </w:rPr>
                </w:pPr>
                <w:r>
                  <w:rPr>
                    <w:bCs/>
                    <w:sz w:val="22"/>
                    <w:szCs w:val="22"/>
                  </w:rPr>
                  <w:t xml:space="preserve">Gerklų tuberkulioze A16.4 </w:t>
                </w:r>
              </w:p>
              <w:p>
                <w:pPr>
                  <w:rPr>
                    <w:bCs/>
                    <w:sz w:val="22"/>
                    <w:szCs w:val="22"/>
                  </w:rPr>
                </w:pPr>
                <w:r>
                  <w:rPr>
                    <w:bCs/>
                    <w:sz w:val="22"/>
                    <w:szCs w:val="22"/>
                  </w:rPr>
                  <w:t>Pastaba: jei po gydymo kvėpavimo ir kalbos funkcijų sutrikimų nėra, gali būti tinkami dirbti.</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Spręsti individualiai</w:t>
                </w:r>
                <w:r>
                  <w:rPr>
                    <w:sz w:val="22"/>
                    <w:szCs w:val="22"/>
                    <w:lang w:val="pt-BR"/>
                  </w:rPr>
                  <w:t xml:space="preserve"> </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2.11.</w:t>
                </w:r>
              </w:p>
            </w:tc>
            <w:tc>
              <w:tcPr>
                <w:tcW w:w="88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 xml:space="preserve">Pastaba. </w:t>
                </w:r>
                <w:r>
                  <w:rPr>
                    <w:sz w:val="22"/>
                    <w:szCs w:val="22"/>
                    <w:lang w:val="pt-BR"/>
                  </w:rPr>
                  <w:t xml:space="preserve">Individualiais atvejais, kai trauma ar nelaimingas atsitikimas sutrikdo klausos ar kalbos bei kvėpavimo funkcijas, sprendžia gydytojas otorinolaringologas. </w:t>
                </w:r>
                <w:r>
                  <w:rPr>
                    <w:sz w:val="22"/>
                    <w:szCs w:val="22"/>
                  </w:rPr>
                  <w:t>Ypatingais atvejais leidžiama naudoti klausos aparatus.</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Spręsti individualiai</w:t>
                </w:r>
                <w:r>
                  <w:rPr>
                    <w:sz w:val="22"/>
                    <w:szCs w:val="22"/>
                    <w:lang w:val="pt-BR"/>
                  </w:rPr>
                  <w:t xml:space="preserve"> </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3.</w:t>
                </w:r>
              </w:p>
            </w:tc>
            <w:tc>
              <w:tcPr>
                <w:tcW w:w="8820" w:type="dxa"/>
                <w:tcBorders>
                  <w:top w:val="single" w:sz="6" w:space="0" w:color="auto"/>
                  <w:left w:val="single" w:sz="6" w:space="0" w:color="auto"/>
                  <w:bottom w:val="single" w:sz="6" w:space="0" w:color="auto"/>
                  <w:right w:val="single" w:sz="6" w:space="0" w:color="auto"/>
                </w:tcBorders>
                <w:hideMark/>
              </w:tcPr>
              <w:p>
                <w:pPr>
                  <w:rPr>
                    <w:b/>
                    <w:sz w:val="22"/>
                    <w:szCs w:val="22"/>
                  </w:rPr>
                </w:pPr>
                <w:r>
                  <w:rPr>
                    <w:b/>
                    <w:sz w:val="22"/>
                    <w:szCs w:val="22"/>
                  </w:rPr>
                  <w:t>NĖŠTUMAS.</w:t>
                </w:r>
              </w:p>
              <w:p>
                <w:pPr>
                  <w:rPr>
                    <w:sz w:val="22"/>
                    <w:szCs w:val="22"/>
                  </w:rPr>
                </w:pPr>
                <w:r>
                  <w:rPr>
                    <w:sz w:val="22"/>
                    <w:szCs w:val="22"/>
                    <w:lang w:val="pt-BR"/>
                  </w:rPr>
                  <w:t xml:space="preserve">Esant nėštumo patologijai ar kitiems veiksniams, komplikuojantiems nėštumą, </w:t>
                </w:r>
                <w:r>
                  <w:rPr>
                    <w:sz w:val="22"/>
                    <w:szCs w:val="22"/>
                  </w:rPr>
                  <w:t>nėštumas turi būti laikomas priežastimi laikinai nušalinti traukinio mašinistę nuo pareigų. Turi būti taikomos nėščioms traukinio mašinistėms apsaugą teikiančios teisės aktų normos.</w:t>
                </w:r>
              </w:p>
              <w:p>
                <w:pPr>
                  <w:rPr>
                    <w:sz w:val="22"/>
                    <w:szCs w:val="22"/>
                  </w:rPr>
                </w:pPr>
                <w:r>
                  <w:rPr>
                    <w:sz w:val="22"/>
                    <w:szCs w:val="22"/>
                  </w:rPr>
                  <w:t xml:space="preserve">Vadovaujamasi Lietuvos Respublikos Vyriausybės 2003 m. kovo 19 d. nutarimu Nr. 340 „Dėl Nėščioms, neseniai pagimdžiusioms ar krūtimi maitinančioms moterims kenksmingų darbo sąlygų ir pavojingų veiksnių sąrašo patvirtinimo“ (Žin., 2003, Nr. </w:t>
                </w:r>
                <w:hyperlink r:id="rId119" w:tgtFrame="_blank" w:history="1">
                  <w:r>
                    <w:rPr>
                      <w:color w:val="0000FF"/>
                      <w:sz w:val="22"/>
                      <w:szCs w:val="22"/>
                      <w:u w:val="single"/>
                    </w:rPr>
                    <w:t>29-1184</w:t>
                  </w:r>
                </w:hyperlink>
                <w:r>
                  <w:rPr>
                    <w:sz w:val="22"/>
                    <w:szCs w:val="22"/>
                  </w:rPr>
                  <w:t>) ir kitais teisės aktais.</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Spręsti individualiai</w:t>
                </w:r>
                <w:r>
                  <w:rPr>
                    <w:sz w:val="22"/>
                    <w:szCs w:val="22"/>
                    <w:lang w:val="pt-BR"/>
                  </w:rPr>
                  <w:t xml:space="preserve"> </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4.</w:t>
                </w:r>
              </w:p>
            </w:tc>
            <w:tc>
              <w:tcPr>
                <w:tcW w:w="8820" w:type="dxa"/>
                <w:tcBorders>
                  <w:top w:val="single" w:sz="6" w:space="0" w:color="auto"/>
                  <w:left w:val="single" w:sz="6" w:space="0" w:color="auto"/>
                  <w:bottom w:val="single" w:sz="6" w:space="0" w:color="auto"/>
                  <w:right w:val="single" w:sz="6" w:space="0" w:color="auto"/>
                </w:tcBorders>
                <w:hideMark/>
              </w:tcPr>
              <w:p>
                <w:pPr>
                  <w:tabs>
                    <w:tab w:val="left" w:pos="900"/>
                  </w:tabs>
                  <w:rPr>
                    <w:b/>
                    <w:sz w:val="22"/>
                    <w:szCs w:val="22"/>
                  </w:rPr>
                </w:pPr>
                <w:r>
                  <w:rPr>
                    <w:b/>
                    <w:sz w:val="22"/>
                    <w:szCs w:val="22"/>
                  </w:rPr>
                  <w:t>ŠIRDIES IR KRAUJAGYSLIŲ LIGOS</w:t>
                </w:r>
              </w:p>
              <w:p>
                <w:pPr>
                  <w:rPr>
                    <w:sz w:val="22"/>
                    <w:szCs w:val="22"/>
                  </w:rPr>
                </w:pPr>
                <w:r>
                  <w:rPr>
                    <w:sz w:val="22"/>
                    <w:szCs w:val="22"/>
                  </w:rPr>
                  <w:t xml:space="preserve">4.1. Išduoti ar neišduoti pažymėjimą įsidarbinantiesiems, kurie skundžiasi padidintu arteriniu kraujospūdžiu, sprendžiama remiantis išplėstinės klinikinės kardiologo apžiūros rezultatais, atsižvelgiant į galimas komplikacijas ir pavojų, kurį jos galėtų sukelti geležinkelių transporto eismo saugai. Dirbantiems traukinio mašinistams, sergantiems didelės rizikos arterine hipertenzija, turėtų būti nustatomi individualūs sveikatos tikrinimo terminai ir pažymėjimai atnaujinami po kardiologo konsultacijos. </w:t>
                </w:r>
              </w:p>
              <w:p>
                <w:pPr>
                  <w:rPr>
                    <w:sz w:val="22"/>
                    <w:szCs w:val="22"/>
                  </w:rPr>
                </w:pPr>
                <w:r>
                  <w:rPr>
                    <w:sz w:val="22"/>
                    <w:szCs w:val="22"/>
                  </w:rPr>
                  <w:t xml:space="preserve">4.2. Pažymėjimas neišduodamas įsidarbinantiesiems ar neatnaujinamas traukinio mašinistams, kurie serga stabilia III–IV f. klasės krūtinės angina ar yra persirgę ūminiais išeminiais sindromais – nestabiliąja krūtinės angina ar ūminiu miokardo infarktu be kardiologo konsultacijos. </w:t>
                </w:r>
              </w:p>
              <w:p>
                <w:pPr>
                  <w:rPr>
                    <w:sz w:val="22"/>
                    <w:szCs w:val="22"/>
                  </w:rPr>
                </w:pPr>
                <w:r>
                  <w:rPr>
                    <w:sz w:val="22"/>
                    <w:szCs w:val="22"/>
                  </w:rPr>
                  <w:t>4.3. Be kardiologo konsultacijos pažymėjimas neišduodamas įsidarbinantiesiems ar neatnaujinamas traukinio mašinistams, kurie serga pasikartojančiais paroksizminiais laidumo sutrikimais arba jiems diagnozuoti atrioventrikulinio ritmo sutrikimai, reikalingi gydymo.</w:t>
                </w:r>
              </w:p>
              <w:p>
                <w:pPr>
                  <w:rPr>
                    <w:sz w:val="22"/>
                    <w:szCs w:val="22"/>
                  </w:rPr>
                </w:pPr>
                <w:r>
                  <w:rPr>
                    <w:sz w:val="22"/>
                    <w:szCs w:val="22"/>
                  </w:rPr>
                  <w:t>Pastaba: Esant sunkiems širdies ir kraujagyslių funkcijos sutrikimams, juos koregavus, individualiu sprendimu išduoti ar neišduoti pažymėjimo įsidarbinantiesiems ir dirbti traukinio mašinistu leidžiama vadovaujantis gydytojo kardiologo išvada.</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4.1.</w:t>
                </w:r>
              </w:p>
            </w:tc>
            <w:tc>
              <w:tcPr>
                <w:tcW w:w="8820" w:type="dxa"/>
                <w:tcBorders>
                  <w:top w:val="single" w:sz="6" w:space="0" w:color="auto"/>
                  <w:left w:val="single" w:sz="6" w:space="0" w:color="auto"/>
                  <w:bottom w:val="single" w:sz="6" w:space="0" w:color="auto"/>
                  <w:right w:val="single" w:sz="6" w:space="0" w:color="auto"/>
                </w:tcBorders>
                <w:hideMark/>
              </w:tcPr>
              <w:p>
                <w:pPr>
                  <w:rPr>
                    <w:sz w:val="22"/>
                    <w:szCs w:val="22"/>
                    <w:lang w:val="pt-BR"/>
                  </w:rPr>
                </w:pPr>
                <w:r>
                  <w:rPr>
                    <w:sz w:val="22"/>
                    <w:szCs w:val="22"/>
                    <w:lang w:val="pt-BR"/>
                  </w:rPr>
                  <w:t xml:space="preserve">II laipsnio su didele rizika ir III laipsnio arterinė hipertenzija I11–I15 </w:t>
                </w:r>
              </w:p>
              <w:p>
                <w:pPr>
                  <w:rPr>
                    <w:sz w:val="22"/>
                    <w:szCs w:val="22"/>
                    <w:lang w:val="pt-BR"/>
                  </w:rPr>
                </w:pPr>
                <w:r>
                  <w:rPr>
                    <w:sz w:val="22"/>
                    <w:szCs w:val="22"/>
                    <w:lang w:val="pt-BR"/>
                  </w:rPr>
                  <w:t>Pastaba: Tikrinimo terminai nustatomi individualiai.</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Spręsti individualiai</w:t>
                </w:r>
                <w:r>
                  <w:rPr>
                    <w:sz w:val="22"/>
                    <w:szCs w:val="22"/>
                    <w:lang w:val="pt-BR"/>
                  </w:rPr>
                  <w:t xml:space="preserve"> </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4.2.</w:t>
                </w:r>
              </w:p>
            </w:tc>
            <w:tc>
              <w:tcPr>
                <w:tcW w:w="88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Nekoreguoti ir pasikartojantys paroksizminės skilvelinės tachikardijos epizodai su hemodinamikos sutrikimais I 47.2.</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Draudžiama</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Draudžiama</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4.3.</w:t>
                </w:r>
              </w:p>
            </w:tc>
            <w:tc>
              <w:tcPr>
                <w:tcW w:w="8820" w:type="dxa"/>
                <w:tcBorders>
                  <w:top w:val="single" w:sz="6" w:space="0" w:color="auto"/>
                  <w:left w:val="single" w:sz="6" w:space="0" w:color="auto"/>
                  <w:bottom w:val="single" w:sz="6" w:space="0" w:color="auto"/>
                  <w:right w:val="single" w:sz="6" w:space="0" w:color="auto"/>
                </w:tcBorders>
                <w:hideMark/>
              </w:tcPr>
              <w:p>
                <w:pPr>
                  <w:tabs>
                    <w:tab w:val="left" w:pos="900"/>
                  </w:tabs>
                  <w:rPr>
                    <w:sz w:val="22"/>
                    <w:szCs w:val="22"/>
                  </w:rPr>
                </w:pPr>
                <w:r>
                  <w:rPr>
                    <w:sz w:val="22"/>
                    <w:szCs w:val="22"/>
                  </w:rPr>
                  <w:t>Nekoreguota atrioventrikulinė blokada su hemodinamikos sutrikimais I 44.2.</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Draudžiama</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Draudžiama</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5.</w:t>
                </w:r>
              </w:p>
            </w:tc>
            <w:tc>
              <w:tcPr>
                <w:tcW w:w="8820" w:type="dxa"/>
                <w:tcBorders>
                  <w:top w:val="single" w:sz="6" w:space="0" w:color="auto"/>
                  <w:left w:val="single" w:sz="6" w:space="0" w:color="auto"/>
                  <w:bottom w:val="single" w:sz="6" w:space="0" w:color="auto"/>
                  <w:right w:val="single" w:sz="6" w:space="0" w:color="auto"/>
                </w:tcBorders>
                <w:hideMark/>
              </w:tcPr>
              <w:p>
                <w:pPr>
                  <w:rPr>
                    <w:sz w:val="22"/>
                    <w:szCs w:val="22"/>
                    <w:lang w:val="pt-BR"/>
                  </w:rPr>
                </w:pPr>
                <w:r>
                  <w:rPr>
                    <w:b/>
                    <w:sz w:val="22"/>
                    <w:szCs w:val="22"/>
                    <w:lang w:val="pt-BR"/>
                  </w:rPr>
                  <w:t>KVĖPAVIMO SISTEMOS LIGOS</w:t>
                </w:r>
              </w:p>
              <w:p>
                <w:pPr>
                  <w:rPr>
                    <w:sz w:val="22"/>
                    <w:szCs w:val="22"/>
                    <w:lang w:val="pt-BR"/>
                  </w:rPr>
                </w:pPr>
                <w:r>
                  <w:rPr>
                    <w:sz w:val="22"/>
                    <w:szCs w:val="22"/>
                    <w:lang w:val="pt-BR"/>
                  </w:rPr>
                  <w:t>Sunkios lėtinės plaučių ligos esant kvėpavimo funkcijos nepakankamumui.</w:t>
                </w:r>
              </w:p>
              <w:p>
                <w:pPr>
                  <w:rPr>
                    <w:sz w:val="22"/>
                    <w:szCs w:val="22"/>
                    <w:lang w:val="pt-BR"/>
                  </w:rPr>
                </w:pPr>
                <w:r>
                  <w:rPr>
                    <w:sz w:val="22"/>
                    <w:szCs w:val="22"/>
                    <w:lang w:val="pt-BR"/>
                  </w:rPr>
                  <w:t>Pastaba: Esant sunkiems kvėpavimo funkcijos sutrikimams, juos koregavus, individualiu sprendimu išduoti ar neišduoti pažymėjimo įsidarbinantiesiems ir dirbti traukinio mašinistu leidžiama vadovaujantis gydytojo pulmonologo išvada.</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lang w:val="pt-BR"/>
                  </w:rPr>
                </w:pPr>
                <w:r>
                  <w:rPr>
                    <w:sz w:val="22"/>
                    <w:szCs w:val="22"/>
                  </w:rPr>
                  <w:t>Spręsti individualiai</w:t>
                </w:r>
                <w:r>
                  <w:rPr>
                    <w:sz w:val="22"/>
                    <w:szCs w:val="22"/>
                    <w:lang w:val="pt-BR"/>
                  </w:rPr>
                  <w:t xml:space="preserve"> </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lang w:val="pt-BR"/>
                  </w:rPr>
                </w:pPr>
                <w:r>
                  <w:rPr>
                    <w:sz w:val="22"/>
                    <w:szCs w:val="22"/>
                  </w:rPr>
                  <w:t>Spręsti individualiai</w:t>
                </w:r>
                <w:r>
                  <w:rPr>
                    <w:sz w:val="22"/>
                    <w:szCs w:val="22"/>
                    <w:lang w:val="pt-BR"/>
                  </w:rPr>
                  <w:t xml:space="preserve"> </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jc w:val="both"/>
                  <w:rPr>
                    <w:sz w:val="22"/>
                    <w:szCs w:val="22"/>
                  </w:rPr>
                </w:pPr>
                <w:r>
                  <w:rPr>
                    <w:sz w:val="22"/>
                    <w:szCs w:val="22"/>
                  </w:rPr>
                  <w:t xml:space="preserve">6. </w:t>
                </w:r>
              </w:p>
            </w:tc>
            <w:tc>
              <w:tcPr>
                <w:tcW w:w="8820" w:type="dxa"/>
                <w:tcBorders>
                  <w:top w:val="single" w:sz="6" w:space="0" w:color="auto"/>
                  <w:left w:val="single" w:sz="6" w:space="0" w:color="auto"/>
                  <w:bottom w:val="single" w:sz="6" w:space="0" w:color="auto"/>
                  <w:right w:val="single" w:sz="6" w:space="0" w:color="auto"/>
                </w:tcBorders>
                <w:hideMark/>
              </w:tcPr>
              <w:p>
                <w:pPr>
                  <w:rPr>
                    <w:b/>
                    <w:sz w:val="22"/>
                    <w:szCs w:val="22"/>
                    <w:lang w:val="pt-BR"/>
                  </w:rPr>
                </w:pPr>
                <w:r>
                  <w:rPr>
                    <w:b/>
                    <w:sz w:val="22"/>
                    <w:szCs w:val="22"/>
                    <w:lang w:val="pt-BR"/>
                  </w:rPr>
                  <w:t>ENDOKRININĖS, MITYBOS IR MEDŽIAGŲ APYKAITOS LIGOS.</w:t>
                </w:r>
              </w:p>
              <w:p>
                <w:pPr>
                  <w:rPr>
                    <w:sz w:val="22"/>
                    <w:szCs w:val="22"/>
                    <w:lang w:val="pt-BR"/>
                  </w:rPr>
                </w:pPr>
                <w:r>
                  <w:rPr>
                    <w:b/>
                    <w:sz w:val="22"/>
                    <w:szCs w:val="22"/>
                    <w:lang w:val="pt-BR"/>
                  </w:rPr>
                  <w:t>CUKRINIS DIABETAS: E10, E11, E12, E13, E14</w:t>
                </w:r>
              </w:p>
              <w:p>
                <w:pPr>
                  <w:rPr>
                    <w:sz w:val="22"/>
                    <w:szCs w:val="22"/>
                    <w:lang w:val="pt-BR"/>
                  </w:rPr>
                </w:pPr>
                <w:r>
                  <w:rPr>
                    <w:sz w:val="22"/>
                    <w:szCs w:val="22"/>
                    <w:lang w:val="pt-BR"/>
                  </w:rPr>
                  <w:t>Pažymėjimai dirbti t</w:t>
                </w:r>
                <w:r>
                  <w:rPr>
                    <w:sz w:val="22"/>
                    <w:szCs w:val="22"/>
                  </w:rPr>
                  <w:t>raukinio</w:t>
                </w:r>
                <w:r>
                  <w:rPr>
                    <w:sz w:val="22"/>
                    <w:szCs w:val="22"/>
                    <w:lang w:val="pt-BR"/>
                  </w:rPr>
                  <w:t xml:space="preserve"> mašinistu gali būti išduodami, sergantiems cukriniu diabetu, pateikus gydytojo endokrinologo išvadą ir reguliariai atliekant medicinines apžiūras kiekvienu atitinkamu atveju. </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Spręsti individualiai</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7.</w:t>
                </w:r>
              </w:p>
            </w:tc>
            <w:tc>
              <w:tcPr>
                <w:tcW w:w="8820" w:type="dxa"/>
                <w:tcBorders>
                  <w:top w:val="single" w:sz="6" w:space="0" w:color="auto"/>
                  <w:left w:val="single" w:sz="6" w:space="0" w:color="auto"/>
                  <w:bottom w:val="single" w:sz="6" w:space="0" w:color="auto"/>
                  <w:right w:val="single" w:sz="6" w:space="0" w:color="auto"/>
                </w:tcBorders>
                <w:hideMark/>
              </w:tcPr>
              <w:p>
                <w:pPr>
                  <w:rPr>
                    <w:b/>
                    <w:sz w:val="22"/>
                    <w:szCs w:val="22"/>
                  </w:rPr>
                </w:pPr>
                <w:r>
                  <w:rPr>
                    <w:b/>
                    <w:sz w:val="22"/>
                    <w:szCs w:val="22"/>
                  </w:rPr>
                  <w:t>NEUROLOGINĖS LIGOS</w:t>
                </w:r>
              </w:p>
              <w:p>
                <w:pPr>
                  <w:rPr>
                    <w:sz w:val="22"/>
                    <w:szCs w:val="22"/>
                  </w:rPr>
                </w:pPr>
                <w:r>
                  <w:rPr>
                    <w:sz w:val="22"/>
                    <w:szCs w:val="22"/>
                  </w:rPr>
                  <w:t>Traukinio mašinistų pažymėjimai neišduodami įsidarbinantiesiems ar neatnaujinami traukinio mašinistams, sergantiems sunkiomis nervų sistemos ligomis, išskyrus atvejus, kai prie prašymo pridedama gydytojo neurologo išvada. Centrinės ar periferinės nervų sistemos neurologiniai sutrikimai ar chirurgine intervencija, dėl kurių atsiranda sensoriniai ar motoriniai sutrikimai, darantys poveikį pusiausvyrai bei koordinacijai, privalo būti tinkamai įvertinti atsižvelgiant į jų funkcinius padarinius ir progresavimo riziką. Jei yra ligos progresavimo rizika, traukinio mašinisto pažymėjimai gali būti išduodami ar atnaujinami tik periodiškai įvertinant sveikatos būklę, vadovaujantis gydytojo neurologo išvada.</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7.1.</w:t>
                </w:r>
              </w:p>
            </w:tc>
            <w:tc>
              <w:tcPr>
                <w:tcW w:w="8820" w:type="dxa"/>
                <w:tcBorders>
                  <w:top w:val="single" w:sz="6" w:space="0" w:color="auto"/>
                  <w:left w:val="single" w:sz="6" w:space="0" w:color="auto"/>
                  <w:bottom w:val="single" w:sz="6" w:space="0" w:color="auto"/>
                  <w:right w:val="single" w:sz="6" w:space="0" w:color="auto"/>
                </w:tcBorders>
                <w:hideMark/>
              </w:tcPr>
              <w:p>
                <w:pPr>
                  <w:rPr>
                    <w:sz w:val="22"/>
                    <w:szCs w:val="22"/>
                    <w:lang w:val="pt-BR"/>
                  </w:rPr>
                </w:pPr>
                <w:r>
                  <w:rPr>
                    <w:sz w:val="22"/>
                    <w:szCs w:val="22"/>
                    <w:lang w:val="pt-BR"/>
                  </w:rPr>
                  <w:t xml:space="preserve">Epilepsija su įvairaus pobūdžio priepuoliais: G40 </w:t>
                </w:r>
              </w:p>
              <w:p>
                <w:pPr>
                  <w:rPr>
                    <w:b/>
                    <w:sz w:val="22"/>
                    <w:szCs w:val="22"/>
                    <w:lang w:val="pt-BR"/>
                  </w:rPr>
                </w:pPr>
                <w:r>
                  <w:rPr>
                    <w:b/>
                    <w:sz w:val="22"/>
                    <w:szCs w:val="22"/>
                    <w:lang w:val="pt-BR"/>
                  </w:rPr>
                  <w:t>PASTABOS:</w:t>
                </w:r>
              </w:p>
              <w:p>
                <w:pPr>
                  <w:tabs>
                    <w:tab w:val="left" w:pos="720"/>
                    <w:tab w:val="center" w:pos="4153"/>
                    <w:tab w:val="right" w:pos="8306"/>
                  </w:tabs>
                  <w:rPr>
                    <w:sz w:val="22"/>
                    <w:szCs w:val="22"/>
                    <w:lang w:val="pt-BR"/>
                  </w:rPr>
                </w:pPr>
                <w:r>
                  <w:rPr>
                    <w:sz w:val="22"/>
                    <w:szCs w:val="22"/>
                    <w:lang w:val="pt-BR"/>
                  </w:rPr>
                  <w:t xml:space="preserve">1. Po pirmo (vienintelio) epilepsijos priepuolio negali dirbti mašinistu 2 metus. </w:t>
                </w:r>
              </w:p>
              <w:p>
                <w:pPr>
                  <w:rPr>
                    <w:sz w:val="22"/>
                    <w:szCs w:val="22"/>
                    <w:lang w:val="pt-BR"/>
                  </w:rPr>
                </w:pPr>
                <w:r>
                  <w:rPr>
                    <w:sz w:val="22"/>
                    <w:szCs w:val="22"/>
                    <w:lang w:val="pt-BR"/>
                  </w:rPr>
                  <w:t>2. Diagnozavus epilepsiją (buvus 2 ir daugiau epilepsijos priepuolių) ir priepuoliams nesikartojant, negali dirbti mašinistu 10 metų.</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lang w:val="pt-BR"/>
                  </w:rPr>
                </w:pPr>
              </w:p>
              <w:p>
                <w:pPr>
                  <w:jc w:val="center"/>
                  <w:rPr>
                    <w:sz w:val="22"/>
                    <w:szCs w:val="22"/>
                  </w:rPr>
                </w:pPr>
                <w:r>
                  <w:rPr>
                    <w:sz w:val="22"/>
                    <w:szCs w:val="22"/>
                  </w:rPr>
                  <w:t>Spręsti individualiai</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p>
              <w:p>
                <w:pPr>
                  <w:jc w:val="center"/>
                  <w:rPr>
                    <w:sz w:val="22"/>
                    <w:szCs w:val="22"/>
                  </w:rPr>
                </w:pPr>
                <w:r>
                  <w:rPr>
                    <w:sz w:val="22"/>
                    <w:szCs w:val="22"/>
                  </w:rPr>
                  <w:t>Spręsti individualiai</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7.2.</w:t>
                </w:r>
              </w:p>
            </w:tc>
            <w:tc>
              <w:tcPr>
                <w:tcW w:w="8820" w:type="dxa"/>
                <w:tcBorders>
                  <w:top w:val="single" w:sz="6" w:space="0" w:color="auto"/>
                  <w:left w:val="single" w:sz="6" w:space="0" w:color="auto"/>
                  <w:bottom w:val="single" w:sz="6" w:space="0" w:color="auto"/>
                  <w:right w:val="single" w:sz="6" w:space="0" w:color="auto"/>
                </w:tcBorders>
                <w:hideMark/>
              </w:tcPr>
              <w:p>
                <w:pPr>
                  <w:rPr>
                    <w:sz w:val="22"/>
                    <w:szCs w:val="22"/>
                    <w:lang w:val="pt-BR"/>
                  </w:rPr>
                </w:pPr>
                <w:r>
                  <w:rPr>
                    <w:sz w:val="22"/>
                    <w:szCs w:val="22"/>
                    <w:lang w:val="pt-BR"/>
                  </w:rPr>
                  <w:t>Kiti sąmonės sutrikimo epizodai: R56.8</w:t>
                </w:r>
              </w:p>
              <w:p>
                <w:pPr>
                  <w:rPr>
                    <w:sz w:val="22"/>
                    <w:szCs w:val="22"/>
                    <w:lang w:val="pt-BR"/>
                  </w:rPr>
                </w:pPr>
                <w:r>
                  <w:rPr>
                    <w:sz w:val="22"/>
                    <w:szCs w:val="22"/>
                    <w:lang w:val="pt-BR"/>
                  </w:rPr>
                  <w:t>Pastaba: Po nepatikslinto sąmonės sutrikimo epizodo negali dirbti traukinio mašinistu 2 metus.</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Spręsti individualiai</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Spręsti individualiai</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7.3.</w:t>
                </w:r>
              </w:p>
            </w:tc>
            <w:tc>
              <w:tcPr>
                <w:tcW w:w="88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Ūminės ir lėtinės nervų sistemos ligos ir jų liekamieji reiškiniai (išlikus reikšmingiems judėjimo, koordinacijos ir jautros sutrikimams).</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Spręsti individualiai</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Spręsti individualiai</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8.</w:t>
                </w:r>
              </w:p>
            </w:tc>
            <w:tc>
              <w:tcPr>
                <w:tcW w:w="8820" w:type="dxa"/>
                <w:tcBorders>
                  <w:top w:val="single" w:sz="6" w:space="0" w:color="auto"/>
                  <w:left w:val="single" w:sz="6" w:space="0" w:color="auto"/>
                  <w:bottom w:val="single" w:sz="6" w:space="0" w:color="auto"/>
                  <w:right w:val="single" w:sz="6" w:space="0" w:color="auto"/>
                </w:tcBorders>
                <w:hideMark/>
              </w:tcPr>
              <w:p>
                <w:pPr>
                  <w:tabs>
                    <w:tab w:val="center" w:pos="4153"/>
                    <w:tab w:val="right" w:pos="8306"/>
                  </w:tabs>
                  <w:rPr>
                    <w:b/>
                    <w:caps/>
                    <w:sz w:val="22"/>
                    <w:szCs w:val="22"/>
                  </w:rPr>
                </w:pPr>
                <w:r>
                  <w:rPr>
                    <w:b/>
                    <w:caps/>
                    <w:sz w:val="22"/>
                    <w:szCs w:val="22"/>
                  </w:rPr>
                  <w:t>PSICHIkos ir elgesio SUTRIKIMAI</w:t>
                </w:r>
              </w:p>
              <w:p>
                <w:pPr>
                  <w:tabs>
                    <w:tab w:val="center" w:pos="4153"/>
                    <w:tab w:val="right" w:pos="8306"/>
                  </w:tabs>
                  <w:rPr>
                    <w:sz w:val="22"/>
                    <w:szCs w:val="22"/>
                  </w:rPr>
                </w:pPr>
                <w:r>
                  <w:rPr>
                    <w:sz w:val="22"/>
                    <w:szCs w:val="22"/>
                  </w:rPr>
                  <w:t>Traukinio mašinisto pažymėjimai neišduodami įsidarbinantiesiems ar neatnaujinami traukinio mašinistams, turintiems:</w:t>
                </w:r>
              </w:p>
              <w:p>
                <w:pPr>
                  <w:tabs>
                    <w:tab w:val="center" w:pos="4153"/>
                    <w:tab w:val="right" w:pos="8306"/>
                  </w:tabs>
                  <w:rPr>
                    <w:sz w:val="22"/>
                    <w:szCs w:val="22"/>
                  </w:rPr>
                </w:pPr>
                <w:r>
                  <w:rPr>
                    <w:sz w:val="22"/>
                    <w:szCs w:val="22"/>
                  </w:rPr>
                  <w:t>– sunkių psichikos sutrikimų, įgimtų ar įgytų, sukeltų ligos, traumų ar neurochirurginių operacijų,</w:t>
                </w:r>
              </w:p>
              <w:p>
                <w:pPr>
                  <w:tabs>
                    <w:tab w:val="center" w:pos="4153"/>
                    <w:tab w:val="right" w:pos="8306"/>
                  </w:tabs>
                  <w:rPr>
                    <w:sz w:val="22"/>
                    <w:szCs w:val="22"/>
                  </w:rPr>
                </w:pPr>
                <w:r>
                  <w:rPr>
                    <w:sz w:val="22"/>
                    <w:szCs w:val="22"/>
                  </w:rPr>
                  <w:t>– sunkų protinį atsilikimą,</w:t>
                </w:r>
              </w:p>
              <w:p>
                <w:pPr>
                  <w:tabs>
                    <w:tab w:val="center" w:pos="4153"/>
                    <w:tab w:val="right" w:pos="8306"/>
                  </w:tabs>
                  <w:rPr>
                    <w:sz w:val="22"/>
                    <w:szCs w:val="22"/>
                  </w:rPr>
                </w:pPr>
                <w:r>
                  <w:rPr>
                    <w:sz w:val="22"/>
                    <w:szCs w:val="22"/>
                  </w:rPr>
                  <w:t>– sunkių elgesio sutrikimų dėl senėjimo proceso; arba asmenybės sutrikimų, kurie labai trikdo nuovoką, elgesį ar sugebėjimą prisitaikyti, išskyrus atvejus, kai kartu su prašymu pateikiama gydytojo psichiatro išvada ir prireikus reguliariai atliekant medicinines apžiūras.</w:t>
                </w:r>
              </w:p>
              <w:p>
                <w:pPr>
                  <w:rPr>
                    <w:sz w:val="22"/>
                    <w:szCs w:val="22"/>
                  </w:rPr>
                </w:pPr>
                <w:r>
                  <w:rPr>
                    <w:sz w:val="22"/>
                    <w:szCs w:val="22"/>
                  </w:rPr>
                  <w:t>Gydytojas psichiatras tinkamai įvertina papildomą riziką ir pavojus, kurie kyla, dirbant traukinio mašinistu.</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lang w:val="pt-BR"/>
                  </w:rPr>
                </w:pP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lang w:val="pt-BR"/>
                  </w:rPr>
                </w:pP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8.1.</w:t>
                </w:r>
              </w:p>
            </w:tc>
            <w:tc>
              <w:tcPr>
                <w:tcW w:w="8820" w:type="dxa"/>
                <w:tcBorders>
                  <w:top w:val="single" w:sz="6" w:space="0" w:color="auto"/>
                  <w:left w:val="single" w:sz="6" w:space="0" w:color="auto"/>
                  <w:bottom w:val="single" w:sz="4" w:space="0" w:color="auto"/>
                  <w:right w:val="single" w:sz="6" w:space="0" w:color="auto"/>
                </w:tcBorders>
                <w:hideMark/>
              </w:tcPr>
              <w:p>
                <w:pPr>
                  <w:rPr>
                    <w:sz w:val="22"/>
                    <w:szCs w:val="22"/>
                    <w:lang w:val="pt-BR"/>
                  </w:rPr>
                </w:pPr>
                <w:r>
                  <w:rPr>
                    <w:sz w:val="22"/>
                    <w:szCs w:val="22"/>
                    <w:lang w:val="pt-BR"/>
                  </w:rPr>
                  <w:t>Visų etiologijų demencijos F00–F03, G30</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lang w:val="pt-BR"/>
                  </w:rPr>
                </w:pPr>
                <w:r>
                  <w:rPr>
                    <w:sz w:val="22"/>
                    <w:szCs w:val="22"/>
                  </w:rPr>
                  <w:t>Draudžiama</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Žr. pastabą</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8.2.</w:t>
                </w:r>
              </w:p>
            </w:tc>
            <w:tc>
              <w:tcPr>
                <w:tcW w:w="8820" w:type="dxa"/>
                <w:tcBorders>
                  <w:top w:val="single" w:sz="4" w:space="0" w:color="auto"/>
                  <w:left w:val="single" w:sz="6" w:space="0" w:color="auto"/>
                  <w:bottom w:val="single" w:sz="6" w:space="0" w:color="auto"/>
                  <w:right w:val="single" w:sz="6" w:space="0" w:color="auto"/>
                </w:tcBorders>
                <w:hideMark/>
              </w:tcPr>
              <w:p>
                <w:pPr>
                  <w:outlineLvl w:val="7"/>
                  <w:rPr>
                    <w:iCs/>
                    <w:sz w:val="22"/>
                    <w:szCs w:val="22"/>
                    <w:lang w:val="pt-BR"/>
                  </w:rPr>
                </w:pPr>
                <w:r>
                  <w:rPr>
                    <w:iCs/>
                    <w:sz w:val="22"/>
                    <w:szCs w:val="22"/>
                    <w:lang w:val="pt-BR"/>
                  </w:rPr>
                  <w:t xml:space="preserve">Organiniai ir simptominiai psichikos sutrikimai F04; F05; F06 – </w:t>
                </w:r>
              </w:p>
              <w:p>
                <w:pPr>
                  <w:rPr>
                    <w:sz w:val="22"/>
                    <w:szCs w:val="22"/>
                    <w:lang w:val="pt-BR"/>
                  </w:rPr>
                </w:pPr>
                <w:r>
                  <w:rPr>
                    <w:sz w:val="22"/>
                    <w:szCs w:val="22"/>
                    <w:lang w:val="pt-BR"/>
                  </w:rPr>
                  <w:t>sprendžiama individualiai, įvertinus kompleksinio tyrimo duomenis, kompensacijos stabilumą, skiriamą medikamentinį gydymą ar pasveikus.</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Žr. pastabą</w:t>
                </w:r>
              </w:p>
              <w:p>
                <w:pPr>
                  <w:jc w:val="center"/>
                  <w:rPr>
                    <w:sz w:val="22"/>
                    <w:szCs w:val="22"/>
                  </w:rPr>
                </w:pPr>
                <w:r>
                  <w:rPr>
                    <w:sz w:val="22"/>
                    <w:szCs w:val="22"/>
                  </w:rPr>
                  <w:t>Spręsti individualiai</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lang w:val="pt-BR"/>
                  </w:rPr>
                </w:pPr>
                <w:r>
                  <w:rPr>
                    <w:sz w:val="22"/>
                    <w:szCs w:val="22"/>
                    <w:lang w:val="pt-BR"/>
                  </w:rPr>
                  <w:t>Žr. pastabą</w:t>
                </w:r>
              </w:p>
              <w:p>
                <w:pPr>
                  <w:jc w:val="center"/>
                  <w:rPr>
                    <w:sz w:val="22"/>
                    <w:szCs w:val="22"/>
                    <w:lang w:val="pt-BR"/>
                  </w:rPr>
                </w:pPr>
                <w:r>
                  <w:rPr>
                    <w:sz w:val="22"/>
                    <w:szCs w:val="22"/>
                    <w:lang w:val="pt-BR"/>
                  </w:rPr>
                  <w:t xml:space="preserve">Pasveikus spręsti individualiai </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8.3.</w:t>
                </w:r>
              </w:p>
            </w:tc>
            <w:tc>
              <w:tcPr>
                <w:tcW w:w="88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 xml:space="preserve">Organiniai asmenybės ir elgesio sutrikimai </w:t>
                </w:r>
              </w:p>
              <w:p>
                <w:pPr>
                  <w:rPr>
                    <w:sz w:val="22"/>
                    <w:szCs w:val="22"/>
                  </w:rPr>
                </w:pPr>
                <w:r>
                  <w:rPr>
                    <w:sz w:val="22"/>
                    <w:szCs w:val="22"/>
                  </w:rPr>
                  <w:t xml:space="preserve">F07 – sprendžiama individualiai, įvertinus kompleksinio tyrimo duomenis, kompensacijos stabilumą, adaptacijos kokybę, skiriamą medikamentinį gydymą. </w:t>
                </w:r>
              </w:p>
            </w:tc>
            <w:tc>
              <w:tcPr>
                <w:tcW w:w="2340" w:type="dxa"/>
                <w:tcBorders>
                  <w:top w:val="single" w:sz="6" w:space="0" w:color="auto"/>
                  <w:left w:val="single" w:sz="6" w:space="0" w:color="auto"/>
                  <w:bottom w:val="single" w:sz="6" w:space="0" w:color="auto"/>
                  <w:right w:val="single" w:sz="6" w:space="0" w:color="auto"/>
                </w:tcBorders>
                <w:hideMark/>
              </w:tcPr>
              <w:p>
                <w:pPr>
                  <w:jc w:val="center"/>
                  <w:rPr>
                    <w:strike/>
                    <w:sz w:val="22"/>
                    <w:szCs w:val="22"/>
                  </w:rPr>
                </w:pPr>
                <w:r>
                  <w:rPr>
                    <w:sz w:val="22"/>
                    <w:szCs w:val="22"/>
                  </w:rPr>
                  <w:t>Spręsti individualiai</w:t>
                </w:r>
              </w:p>
            </w:tc>
            <w:tc>
              <w:tcPr>
                <w:tcW w:w="2340" w:type="dxa"/>
                <w:tcBorders>
                  <w:top w:val="single" w:sz="6" w:space="0" w:color="auto"/>
                  <w:left w:val="single" w:sz="6" w:space="0" w:color="auto"/>
                  <w:bottom w:val="single" w:sz="6" w:space="0" w:color="auto"/>
                  <w:right w:val="single" w:sz="6" w:space="0" w:color="auto"/>
                </w:tcBorders>
              </w:tcPr>
              <w:p>
                <w:pPr>
                  <w:jc w:val="center"/>
                  <w:rPr>
                    <w:strike/>
                    <w:sz w:val="22"/>
                    <w:szCs w:val="22"/>
                  </w:rPr>
                </w:pP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8.4.</w:t>
                </w:r>
              </w:p>
            </w:tc>
            <w:tc>
              <w:tcPr>
                <w:tcW w:w="8820" w:type="dxa"/>
                <w:tcBorders>
                  <w:top w:val="single" w:sz="6" w:space="0" w:color="auto"/>
                  <w:left w:val="single" w:sz="6" w:space="0" w:color="auto"/>
                  <w:bottom w:val="single" w:sz="6" w:space="0" w:color="auto"/>
                  <w:right w:val="single" w:sz="6" w:space="0" w:color="auto"/>
                </w:tcBorders>
                <w:hideMark/>
              </w:tcPr>
              <w:p>
                <w:pPr>
                  <w:tabs>
                    <w:tab w:val="left" w:pos="1296"/>
                    <w:tab w:val="center" w:pos="4153"/>
                    <w:tab w:val="right" w:pos="8306"/>
                  </w:tabs>
                  <w:rPr>
                    <w:sz w:val="22"/>
                    <w:szCs w:val="22"/>
                  </w:rPr>
                </w:pPr>
                <w:r>
                  <w:rPr>
                    <w:sz w:val="22"/>
                    <w:szCs w:val="22"/>
                  </w:rPr>
                  <w:t>Psichikos ir elgesio sutrikimai, vartojant psichotropines medžiagas</w:t>
                </w:r>
              </w:p>
              <w:p>
                <w:pPr>
                  <w:rPr>
                    <w:rFonts w:eastAsia="MS Mincho"/>
                    <w:sz w:val="22"/>
                    <w:szCs w:val="22"/>
                  </w:rPr>
                </w:pPr>
                <w:r>
                  <w:rPr>
                    <w:rFonts w:eastAsia="MS Mincho"/>
                    <w:sz w:val="22"/>
                    <w:szCs w:val="22"/>
                  </w:rPr>
                  <w:t xml:space="preserve">F1X.1–F1X.9 (remisijų metu sprendžiama individualiai, atsižvelgiant į remisijų trukmę, stabilumą, adaptaciją, skiriamą medikamentinį gydymą) </w:t>
                </w:r>
              </w:p>
              <w:p>
                <w:pPr>
                  <w:tabs>
                    <w:tab w:val="left" w:pos="1296"/>
                    <w:tab w:val="center" w:pos="4153"/>
                    <w:tab w:val="right" w:pos="8306"/>
                  </w:tabs>
                  <w:rPr>
                    <w:sz w:val="22"/>
                    <w:szCs w:val="22"/>
                  </w:rPr>
                </w:pPr>
                <w:r>
                  <w:rPr>
                    <w:sz w:val="22"/>
                    <w:szCs w:val="22"/>
                  </w:rPr>
                  <w:t>(X – bet kuris skaičius nuo 1 iki 9, išskyrus 7)</w:t>
                </w:r>
              </w:p>
            </w:tc>
            <w:tc>
              <w:tcPr>
                <w:tcW w:w="2340" w:type="dxa"/>
                <w:tcBorders>
                  <w:top w:val="single" w:sz="6" w:space="0" w:color="auto"/>
                  <w:left w:val="single" w:sz="6" w:space="0" w:color="auto"/>
                  <w:bottom w:val="single" w:sz="6" w:space="0" w:color="auto"/>
                  <w:right w:val="single" w:sz="6" w:space="0" w:color="auto"/>
                </w:tcBorders>
                <w:hideMark/>
              </w:tcPr>
              <w:p>
                <w:pPr>
                  <w:jc w:val="center"/>
                  <w:rPr>
                    <w:strike/>
                    <w:sz w:val="22"/>
                    <w:szCs w:val="22"/>
                  </w:rPr>
                </w:pPr>
                <w:r>
                  <w:rPr>
                    <w:sz w:val="22"/>
                    <w:szCs w:val="22"/>
                  </w:rPr>
                  <w:t>Spręsti individualiai</w:t>
                </w:r>
              </w:p>
            </w:tc>
            <w:tc>
              <w:tcPr>
                <w:tcW w:w="2340" w:type="dxa"/>
                <w:tcBorders>
                  <w:top w:val="single" w:sz="6" w:space="0" w:color="auto"/>
                  <w:left w:val="single" w:sz="6" w:space="0" w:color="auto"/>
                  <w:bottom w:val="single" w:sz="6" w:space="0" w:color="auto"/>
                  <w:right w:val="single" w:sz="6" w:space="0" w:color="auto"/>
                </w:tcBorders>
                <w:hideMark/>
              </w:tcPr>
              <w:p>
                <w:pPr>
                  <w:jc w:val="center"/>
                  <w:rPr>
                    <w:strike/>
                    <w:sz w:val="22"/>
                    <w:szCs w:val="22"/>
                  </w:rPr>
                </w:pPr>
                <w:r>
                  <w:rPr>
                    <w:sz w:val="22"/>
                    <w:szCs w:val="22"/>
                  </w:rPr>
                  <w:t>Spręsti individualiai</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8.5.</w:t>
                </w:r>
              </w:p>
            </w:tc>
            <w:tc>
              <w:tcPr>
                <w:tcW w:w="8820" w:type="dxa"/>
                <w:tcBorders>
                  <w:top w:val="single" w:sz="6" w:space="0" w:color="auto"/>
                  <w:left w:val="single" w:sz="6" w:space="0" w:color="auto"/>
                  <w:bottom w:val="single" w:sz="6" w:space="0" w:color="auto"/>
                  <w:right w:val="single" w:sz="6" w:space="0" w:color="auto"/>
                </w:tcBorders>
                <w:hideMark/>
              </w:tcPr>
              <w:p>
                <w:pPr>
                  <w:tabs>
                    <w:tab w:val="left" w:pos="1296"/>
                    <w:tab w:val="center" w:pos="4153"/>
                    <w:tab w:val="right" w:pos="8306"/>
                  </w:tabs>
                  <w:rPr>
                    <w:sz w:val="22"/>
                    <w:szCs w:val="22"/>
                  </w:rPr>
                </w:pPr>
                <w:r>
                  <w:rPr>
                    <w:sz w:val="22"/>
                    <w:szCs w:val="22"/>
                  </w:rPr>
                  <w:t xml:space="preserve">Schizofrenija, schizotipinis ir kliedesinis sutrikimas F20–29 </w:t>
                </w:r>
              </w:p>
              <w:p>
                <w:pPr>
                  <w:tabs>
                    <w:tab w:val="left" w:pos="1296"/>
                    <w:tab w:val="center" w:pos="4153"/>
                    <w:tab w:val="right" w:pos="8306"/>
                  </w:tabs>
                  <w:rPr>
                    <w:sz w:val="22"/>
                    <w:szCs w:val="22"/>
                  </w:rPr>
                </w:pPr>
                <w:r>
                  <w:rPr>
                    <w:sz w:val="22"/>
                    <w:szCs w:val="22"/>
                  </w:rPr>
                  <w:t xml:space="preserve">(esant remisijai ar ribinio lygio rezidualinei simptomatikai, galimybės dirbti traukinio mašinistu klausimas sprendžiamas individualiai, atsižvelgiant į kompleksinio tyrimo duomenis – remisijos trukmę, kokybę, rezidualinę simptomatiką, adaptacijos kokybę, skiriamą medikamentinį gydymą) </w:t>
                </w:r>
              </w:p>
            </w:tc>
            <w:tc>
              <w:tcPr>
                <w:tcW w:w="2340" w:type="dxa"/>
                <w:tcBorders>
                  <w:top w:val="single" w:sz="6" w:space="0" w:color="auto"/>
                  <w:left w:val="single" w:sz="6" w:space="0" w:color="auto"/>
                  <w:bottom w:val="single" w:sz="6" w:space="0" w:color="auto"/>
                  <w:right w:val="single" w:sz="6" w:space="0" w:color="auto"/>
                </w:tcBorders>
                <w:hideMark/>
              </w:tcPr>
              <w:p>
                <w:pPr>
                  <w:tabs>
                    <w:tab w:val="left" w:pos="1296"/>
                    <w:tab w:val="center" w:pos="4153"/>
                    <w:tab w:val="right" w:pos="8306"/>
                  </w:tabs>
                  <w:jc w:val="center"/>
                  <w:rPr>
                    <w:strike/>
                    <w:sz w:val="22"/>
                    <w:szCs w:val="22"/>
                  </w:rPr>
                </w:pPr>
                <w:r>
                  <w:rPr>
                    <w:sz w:val="22"/>
                    <w:szCs w:val="22"/>
                  </w:rPr>
                  <w:t>Spręsti individualiai</w:t>
                </w:r>
              </w:p>
            </w:tc>
            <w:tc>
              <w:tcPr>
                <w:tcW w:w="2340" w:type="dxa"/>
                <w:tcBorders>
                  <w:top w:val="single" w:sz="6" w:space="0" w:color="auto"/>
                  <w:left w:val="single" w:sz="6" w:space="0" w:color="auto"/>
                  <w:bottom w:val="single" w:sz="6" w:space="0" w:color="auto"/>
                  <w:right w:val="single" w:sz="6" w:space="0" w:color="auto"/>
                </w:tcBorders>
              </w:tcPr>
              <w:p>
                <w:pPr>
                  <w:tabs>
                    <w:tab w:val="left" w:pos="1296"/>
                    <w:tab w:val="center" w:pos="4153"/>
                    <w:tab w:val="right" w:pos="8306"/>
                  </w:tabs>
                  <w:jc w:val="center"/>
                  <w:rPr>
                    <w:strike/>
                    <w:sz w:val="22"/>
                    <w:szCs w:val="22"/>
                  </w:rPr>
                </w:pP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8.6.</w:t>
                </w:r>
              </w:p>
            </w:tc>
            <w:tc>
              <w:tcPr>
                <w:tcW w:w="88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Afektiniai sutrikimai – F30.1–F 0.9; F31.1–F31.9; F32.1–F32.9; F33.0–F33.9, F39 (remisijų metu klausimas sprendžiamas individualiai, atsižvelgiant į remisijos trukmę, stabilumą, adaptaciją, skiriamą medikamentinį gydymą).</w:t>
                </w:r>
              </w:p>
              <w:p>
                <w:pPr>
                  <w:rPr>
                    <w:sz w:val="22"/>
                    <w:szCs w:val="22"/>
                  </w:rPr>
                </w:pPr>
                <w:r>
                  <w:rPr>
                    <w:sz w:val="22"/>
                    <w:szCs w:val="22"/>
                  </w:rPr>
                  <w:t xml:space="preserve">Afektiniai sutrikimai F34; F38 (sprendžiama individualiai, atsižvelgiant į psichikos sutrikimo simptomų išreikštumą, adaptaciją, skiriamą medikamentinį gydymą) </w:t>
                </w:r>
              </w:p>
            </w:tc>
            <w:tc>
              <w:tcPr>
                <w:tcW w:w="2340" w:type="dxa"/>
                <w:tcBorders>
                  <w:top w:val="single" w:sz="6" w:space="0" w:color="auto"/>
                  <w:left w:val="single" w:sz="6" w:space="0" w:color="auto"/>
                  <w:bottom w:val="single" w:sz="6" w:space="0" w:color="auto"/>
                  <w:right w:val="single" w:sz="6" w:space="0" w:color="auto"/>
                </w:tcBorders>
                <w:hideMark/>
              </w:tcPr>
              <w:p>
                <w:pPr>
                  <w:tabs>
                    <w:tab w:val="left" w:pos="1296"/>
                    <w:tab w:val="center" w:pos="4153"/>
                    <w:tab w:val="right" w:pos="8306"/>
                  </w:tabs>
                  <w:jc w:val="center"/>
                  <w:rPr>
                    <w:strike/>
                    <w:sz w:val="22"/>
                    <w:szCs w:val="22"/>
                  </w:rPr>
                </w:pPr>
                <w:r>
                  <w:rPr>
                    <w:sz w:val="22"/>
                    <w:szCs w:val="22"/>
                  </w:rPr>
                  <w:t>Spręsti individualiai</w:t>
                </w:r>
              </w:p>
            </w:tc>
            <w:tc>
              <w:tcPr>
                <w:tcW w:w="2340" w:type="dxa"/>
                <w:tcBorders>
                  <w:top w:val="single" w:sz="6" w:space="0" w:color="auto"/>
                  <w:left w:val="single" w:sz="6" w:space="0" w:color="auto"/>
                  <w:bottom w:val="single" w:sz="6" w:space="0" w:color="auto"/>
                  <w:right w:val="single" w:sz="6" w:space="0" w:color="auto"/>
                </w:tcBorders>
              </w:tcPr>
              <w:p>
                <w:pPr>
                  <w:jc w:val="center"/>
                  <w:rPr>
                    <w:strike/>
                    <w:sz w:val="22"/>
                    <w:szCs w:val="22"/>
                  </w:rPr>
                </w:pP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8.7.</w:t>
                </w:r>
              </w:p>
            </w:tc>
            <w:tc>
              <w:tcPr>
                <w:tcW w:w="88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 xml:space="preserve">Neuroziniai, stresiniai ir somatoforminiai sutrikimai F40–F48 – sprendžiama individualiai, atsižvelgiant į sutrikimus, adaptacijos, ilgalaikio psichotropinių vaistų vartojimo būtinumą </w:t>
                </w:r>
              </w:p>
            </w:tc>
            <w:tc>
              <w:tcPr>
                <w:tcW w:w="2340" w:type="dxa"/>
                <w:tcBorders>
                  <w:top w:val="single" w:sz="6" w:space="0" w:color="auto"/>
                  <w:left w:val="single" w:sz="6" w:space="0" w:color="auto"/>
                  <w:bottom w:val="single" w:sz="6" w:space="0" w:color="auto"/>
                  <w:right w:val="single" w:sz="6" w:space="0" w:color="auto"/>
                </w:tcBorders>
                <w:hideMark/>
              </w:tcPr>
              <w:p>
                <w:pPr>
                  <w:jc w:val="center"/>
                  <w:rPr>
                    <w:strike/>
                    <w:sz w:val="22"/>
                    <w:szCs w:val="22"/>
                  </w:rPr>
                </w:pPr>
                <w:r>
                  <w:rPr>
                    <w:sz w:val="22"/>
                    <w:szCs w:val="22"/>
                  </w:rPr>
                  <w:t>Spręsti individualiai</w:t>
                </w:r>
              </w:p>
            </w:tc>
            <w:tc>
              <w:tcPr>
                <w:tcW w:w="2340" w:type="dxa"/>
                <w:tcBorders>
                  <w:top w:val="single" w:sz="6" w:space="0" w:color="auto"/>
                  <w:left w:val="single" w:sz="6" w:space="0" w:color="auto"/>
                  <w:bottom w:val="single" w:sz="6" w:space="0" w:color="auto"/>
                  <w:right w:val="single" w:sz="6" w:space="0" w:color="auto"/>
                </w:tcBorders>
                <w:hideMark/>
              </w:tcPr>
              <w:p>
                <w:pPr>
                  <w:jc w:val="center"/>
                  <w:rPr>
                    <w:strike/>
                    <w:sz w:val="22"/>
                    <w:szCs w:val="22"/>
                  </w:rPr>
                </w:pPr>
                <w:r>
                  <w:rPr>
                    <w:sz w:val="22"/>
                    <w:szCs w:val="22"/>
                  </w:rPr>
                  <w:t>Spręsti individualiai</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8.8.</w:t>
                </w:r>
              </w:p>
            </w:tc>
            <w:tc>
              <w:tcPr>
                <w:tcW w:w="88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Elgesio sindromai, susiję su fiziologiniais sutrikimais bei somatiniais veiksniais F50; F51: F53–F59 – sprendžiama individualiai, atsižvelgiant į sutrikimus, adaptaciją, ilgalaikio psichotropinių vaistų vartojimo būtinumą</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Spręsti individualiai</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Spręsti individualiai</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8.9.</w:t>
                </w:r>
              </w:p>
            </w:tc>
            <w:tc>
              <w:tcPr>
                <w:tcW w:w="88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 xml:space="preserve">Suaugusiųjų asmenybės ir elgesio sutrikimai F60–F63; F68; F69 – sprendžiama individualiai, atsižvelgiant į dekompensacijų dažnumą, laipsnį, adaptacijos kokybę, ilgalaikio psichotropinių vaistų vartojimo būtinumą </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Spręsti individualiai</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Spręsti individualiai</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8.10</w:t>
                </w:r>
              </w:p>
            </w:tc>
            <w:tc>
              <w:tcPr>
                <w:tcW w:w="88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Protinis atsilikimas F70–F71– sprendžiama individualiai, remiantis psichologo išvada, atsižvelgiant į praktinius įgūdžius bei adaptacijos kokybę.</w:t>
                </w:r>
              </w:p>
              <w:p>
                <w:pPr>
                  <w:rPr>
                    <w:sz w:val="22"/>
                    <w:szCs w:val="22"/>
                    <w:lang w:val="pt-BR"/>
                  </w:rPr>
                </w:pPr>
                <w:r>
                  <w:rPr>
                    <w:sz w:val="22"/>
                    <w:szCs w:val="22"/>
                    <w:lang w:val="pt-BR"/>
                  </w:rPr>
                  <w:t>Pakartotinis sveikatos tikrinimas skiriamas po 3 metų.</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Spręsti individualiai,</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Žr. pastabą</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8.11</w:t>
                </w:r>
              </w:p>
            </w:tc>
            <w:tc>
              <w:tcPr>
                <w:tcW w:w="88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Protinis atsilikimas F72–F79</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Draudžiama</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8.12.</w:t>
                </w:r>
              </w:p>
            </w:tc>
            <w:tc>
              <w:tcPr>
                <w:tcW w:w="8820" w:type="dxa"/>
                <w:tcBorders>
                  <w:top w:val="single" w:sz="6" w:space="0" w:color="auto"/>
                  <w:left w:val="single" w:sz="6" w:space="0" w:color="auto"/>
                  <w:bottom w:val="single" w:sz="6" w:space="0" w:color="auto"/>
                  <w:right w:val="single" w:sz="6" w:space="0" w:color="auto"/>
                </w:tcBorders>
                <w:hideMark/>
              </w:tcPr>
              <w:p>
                <w:pPr>
                  <w:rPr>
                    <w:sz w:val="22"/>
                    <w:szCs w:val="22"/>
                    <w:lang w:val="pt-BR"/>
                  </w:rPr>
                </w:pPr>
                <w:r>
                  <w:rPr>
                    <w:sz w:val="22"/>
                    <w:szCs w:val="22"/>
                    <w:lang w:val="pt-BR"/>
                  </w:rPr>
                  <w:t>Psichologinės raidos sutrikimai F72–F79</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Spręsti individualiai</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Spręsti individualiai</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8.13</w:t>
                </w:r>
              </w:p>
            </w:tc>
            <w:tc>
              <w:tcPr>
                <w:tcW w:w="8820" w:type="dxa"/>
                <w:tcBorders>
                  <w:top w:val="single" w:sz="6" w:space="0" w:color="auto"/>
                  <w:left w:val="single" w:sz="6" w:space="0" w:color="auto"/>
                  <w:bottom w:val="single" w:sz="6" w:space="0" w:color="auto"/>
                  <w:right w:val="single" w:sz="6" w:space="0" w:color="auto"/>
                </w:tcBorders>
                <w:hideMark/>
              </w:tcPr>
              <w:p>
                <w:pPr>
                  <w:rPr>
                    <w:sz w:val="22"/>
                    <w:szCs w:val="22"/>
                    <w:lang w:val="pt-BR"/>
                  </w:rPr>
                </w:pPr>
                <w:r>
                  <w:rPr>
                    <w:sz w:val="22"/>
                    <w:szCs w:val="22"/>
                    <w:lang w:val="pt-BR"/>
                  </w:rPr>
                  <w:t>Elgesio ir emocijų sutrikimai, prasidedantys vaikystėje ir paauglystėje F90–F98</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Spręsti individualiai</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Spręsti individualiai</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tcPr>
              <w:p>
                <w:pPr>
                  <w:rPr>
                    <w:b/>
                    <w:strike/>
                    <w:sz w:val="22"/>
                    <w:szCs w:val="22"/>
                  </w:rPr>
                </w:pPr>
              </w:p>
            </w:tc>
            <w:tc>
              <w:tcPr>
                <w:tcW w:w="88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PASTABA: Psichozinio lygio sutrikimų atveju kokybiška remisija turėtų trukti ne trumpiau kaip 3 metus</w:t>
                </w:r>
              </w:p>
              <w:p>
                <w:pPr>
                  <w:rPr>
                    <w:sz w:val="22"/>
                    <w:szCs w:val="22"/>
                  </w:rPr>
                </w:pPr>
                <w:r>
                  <w:rPr>
                    <w:sz w:val="22"/>
                    <w:szCs w:val="22"/>
                  </w:rPr>
                  <w:t>Nepsichozinio lygio psichikos sutrikimų atveju remisija turėtų trukti ne trumpiau kaip 1 metus</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Spręsti individualiai</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Žr. pastabą</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9.</w:t>
                </w:r>
              </w:p>
            </w:tc>
            <w:tc>
              <w:tcPr>
                <w:tcW w:w="8820" w:type="dxa"/>
                <w:tcBorders>
                  <w:top w:val="single" w:sz="6" w:space="0" w:color="auto"/>
                  <w:left w:val="single" w:sz="6" w:space="0" w:color="auto"/>
                  <w:bottom w:val="single" w:sz="6" w:space="0" w:color="auto"/>
                  <w:right w:val="single" w:sz="6" w:space="0" w:color="auto"/>
                </w:tcBorders>
                <w:hideMark/>
              </w:tcPr>
              <w:p>
                <w:pPr>
                  <w:rPr>
                    <w:b/>
                    <w:sz w:val="22"/>
                    <w:szCs w:val="22"/>
                  </w:rPr>
                </w:pPr>
                <w:r>
                  <w:rPr>
                    <w:b/>
                    <w:sz w:val="22"/>
                    <w:szCs w:val="22"/>
                  </w:rPr>
                  <w:t xml:space="preserve">UROGENITALINĖS SISTEMOS LIGOS: </w:t>
                </w:r>
              </w:p>
              <w:p>
                <w:pPr>
                  <w:tabs>
                    <w:tab w:val="left" w:pos="1080"/>
                  </w:tabs>
                  <w:rPr>
                    <w:rFonts w:eastAsia="MS Mincho"/>
                    <w:sz w:val="22"/>
                    <w:szCs w:val="22"/>
                  </w:rPr>
                </w:pPr>
                <w:r>
                  <w:rPr>
                    <w:sz w:val="22"/>
                    <w:szCs w:val="22"/>
                  </w:rPr>
                  <w:t>PASTABA: Pažymėjimai negali būti išduodami sergantiems sunkiu inkstų nepakankamumu, išskyrus atvejus, kai inkstų nepakankamumas yra lengvesnio laipsnio ir tai yra pagrįsta gydytojo nefrologo išvada, paremta reguliariai atliekamomis medicininėmis apžiūromis.</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Spręsti individualiai</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Spręsti individualiai</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tcPr>
              <w:p>
                <w:pPr>
                  <w:rPr>
                    <w:sz w:val="22"/>
                    <w:szCs w:val="22"/>
                  </w:rPr>
                </w:pPr>
              </w:p>
            </w:tc>
            <w:tc>
              <w:tcPr>
                <w:tcW w:w="8820" w:type="dxa"/>
                <w:tcBorders>
                  <w:top w:val="single" w:sz="6" w:space="0" w:color="auto"/>
                  <w:left w:val="single" w:sz="6" w:space="0" w:color="auto"/>
                  <w:bottom w:val="single" w:sz="6" w:space="0" w:color="auto"/>
                  <w:right w:val="single" w:sz="6" w:space="0" w:color="auto"/>
                </w:tcBorders>
                <w:hideMark/>
              </w:tcPr>
              <w:p>
                <w:pPr>
                  <w:rPr>
                    <w:i/>
                    <w:sz w:val="22"/>
                    <w:szCs w:val="22"/>
                  </w:rPr>
                </w:pPr>
                <w:r>
                  <w:rPr>
                    <w:sz w:val="22"/>
                    <w:szCs w:val="22"/>
                  </w:rPr>
                  <w:t>Lėtinis inkstų nepakankamumas N18</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Spręsti individualiai</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Spręsti individualiai</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10.</w:t>
                </w:r>
              </w:p>
            </w:tc>
            <w:tc>
              <w:tcPr>
                <w:tcW w:w="8820" w:type="dxa"/>
                <w:tcBorders>
                  <w:top w:val="single" w:sz="6" w:space="0" w:color="auto"/>
                  <w:left w:val="single" w:sz="6" w:space="0" w:color="auto"/>
                  <w:bottom w:val="single" w:sz="6" w:space="0" w:color="auto"/>
                  <w:right w:val="single" w:sz="6" w:space="0" w:color="auto"/>
                </w:tcBorders>
                <w:hideMark/>
              </w:tcPr>
              <w:p>
                <w:pPr>
                  <w:rPr>
                    <w:i/>
                    <w:sz w:val="22"/>
                    <w:szCs w:val="22"/>
                  </w:rPr>
                </w:pPr>
                <w:r>
                  <w:rPr>
                    <w:b/>
                    <w:sz w:val="22"/>
                    <w:szCs w:val="22"/>
                  </w:rPr>
                  <w:t>KITOS LIGOS AR BŪKLĖS</w:t>
                </w:r>
                <w:r>
                  <w:rPr>
                    <w:sz w:val="22"/>
                    <w:szCs w:val="22"/>
                  </w:rPr>
                  <w:t>, kurių nėra šiame sąraše, tačiau dėl kurių, gydytojų konsultacinės komisijos sprendimu, asmuo negali dirbti traukinio mašinistu. Sprendimą priima ASPĮ gydytojų konsultacinė komisija, jį būtina argumentuoti.</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p>
            </w:tc>
          </w:tr>
        </w:tbl>
        <w:p>
          <w:pPr/>
        </w:p>
        <w:p>
          <w:pPr>
            <w:jc w:val="both"/>
          </w:pPr>
          <w:r>
            <w:t>Pastabos:</w:t>
          </w:r>
        </w:p>
        <w:p>
          <w:pPr>
            <w:jc w:val="both"/>
          </w:pPr>
          <w:r>
            <w:t>1. „Spręsti individualiai“, „individualiu sprendimu“ reiškia, kad asmuo, atsakingas už sveikatos tikrinimus, o individualiais atvejais – gydytojų konsultacinė komisija, vadovaudamiesi ir specializuotų gydymo įstaigų, kitų profesinių kvalifikacijų gydytojų išvadomis ir rekomendacijomis, atsižvelgdami į susirgimą, kompensaciją, patologinio proceso grįžtamumą, jo progresavimą tęsiant darbuotojo, dirbančio pagal darbo sutartis (atsižvelgiant į darbo krūvį, konkrečias pareigas), darbą, tiriamojo ypatumus, gali priimti individualų sprendimą, leidžiantį asmeniui dirbti traukinio mašinistu.</w:t>
          </w:r>
        </w:p>
        <w:p>
          <w:pPr>
            <w:rPr>
              <w:color w:val="000000"/>
              <w:szCs w:val="24"/>
            </w:rPr>
          </w:pPr>
          <w:r>
            <w:t xml:space="preserve">2. </w:t>
          </w:r>
          <w:r>
            <w:rPr>
              <w:color w:val="000000"/>
              <w:szCs w:val="24"/>
            </w:rPr>
            <w:t>Apie būtinybę dirbti su akiniais, kontaktiniais lęšiais, klausos aparatu, protezu, draudimą dirbti privaloma įrašyti į f</w:t>
          </w:r>
          <w:r>
            <w:rPr>
              <w:color w:val="000000"/>
              <w:szCs w:val="24"/>
              <w:lang w:eastAsia="lt-LT"/>
            </w:rPr>
            <w:t xml:space="preserve">ormą Nr. 047/a </w:t>
          </w:r>
          <w:r>
            <w:rPr>
              <w:color w:val="000000"/>
              <w:szCs w:val="24"/>
            </w:rPr>
            <w:t>(ar formą Nr. E047) arba į formą Nr. 048/a (ar formą Nr. E048).</w:t>
          </w:r>
        </w:p>
        <w:sdt>
          <w:sdtPr>
            <w:alias w:val="pabaiga"/>
            <w:tag w:val="part_427c9a40825445dab7b3aef59832eb0e"/>
            <w:lock w:val="sdtLocked"/>
            <w:richText/>
          </w:sdtPr>
          <w:sdtContent>
            <w:p>
              <w:pPr>
                <w:jc w:val="center"/>
              </w:pPr>
              <w: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Lentelės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0f81cd0e33011ed9978886e85107ab2">
            <w:r w:rsidRPr="00532B9F">
              <w:rPr>
                <w:rFonts w:ascii="Times New Roman" w:eastAsia="MS Mincho" w:hAnsi="Times New Roman"/>
                <w:sz w:val="20"/>
                <w:i/>
                <w:iCs/>
                <w:color w:val="0000FF" w:themeColor="hyperlink"/>
                <w:u w:val="single"/>
              </w:rPr>
              <w:t>V-506</w:t>
            </w:r>
          </w:fldSimple>
          <w:r>
            <w:rPr>
              <w:rFonts w:ascii="Times New Roman" w:eastAsia="MS Mincho" w:hAnsi="Times New Roman"/>
              <w:sz w:val="20"/>
              <w:i/>
              <w:iCs/>
            </w:rPr>
            <w:t>,
2023-04-25,
paskelbta TAR 2023-04-25, i. k. 2023-07901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c1d914846111efabdbb4a1fc8b0b63">
            <w:r w:rsidRPr="00532B9F">
              <w:rPr>
                <w:rFonts w:ascii="Times New Roman" w:eastAsia="MS Mincho" w:hAnsi="Times New Roman"/>
                <w:sz w:val="20"/>
                <w:i/>
                <w:iCs/>
                <w:color w:val="0000FF" w:themeColor="hyperlink"/>
                <w:u w:val="single"/>
              </w:rPr>
              <w:t>V-966</w:t>
            </w:r>
          </w:fldSimple>
          <w:r>
            <w:rPr>
              <w:rFonts w:ascii="Times New Roman" w:eastAsia="MS Mincho" w:hAnsi="Times New Roman"/>
              <w:sz w:val="20"/>
              <w:i/>
              <w:iCs/>
            </w:rPr>
            <w:t>,
2024-10-07,
paskelbta TAR 2024-10-07, i. k. 2024-17546            </w:t>
          </w:r>
        </w:p>
        <w:p/>
      </w:sdtContent>
    </w:sdt>
    <w:sdt>
      <w:sdtPr>
        <w:alias w:val="lentele"/>
        <w:tag w:val="part_a37fe52ad1244cbf8e16430bc460d543"/>
        <w:lock w:val="sdtLocked"/>
        <w:richText/>
      </w:sdtPr>
      <w:sdtContent>
        <w:p>
          <w:pPr>
            <w:rPr>
              <w:sz w:val="20"/>
            </w:rPr>
          </w:pPr>
        </w:p>
        <w:p>
          <w:pPr>
            <w:rPr>
              <w:i/>
              <w:iCs/>
            </w:rPr>
            <w:sectPr>
              <w:pgSz w:w="16838" w:h="11906" w:orient="landscape"/>
              <w:pgMar w:top="1701" w:right="567" w:bottom="1134" w:left="1134" w:header="567" w:footer="567" w:gutter="0"/>
              <w:pgNumType w:start="1"/>
              <w:cols w:space="1296"/>
              <w:titlePg/>
              <w:docGrid w:linePitch="326"/>
            </w:sectPr>
          </w:pPr>
        </w:p>
        <w:p>
          <w:pPr>
            <w:rPr>
              <w:sz w:val="6"/>
              <w:szCs w:val="6"/>
            </w:rPr>
          </w:pPr>
        </w:p>
        <w:p>
          <w:pPr>
            <w:widowControl w:val="0"/>
            <w:ind w:firstLine="5102"/>
            <w:outlineLvl w:val="7"/>
            <w:rPr>
              <w:iCs/>
            </w:rPr>
          </w:pPr>
          <w:r>
            <w:rPr>
              <w:iCs/>
            </w:rPr>
            <w:t>2 lentelė</w:t>
          </w:r>
        </w:p>
        <w:p>
          <w:pPr>
            <w:widowControl w:val="0"/>
            <w:jc w:val="center"/>
            <w:rPr>
              <w:rFonts w:eastAsia="MS Mincho"/>
              <w:b/>
            </w:rPr>
          </w:pPr>
        </w:p>
        <w:p>
          <w:pPr>
            <w:widowControl w:val="0"/>
            <w:jc w:val="center"/>
            <w:rPr>
              <w:rFonts w:eastAsia="MS Mincho"/>
              <w:b/>
            </w:rPr>
          </w:pPr>
          <w:r>
            <w:rPr>
              <w:rFonts w:eastAsia="MS Mincho"/>
              <w:b/>
            </w:rPr>
            <w:t xml:space="preserve">TRAUKINIO MAŠINISTO GARBĖS DEKLARACIJA </w:t>
          </w:r>
        </w:p>
        <w:p>
          <w:pPr>
            <w:widowControl w:val="0"/>
            <w:jc w:val="center"/>
            <w:rPr>
              <w:rFonts w:eastAsia="MS Mincho"/>
              <w:b/>
            </w:rPr>
          </w:pPr>
          <w:r>
            <w:rPr>
              <w:rFonts w:eastAsia="MS Mincho"/>
              <w:b/>
            </w:rPr>
            <w:t>(SVEIKATOS PATIKRINIMO KLAUSIMYNAS)</w:t>
          </w:r>
        </w:p>
        <w:p>
          <w:pPr>
            <w:widowControl w:val="0"/>
            <w:rPr>
              <w:rFonts w:eastAsia="MS Mincho"/>
              <w:b/>
            </w:rPr>
          </w:pPr>
        </w:p>
        <w:p>
          <w:pPr>
            <w:tabs>
              <w:tab w:val="left" w:pos="8789"/>
            </w:tabs>
            <w:ind w:right="857"/>
            <w:jc w:val="center"/>
            <w:rPr>
              <w:lang w:val="pt-BR"/>
            </w:rPr>
          </w:pPr>
          <w:r>
            <w:rPr>
              <w:lang w:val="pt-BR"/>
            </w:rPr>
            <w:t>________________________</w:t>
          </w:r>
        </w:p>
        <w:p>
          <w:pPr>
            <w:tabs>
              <w:tab w:val="left" w:pos="8789"/>
            </w:tabs>
            <w:ind w:right="857"/>
            <w:jc w:val="center"/>
            <w:rPr>
              <w:sz w:val="22"/>
              <w:lang w:val="pt-BR"/>
            </w:rPr>
          </w:pPr>
          <w:r>
            <w:rPr>
              <w:sz w:val="22"/>
              <w:lang w:val="pt-BR"/>
            </w:rPr>
            <w:t>(data)</w:t>
          </w:r>
        </w:p>
        <w:p>
          <w:pPr>
            <w:tabs>
              <w:tab w:val="left" w:pos="8789"/>
            </w:tabs>
            <w:ind w:right="857"/>
            <w:jc w:val="center"/>
            <w:rPr>
              <w:lang w:val="pt-BR"/>
            </w:rPr>
          </w:pPr>
          <w:r>
            <w:rPr>
              <w:lang w:val="pt-BR"/>
            </w:rPr>
            <w:t>______________________________</w:t>
          </w:r>
        </w:p>
        <w:p>
          <w:pPr>
            <w:tabs>
              <w:tab w:val="left" w:pos="8789"/>
            </w:tabs>
            <w:ind w:right="857"/>
            <w:jc w:val="center"/>
            <w:rPr>
              <w:sz w:val="22"/>
              <w:lang w:val="pt-BR"/>
            </w:rPr>
          </w:pPr>
          <w:r>
            <w:rPr>
              <w:sz w:val="22"/>
              <w:lang w:val="pt-BR"/>
            </w:rPr>
            <w:t>(sudarymo vieta)</w:t>
          </w:r>
        </w:p>
        <w:p>
          <w:pPr>
            <w:tabs>
              <w:tab w:val="left" w:pos="8789"/>
            </w:tabs>
            <w:ind w:right="857"/>
            <w:jc w:val="center"/>
            <w:rPr>
              <w:lang w:val="pt-BR"/>
            </w:rPr>
          </w:pPr>
        </w:p>
        <w:tbl>
          <w:tblPr>
            <w:tblW w:w="0" w:type="auto"/>
            <w:tblInd w:w="-72"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A0" w:firstRow="1" w:lastRow="0" w:firstColumn="1" w:lastColumn="0" w:noHBand="0" w:noVBand="0"/>
          </w:tblPr>
          <w:tblGrid>
            <w:gridCol w:w="682"/>
            <w:gridCol w:w="7326"/>
            <w:gridCol w:w="682"/>
            <w:gridCol w:w="511"/>
          </w:tblGrid>
          <w:tr>
            <w:trPr>
              <w:cantSplit/>
              <w:trHeight w:val="20"/>
              <w:tblHeader/>
            </w:trPr>
            <w:tc>
              <w:tcPr>
                <w:tcW w:w="682" w:type="dxa"/>
                <w:tcBorders>
                  <w:top w:val="single" w:sz="6" w:space="0" w:color="000000"/>
                  <w:left w:val="single" w:sz="6" w:space="0" w:color="000000"/>
                  <w:bottom w:val="single" w:sz="6" w:space="0" w:color="000000"/>
                  <w:right w:val="single" w:sz="6" w:space="0" w:color="000000"/>
                </w:tcBorders>
                <w:hideMark/>
              </w:tcPr>
              <w:p>
                <w:pPr>
                  <w:jc w:val="center"/>
                  <w:rPr>
                    <w:sz w:val="22"/>
                  </w:rPr>
                </w:pPr>
                <w:r>
                  <w:rPr>
                    <w:sz w:val="22"/>
                  </w:rPr>
                  <w:t>Eil. Nr.</w:t>
                </w:r>
              </w:p>
            </w:tc>
            <w:tc>
              <w:tcPr>
                <w:tcW w:w="7326" w:type="dxa"/>
                <w:tcBorders>
                  <w:top w:val="single" w:sz="6" w:space="0" w:color="000000"/>
                  <w:left w:val="single" w:sz="6" w:space="0" w:color="000000"/>
                  <w:bottom w:val="single" w:sz="6" w:space="0" w:color="000000"/>
                  <w:right w:val="single" w:sz="6" w:space="0" w:color="000000"/>
                </w:tcBorders>
                <w:hideMark/>
              </w:tcPr>
              <w:p>
                <w:pPr>
                  <w:jc w:val="center"/>
                  <w:rPr>
                    <w:sz w:val="22"/>
                  </w:rPr>
                </w:pPr>
                <w:r>
                  <w:rPr>
                    <w:sz w:val="22"/>
                  </w:rPr>
                  <w:t xml:space="preserve">Klausimai, į kuriuos prašome atsakyti (tinkamą atsakymą „taip“ arba „ne“ lentelėje pažymėti </w:t>
                  <w:sym w:font="Wingdings" w:char="F0FC"/>
                </w:r>
                <w:r>
                  <w:rPr>
                    <w:vanish/>
                    <w:sz w:val="22"/>
                  </w:rPr>
                  <w:t>v</w:t>
                </w:r>
                <w:r>
                  <w:rPr>
                    <w:sz w:val="22"/>
                  </w:rPr>
                  <w:t>) lankantis pas gydytoją dėl traukinio mašinisto sveikatos pažymėjimo įsigijimo arba jo galiojimo pratęsimo (priežastį pabraukti)</w:t>
                </w:r>
              </w:p>
            </w:tc>
            <w:tc>
              <w:tcPr>
                <w:tcW w:w="682" w:type="dxa"/>
                <w:tcBorders>
                  <w:top w:val="single" w:sz="6" w:space="0" w:color="000000"/>
                  <w:left w:val="single" w:sz="6" w:space="0" w:color="000000"/>
                  <w:bottom w:val="single" w:sz="6" w:space="0" w:color="000000"/>
                  <w:right w:val="single" w:sz="6" w:space="0" w:color="000000"/>
                </w:tcBorders>
                <w:hideMark/>
              </w:tcPr>
              <w:p>
                <w:pPr>
                  <w:jc w:val="center"/>
                  <w:rPr>
                    <w:sz w:val="22"/>
                  </w:rPr>
                </w:pPr>
                <w:r>
                  <w:rPr>
                    <w:sz w:val="22"/>
                  </w:rPr>
                  <w:t>Taip</w:t>
                </w:r>
              </w:p>
            </w:tc>
            <w:tc>
              <w:tcPr>
                <w:tcW w:w="511" w:type="dxa"/>
                <w:tcBorders>
                  <w:top w:val="single" w:sz="6" w:space="0" w:color="000000"/>
                  <w:left w:val="single" w:sz="6" w:space="0" w:color="000000"/>
                  <w:bottom w:val="single" w:sz="6" w:space="0" w:color="000000"/>
                  <w:right w:val="single" w:sz="6" w:space="0" w:color="000000"/>
                </w:tcBorders>
                <w:hideMark/>
              </w:tcPr>
              <w:p>
                <w:pPr>
                  <w:jc w:val="center"/>
                  <w:rPr>
                    <w:sz w:val="22"/>
                  </w:rPr>
                </w:pPr>
                <w:r>
                  <w:rPr>
                    <w:sz w:val="22"/>
                  </w:rPr>
                  <w:t>Ne</w:t>
                </w: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hideMark/>
              </w:tcPr>
              <w:p>
                <w:pPr>
                  <w:rPr>
                    <w:sz w:val="22"/>
                  </w:rPr>
                </w:pPr>
                <w:r>
                  <w:rPr>
                    <w:sz w:val="22"/>
                  </w:rPr>
                  <w:t>A.</w:t>
                </w:r>
              </w:p>
            </w:tc>
            <w:tc>
              <w:tcPr>
                <w:tcW w:w="7326" w:type="dxa"/>
                <w:tcBorders>
                  <w:top w:val="single" w:sz="6" w:space="0" w:color="000000"/>
                  <w:left w:val="single" w:sz="6" w:space="0" w:color="000000"/>
                  <w:bottom w:val="single" w:sz="6" w:space="0" w:color="000000"/>
                  <w:right w:val="single" w:sz="6" w:space="0" w:color="000000"/>
                </w:tcBorders>
                <w:hideMark/>
              </w:tcPr>
              <w:p>
                <w:pPr>
                  <w:tabs>
                    <w:tab w:val="center" w:pos="4153"/>
                    <w:tab w:val="right" w:pos="8306"/>
                    <w:tab w:val="left" w:pos="8789"/>
                  </w:tabs>
                  <w:rPr>
                    <w:sz w:val="22"/>
                  </w:rPr>
                </w:pPr>
                <w:r>
                  <w:rPr>
                    <w:sz w:val="22"/>
                  </w:rPr>
                  <w:t>Ar sergate kokia nors liga arba gal turite kokią negalią ar kitų medicininių nusiskundimų, galinčių paveikti Jūsų gebėjimą dirbti traukinio mašinistu</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val="restart"/>
                <w:tcBorders>
                  <w:top w:val="single" w:sz="6" w:space="0" w:color="000000"/>
                  <w:left w:val="single" w:sz="6" w:space="0" w:color="000000"/>
                  <w:bottom w:val="single" w:sz="6" w:space="0" w:color="000000"/>
                  <w:right w:val="single" w:sz="6" w:space="0" w:color="000000"/>
                </w:tcBorders>
                <w:hideMark/>
              </w:tcPr>
              <w:p>
                <w:pPr>
                  <w:rPr>
                    <w:sz w:val="22"/>
                  </w:rPr>
                </w:pPr>
                <w:r>
                  <w:rPr>
                    <w:sz w:val="22"/>
                  </w:rPr>
                  <w:t>1.</w:t>
                </w:r>
              </w:p>
            </w:tc>
            <w:tc>
              <w:tcPr>
                <w:tcW w:w="7326" w:type="dxa"/>
                <w:tcBorders>
                  <w:top w:val="single" w:sz="6" w:space="0" w:color="000000"/>
                  <w:left w:val="single" w:sz="6" w:space="0" w:color="000000"/>
                  <w:bottom w:val="single" w:sz="6" w:space="0" w:color="000000"/>
                  <w:right w:val="single" w:sz="6" w:space="0" w:color="000000"/>
                </w:tcBorders>
                <w:hideMark/>
              </w:tcPr>
              <w:p>
                <w:pPr>
                  <w:tabs>
                    <w:tab w:val="center" w:pos="4153"/>
                    <w:tab w:val="right" w:pos="8306"/>
                    <w:tab w:val="left" w:pos="8789"/>
                  </w:tabs>
                  <w:ind w:right="857"/>
                  <w:rPr>
                    <w:sz w:val="22"/>
                  </w:rPr>
                </w:pPr>
                <w:r>
                  <w:rPr>
                    <w:sz w:val="22"/>
                  </w:rPr>
                  <w:t>Ar turite regėjimo sutrikimų, tokių kaip:</w:t>
                </w:r>
              </w:p>
              <w:p>
                <w:pPr>
                  <w:tabs>
                    <w:tab w:val="center" w:pos="4153"/>
                    <w:tab w:val="right" w:pos="8306"/>
                    <w:tab w:val="left" w:pos="8789"/>
                  </w:tabs>
                  <w:ind w:right="857"/>
                  <w:rPr>
                    <w:sz w:val="22"/>
                  </w:rPr>
                </w:pPr>
                <w:r>
                  <w:rPr>
                    <w:sz w:val="22"/>
                  </w:rPr>
                  <w:t>1.1. pablogėjęs matymas</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vAlign w:val="center"/>
                <w:hideMark/>
              </w:tcPr>
              <w:p>
                <w:pPr>
                  <w:rPr>
                    <w:sz w:val="22"/>
                  </w:rPr>
                </w:pPr>
              </w:p>
            </w:tc>
            <w:tc>
              <w:tcPr>
                <w:tcW w:w="7326" w:type="dxa"/>
                <w:tcBorders>
                  <w:top w:val="single" w:sz="6" w:space="0" w:color="000000"/>
                  <w:left w:val="single" w:sz="6" w:space="0" w:color="000000"/>
                  <w:bottom w:val="single" w:sz="6" w:space="0" w:color="000000"/>
                  <w:right w:val="single" w:sz="6" w:space="0" w:color="000000"/>
                </w:tcBorders>
                <w:hideMark/>
              </w:tcPr>
              <w:p>
                <w:pPr>
                  <w:tabs>
                    <w:tab w:val="center" w:pos="4153"/>
                    <w:tab w:val="right" w:pos="8306"/>
                    <w:tab w:val="left" w:pos="8789"/>
                  </w:tabs>
                  <w:ind w:right="857"/>
                  <w:rPr>
                    <w:sz w:val="22"/>
                  </w:rPr>
                </w:pPr>
                <w:r>
                  <w:rPr>
                    <w:sz w:val="22"/>
                  </w:rPr>
                  <w:t>1.2. nevalingi akių judesiai (nistagmas)</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vAlign w:val="center"/>
                <w:hideMark/>
              </w:tcPr>
              <w:p>
                <w:pPr>
                  <w:rPr>
                    <w:sz w:val="22"/>
                  </w:rPr>
                </w:pPr>
              </w:p>
            </w:tc>
            <w:tc>
              <w:tcPr>
                <w:tcW w:w="7326" w:type="dxa"/>
                <w:tcBorders>
                  <w:top w:val="single" w:sz="6" w:space="0" w:color="000000"/>
                  <w:left w:val="single" w:sz="6" w:space="0" w:color="000000"/>
                  <w:bottom w:val="single" w:sz="6" w:space="0" w:color="000000"/>
                  <w:right w:val="single" w:sz="6" w:space="0" w:color="000000"/>
                </w:tcBorders>
                <w:hideMark/>
              </w:tcPr>
              <w:p>
                <w:pPr>
                  <w:tabs>
                    <w:tab w:val="center" w:pos="4153"/>
                    <w:tab w:val="right" w:pos="8306"/>
                    <w:tab w:val="left" w:pos="8789"/>
                  </w:tabs>
                  <w:ind w:right="857"/>
                  <w:rPr>
                    <w:sz w:val="22"/>
                  </w:rPr>
                </w:pPr>
                <w:r>
                  <w:rPr>
                    <w:sz w:val="22"/>
                  </w:rPr>
                  <w:t>1.3. regėjimo lauko defektai (pvz., ribotas matymas į šonus)</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vAlign w:val="center"/>
                <w:hideMark/>
              </w:tcPr>
              <w:p>
                <w:pPr>
                  <w:rPr>
                    <w:sz w:val="22"/>
                  </w:rPr>
                </w:pPr>
              </w:p>
            </w:tc>
            <w:tc>
              <w:tcPr>
                <w:tcW w:w="7326" w:type="dxa"/>
                <w:tcBorders>
                  <w:top w:val="single" w:sz="6" w:space="0" w:color="000000"/>
                  <w:left w:val="single" w:sz="6" w:space="0" w:color="000000"/>
                  <w:bottom w:val="single" w:sz="6" w:space="0" w:color="000000"/>
                  <w:right w:val="single" w:sz="6" w:space="0" w:color="000000"/>
                </w:tcBorders>
                <w:hideMark/>
              </w:tcPr>
              <w:p>
                <w:pPr>
                  <w:tabs>
                    <w:tab w:val="center" w:pos="4153"/>
                    <w:tab w:val="right" w:pos="8306"/>
                    <w:tab w:val="left" w:pos="8789"/>
                  </w:tabs>
                  <w:ind w:right="857"/>
                  <w:rPr>
                    <w:sz w:val="22"/>
                  </w:rPr>
                </w:pPr>
                <w:r>
                  <w:rPr>
                    <w:sz w:val="22"/>
                  </w:rPr>
                  <w:t>1.4. dvigubinimasis (dvejinimasis)</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vAlign w:val="center"/>
                <w:hideMark/>
              </w:tcPr>
              <w:p>
                <w:pPr>
                  <w:rPr>
                    <w:sz w:val="22"/>
                  </w:rPr>
                </w:pPr>
              </w:p>
            </w:tc>
            <w:tc>
              <w:tcPr>
                <w:tcW w:w="7326" w:type="dxa"/>
                <w:tcBorders>
                  <w:top w:val="single" w:sz="6" w:space="0" w:color="000000"/>
                  <w:left w:val="single" w:sz="6" w:space="0" w:color="000000"/>
                  <w:bottom w:val="single" w:sz="6" w:space="0" w:color="000000"/>
                  <w:right w:val="single" w:sz="6" w:space="0" w:color="000000"/>
                </w:tcBorders>
                <w:hideMark/>
              </w:tcPr>
              <w:p>
                <w:pPr>
                  <w:tabs>
                    <w:tab w:val="center" w:pos="4153"/>
                    <w:tab w:val="right" w:pos="8306"/>
                    <w:tab w:val="left" w:pos="8789"/>
                  </w:tabs>
                  <w:ind w:right="857"/>
                  <w:rPr>
                    <w:sz w:val="22"/>
                  </w:rPr>
                </w:pPr>
                <w:r>
                  <w:rPr>
                    <w:sz w:val="22"/>
                  </w:rPr>
                  <w:t>1.5. akivaizdus matymo pablogėjimas prieblandoje ar tamsoje (vištakumas) (jei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vAlign w:val="center"/>
                <w:hideMark/>
              </w:tcPr>
              <w:p>
                <w:pPr>
                  <w:rPr>
                    <w:sz w:val="22"/>
                  </w:rPr>
                </w:pPr>
              </w:p>
            </w:tc>
            <w:tc>
              <w:tcPr>
                <w:tcW w:w="7326" w:type="dxa"/>
                <w:tcBorders>
                  <w:top w:val="single" w:sz="6" w:space="0" w:color="000000"/>
                  <w:left w:val="single" w:sz="6" w:space="0" w:color="000000"/>
                  <w:bottom w:val="single" w:sz="6" w:space="0" w:color="000000"/>
                  <w:right w:val="single" w:sz="6" w:space="0" w:color="000000"/>
                </w:tcBorders>
                <w:hideMark/>
              </w:tcPr>
              <w:p>
                <w:pPr>
                  <w:tabs>
                    <w:tab w:val="center" w:pos="4153"/>
                    <w:tab w:val="right" w:pos="8306"/>
                    <w:tab w:val="left" w:pos="8789"/>
                  </w:tabs>
                  <w:ind w:right="857"/>
                  <w:rPr>
                    <w:sz w:val="22"/>
                  </w:rPr>
                </w:pPr>
                <w:r>
                  <w:rPr>
                    <w:sz w:val="22"/>
                  </w:rPr>
                  <w:t>1.6. pablogėjęs akių judrumas</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vAlign w:val="center"/>
                <w:hideMark/>
              </w:tcPr>
              <w:p>
                <w:pPr>
                  <w:rPr>
                    <w:sz w:val="22"/>
                  </w:rPr>
                </w:pPr>
              </w:p>
            </w:tc>
            <w:tc>
              <w:tcPr>
                <w:tcW w:w="7326" w:type="dxa"/>
                <w:tcBorders>
                  <w:top w:val="single" w:sz="6" w:space="0" w:color="000000"/>
                  <w:left w:val="single" w:sz="6" w:space="0" w:color="000000"/>
                  <w:bottom w:val="single" w:sz="6" w:space="0" w:color="000000"/>
                  <w:right w:val="single" w:sz="6" w:space="0" w:color="000000"/>
                </w:tcBorders>
                <w:hideMark/>
              </w:tcPr>
              <w:p>
                <w:pPr>
                  <w:tabs>
                    <w:tab w:val="center" w:pos="4153"/>
                    <w:tab w:val="right" w:pos="8306"/>
                    <w:tab w:val="left" w:pos="8789"/>
                  </w:tabs>
                  <w:ind w:right="857"/>
                  <w:rPr>
                    <w:sz w:val="22"/>
                  </w:rPr>
                </w:pPr>
                <w:r>
                  <w:rPr>
                    <w:sz w:val="22"/>
                  </w:rPr>
                  <w:t>1.7. jautrumas akinimui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vAlign w:val="center"/>
                <w:hideMark/>
              </w:tcPr>
              <w:p>
                <w:pPr>
                  <w:rPr>
                    <w:sz w:val="22"/>
                  </w:rPr>
                </w:pPr>
              </w:p>
            </w:tc>
            <w:tc>
              <w:tcPr>
                <w:tcW w:w="7326" w:type="dxa"/>
                <w:tcBorders>
                  <w:top w:val="single" w:sz="6" w:space="0" w:color="000000"/>
                  <w:left w:val="single" w:sz="6" w:space="0" w:color="000000"/>
                  <w:bottom w:val="single" w:sz="6" w:space="0" w:color="000000"/>
                  <w:right w:val="single" w:sz="6" w:space="0" w:color="000000"/>
                </w:tcBorders>
                <w:hideMark/>
              </w:tcPr>
              <w:p>
                <w:pPr>
                  <w:tabs>
                    <w:tab w:val="center" w:pos="4153"/>
                    <w:tab w:val="right" w:pos="8306"/>
                    <w:tab w:val="left" w:pos="8789"/>
                  </w:tabs>
                  <w:ind w:right="857"/>
                  <w:rPr>
                    <w:sz w:val="22"/>
                  </w:rPr>
                </w:pPr>
                <w:r>
                  <w:rPr>
                    <w:sz w:val="22"/>
                  </w:rPr>
                  <w:t>1.8. pablogėjęs atstumo įvertinimas</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vAlign w:val="center"/>
                <w:hideMark/>
              </w:tcPr>
              <w:p>
                <w:pPr>
                  <w:rPr>
                    <w:sz w:val="22"/>
                  </w:rPr>
                </w:pPr>
              </w:p>
            </w:tc>
            <w:tc>
              <w:tcPr>
                <w:tcW w:w="7326" w:type="dxa"/>
                <w:tcBorders>
                  <w:top w:val="single" w:sz="6" w:space="0" w:color="000000"/>
                  <w:left w:val="single" w:sz="6" w:space="0" w:color="000000"/>
                  <w:bottom w:val="single" w:sz="6" w:space="0" w:color="000000"/>
                  <w:right w:val="single" w:sz="6" w:space="0" w:color="000000"/>
                </w:tcBorders>
                <w:hideMark/>
              </w:tcPr>
              <w:p>
                <w:pPr>
                  <w:tabs>
                    <w:tab w:val="center" w:pos="4153"/>
                    <w:tab w:val="right" w:pos="8306"/>
                    <w:tab w:val="left" w:pos="8789"/>
                  </w:tabs>
                  <w:ind w:right="72"/>
                  <w:rPr>
                    <w:sz w:val="22"/>
                  </w:rPr>
                </w:pPr>
                <w:r>
                  <w:rPr>
                    <w:sz w:val="22"/>
                  </w:rPr>
                  <w:t>1.9. kiti sutrikimai (akių skausmai, staigus matymo sutrikimas, buvo / yra nustatytas padidėjęs akispūdis ar kt.)</w:t>
                </w:r>
              </w:p>
              <w:p>
                <w:pPr>
                  <w:tabs>
                    <w:tab w:val="center" w:pos="4153"/>
                    <w:tab w:val="right" w:pos="8306"/>
                    <w:tab w:val="left" w:pos="8789"/>
                  </w:tabs>
                  <w:ind w:right="857"/>
                  <w:rPr>
                    <w:sz w:val="22"/>
                  </w:rPr>
                </w:pPr>
                <w:r>
                  <w:rPr>
                    <w:sz w:val="22"/>
                  </w:rPr>
                  <w:t>(jei „taip“, tinkamą atsakymą pabraukti arba įrašyti):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hideMark/>
              </w:tcPr>
              <w:p>
                <w:pPr>
                  <w:rPr>
                    <w:sz w:val="22"/>
                  </w:rPr>
                </w:pPr>
                <w:r>
                  <w:rPr>
                    <w:sz w:val="22"/>
                  </w:rPr>
                  <w:t>2.</w:t>
                </w:r>
              </w:p>
            </w:tc>
            <w:tc>
              <w:tcPr>
                <w:tcW w:w="7326" w:type="dxa"/>
                <w:tcBorders>
                  <w:top w:val="single" w:sz="6" w:space="0" w:color="000000"/>
                  <w:left w:val="single" w:sz="6" w:space="0" w:color="000000"/>
                  <w:bottom w:val="single" w:sz="6" w:space="0" w:color="000000"/>
                  <w:right w:val="single" w:sz="6" w:space="0" w:color="000000"/>
                </w:tcBorders>
                <w:hideMark/>
              </w:tcPr>
              <w:p>
                <w:pPr>
                  <w:rPr>
                    <w:sz w:val="22"/>
                    <w:lang w:val="pt-BR"/>
                  </w:rPr>
                </w:pPr>
                <w:r>
                  <w:rPr>
                    <w:sz w:val="22"/>
                    <w:lang w:val="pt-BR"/>
                  </w:rPr>
                  <w:t>Ar Jums svaigo / svaigsta galva?</w:t>
                </w:r>
              </w:p>
              <w:p>
                <w:pPr>
                  <w:rPr>
                    <w:sz w:val="22"/>
                    <w:lang w:val="pt-BR"/>
                  </w:rPr>
                </w:pPr>
                <w:r>
                  <w:rPr>
                    <w:sz w:val="22"/>
                    <w:lang w:val="pt-BR"/>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hideMark/>
              </w:tcPr>
              <w:p>
                <w:pPr>
                  <w:rPr>
                    <w:sz w:val="22"/>
                  </w:rPr>
                </w:pPr>
                <w:r>
                  <w:rPr>
                    <w:sz w:val="22"/>
                  </w:rPr>
                  <w:t>3.</w:t>
                </w:r>
              </w:p>
            </w:tc>
            <w:tc>
              <w:tcPr>
                <w:tcW w:w="7326" w:type="dxa"/>
                <w:tcBorders>
                  <w:top w:val="single" w:sz="6" w:space="0" w:color="000000"/>
                  <w:left w:val="single" w:sz="6" w:space="0" w:color="000000"/>
                  <w:bottom w:val="single" w:sz="6" w:space="0" w:color="000000"/>
                  <w:right w:val="single" w:sz="6" w:space="0" w:color="000000"/>
                </w:tcBorders>
                <w:hideMark/>
              </w:tcPr>
              <w:p>
                <w:pPr>
                  <w:rPr>
                    <w:sz w:val="22"/>
                    <w:lang w:val="pt-BR"/>
                  </w:rPr>
                </w:pPr>
                <w:r>
                  <w:rPr>
                    <w:sz w:val="22"/>
                    <w:lang w:val="pt-BR"/>
                  </w:rPr>
                  <w:t>Ar skundžiatės pablogėjusia klausa, ar sirgote ausų ligomis?</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hideMark/>
              </w:tcPr>
              <w:p>
                <w:pPr>
                  <w:rPr>
                    <w:sz w:val="22"/>
                  </w:rPr>
                </w:pPr>
                <w:r>
                  <w:rPr>
                    <w:sz w:val="22"/>
                  </w:rPr>
                  <w:t>4.</w:t>
                </w:r>
              </w:p>
            </w:tc>
            <w:tc>
              <w:tcPr>
                <w:tcW w:w="7326" w:type="dxa"/>
                <w:tcBorders>
                  <w:top w:val="single" w:sz="6" w:space="0" w:color="000000"/>
                  <w:left w:val="single" w:sz="6" w:space="0" w:color="000000"/>
                  <w:bottom w:val="single" w:sz="6" w:space="0" w:color="000000"/>
                  <w:right w:val="single" w:sz="6" w:space="0" w:color="000000"/>
                </w:tcBorders>
                <w:hideMark/>
              </w:tcPr>
              <w:p>
                <w:pPr>
                  <w:rPr>
                    <w:sz w:val="22"/>
                    <w:lang w:val="pt-BR"/>
                  </w:rPr>
                </w:pPr>
                <w:r>
                  <w:rPr>
                    <w:sz w:val="22"/>
                    <w:lang w:val="pt-BR"/>
                  </w:rPr>
                  <w:t>Ar yra galūnių judesių funkcijos sutrikimų arba gal sergate kokia nors su tuo susijusia liga?</w:t>
                </w:r>
              </w:p>
              <w:p>
                <w:pPr>
                  <w:rPr>
                    <w:sz w:val="22"/>
                    <w:lang w:val="pt-BR"/>
                  </w:rPr>
                </w:pPr>
                <w:r>
                  <w:rPr>
                    <w:sz w:val="22"/>
                    <w:lang w:val="pt-BR"/>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vMerge w:val="restart"/>
                <w:tcBorders>
                  <w:top w:val="single" w:sz="6" w:space="0" w:color="000000"/>
                  <w:left w:val="single" w:sz="6" w:space="0" w:color="000000"/>
                  <w:bottom w:val="single" w:sz="6" w:space="0" w:color="000000"/>
                  <w:right w:val="single" w:sz="6" w:space="0" w:color="000000"/>
                </w:tcBorders>
                <w:hideMark/>
              </w:tcPr>
              <w:p>
                <w:pPr>
                  <w:rPr>
                    <w:sz w:val="22"/>
                  </w:rPr>
                </w:pPr>
                <w:r>
                  <w:rPr>
                    <w:sz w:val="22"/>
                  </w:rPr>
                  <w:t>5.</w:t>
                </w:r>
              </w:p>
            </w:tc>
            <w:tc>
              <w:tcPr>
                <w:tcW w:w="7326" w:type="dxa"/>
                <w:tcBorders>
                  <w:top w:val="single" w:sz="6" w:space="0" w:color="000000"/>
                  <w:left w:val="single" w:sz="6" w:space="0" w:color="000000"/>
                  <w:bottom w:val="single" w:sz="6" w:space="0" w:color="000000"/>
                  <w:right w:val="single" w:sz="6" w:space="0" w:color="000000"/>
                </w:tcBorders>
                <w:hideMark/>
              </w:tcPr>
              <w:p>
                <w:pPr>
                  <w:tabs>
                    <w:tab w:val="center" w:pos="4153"/>
                    <w:tab w:val="right" w:pos="8306"/>
                    <w:tab w:val="left" w:pos="8789"/>
                  </w:tabs>
                  <w:ind w:right="857"/>
                  <w:rPr>
                    <w:sz w:val="22"/>
                  </w:rPr>
                </w:pPr>
                <w:r>
                  <w:rPr>
                    <w:sz w:val="22"/>
                  </w:rPr>
                  <w:t>Ar sirgote / sergate širdies ir / ar širdies ir kraujagyslių ligomis:</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vAlign w:val="center"/>
                <w:hideMark/>
              </w:tcPr>
              <w:p>
                <w:pPr>
                  <w:rPr>
                    <w:sz w:val="22"/>
                  </w:rPr>
                </w:pPr>
              </w:p>
            </w:tc>
            <w:tc>
              <w:tcPr>
                <w:tcW w:w="7326" w:type="dxa"/>
                <w:tcBorders>
                  <w:top w:val="single" w:sz="6" w:space="0" w:color="000000"/>
                  <w:left w:val="single" w:sz="6" w:space="0" w:color="000000"/>
                  <w:bottom w:val="single" w:sz="6" w:space="0" w:color="000000"/>
                  <w:right w:val="single" w:sz="6" w:space="0" w:color="000000"/>
                </w:tcBorders>
                <w:hideMark/>
              </w:tcPr>
              <w:p>
                <w:pPr>
                  <w:rPr>
                    <w:sz w:val="22"/>
                  </w:rPr>
                </w:pPr>
                <w:r>
                  <w:rPr>
                    <w:sz w:val="22"/>
                  </w:rPr>
                  <w:t>5.1. insultas (paralyžius)</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vAlign w:val="center"/>
                <w:hideMark/>
              </w:tcPr>
              <w:p>
                <w:pPr>
                  <w:rPr>
                    <w:sz w:val="22"/>
                  </w:rPr>
                </w:pPr>
              </w:p>
            </w:tc>
            <w:tc>
              <w:tcPr>
                <w:tcW w:w="7326" w:type="dxa"/>
                <w:tcBorders>
                  <w:top w:val="single" w:sz="6" w:space="0" w:color="000000"/>
                  <w:left w:val="single" w:sz="6" w:space="0" w:color="000000"/>
                  <w:bottom w:val="single" w:sz="6" w:space="0" w:color="000000"/>
                  <w:right w:val="single" w:sz="6" w:space="0" w:color="000000"/>
                </w:tcBorders>
                <w:hideMark/>
              </w:tcPr>
              <w:p>
                <w:pPr>
                  <w:rPr>
                    <w:sz w:val="22"/>
                  </w:rPr>
                </w:pPr>
                <w:r>
                  <w:rPr>
                    <w:sz w:val="22"/>
                  </w:rPr>
                  <w:t>5.2. širdies ritmo sutrikimai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vAlign w:val="center"/>
                <w:hideMark/>
              </w:tcPr>
              <w:p>
                <w:pPr>
                  <w:rPr>
                    <w:sz w:val="22"/>
                  </w:rPr>
                </w:pPr>
              </w:p>
            </w:tc>
            <w:tc>
              <w:tcPr>
                <w:tcW w:w="7326" w:type="dxa"/>
                <w:tcBorders>
                  <w:top w:val="single" w:sz="6" w:space="0" w:color="000000"/>
                  <w:left w:val="single" w:sz="6" w:space="0" w:color="000000"/>
                  <w:bottom w:val="single" w:sz="6" w:space="0" w:color="000000"/>
                  <w:right w:val="single" w:sz="6" w:space="0" w:color="000000"/>
                </w:tcBorders>
                <w:hideMark/>
              </w:tcPr>
              <w:p>
                <w:pPr>
                  <w:rPr>
                    <w:sz w:val="22"/>
                  </w:rPr>
                </w:pPr>
                <w:r>
                  <w:rPr>
                    <w:sz w:val="22"/>
                  </w:rPr>
                  <w:t>5.3. širdies infarktas ar krūtinės angina (stenokardija)</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vAlign w:val="center"/>
                <w:hideMark/>
              </w:tcPr>
              <w:p>
                <w:pPr>
                  <w:rPr>
                    <w:sz w:val="22"/>
                  </w:rPr>
                </w:pPr>
              </w:p>
            </w:tc>
            <w:tc>
              <w:tcPr>
                <w:tcW w:w="7326" w:type="dxa"/>
                <w:tcBorders>
                  <w:top w:val="single" w:sz="6" w:space="0" w:color="000000"/>
                  <w:left w:val="single" w:sz="6" w:space="0" w:color="000000"/>
                  <w:bottom w:val="single" w:sz="6" w:space="0" w:color="000000"/>
                  <w:right w:val="single" w:sz="6" w:space="0" w:color="000000"/>
                </w:tcBorders>
                <w:hideMark/>
              </w:tcPr>
              <w:p>
                <w:pPr>
                  <w:rPr>
                    <w:sz w:val="22"/>
                    <w:lang w:val="pt-BR"/>
                  </w:rPr>
                </w:pPr>
                <w:r>
                  <w:rPr>
                    <w:sz w:val="22"/>
                    <w:lang w:val="pt-BR"/>
                  </w:rPr>
                  <w:t>5.4. širdies įgimta ar įgyta liga</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vAlign w:val="center"/>
                <w:hideMark/>
              </w:tcPr>
              <w:p>
                <w:pPr>
                  <w:rPr>
                    <w:sz w:val="22"/>
                  </w:rPr>
                </w:pPr>
              </w:p>
            </w:tc>
            <w:tc>
              <w:tcPr>
                <w:tcW w:w="7326" w:type="dxa"/>
                <w:tcBorders>
                  <w:top w:val="single" w:sz="6" w:space="0" w:color="000000"/>
                  <w:left w:val="single" w:sz="6" w:space="0" w:color="000000"/>
                  <w:bottom w:val="single" w:sz="6" w:space="0" w:color="000000"/>
                  <w:right w:val="single" w:sz="6" w:space="0" w:color="000000"/>
                </w:tcBorders>
                <w:hideMark/>
              </w:tcPr>
              <w:p>
                <w:pPr>
                  <w:rPr>
                    <w:sz w:val="22"/>
                    <w:lang w:val="pt-BR"/>
                  </w:rPr>
                </w:pPr>
                <w:r>
                  <w:rPr>
                    <w:sz w:val="22"/>
                    <w:lang w:val="pt-BR"/>
                  </w:rPr>
                  <w:t>5.5. kita širdies ar širdies ir kraujagyslių liga (reumatas ar kt.)</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hideMark/>
              </w:tcPr>
              <w:p>
                <w:pPr>
                  <w:rPr>
                    <w:sz w:val="22"/>
                  </w:rPr>
                </w:pPr>
                <w:r>
                  <w:rPr>
                    <w:sz w:val="22"/>
                  </w:rPr>
                  <w:t>6.</w:t>
                </w:r>
              </w:p>
            </w:tc>
            <w:tc>
              <w:tcPr>
                <w:tcW w:w="7326" w:type="dxa"/>
                <w:tcBorders>
                  <w:top w:val="single" w:sz="6" w:space="0" w:color="000000"/>
                  <w:left w:val="single" w:sz="6" w:space="0" w:color="000000"/>
                  <w:bottom w:val="single" w:sz="6" w:space="0" w:color="000000"/>
                  <w:right w:val="single" w:sz="6" w:space="0" w:color="000000"/>
                </w:tcBorders>
                <w:hideMark/>
              </w:tcPr>
              <w:p>
                <w:pPr>
                  <w:tabs>
                    <w:tab w:val="center" w:pos="4153"/>
                    <w:tab w:val="right" w:pos="8306"/>
                    <w:tab w:val="left" w:pos="8789"/>
                  </w:tabs>
                  <w:ind w:right="857"/>
                  <w:rPr>
                    <w:sz w:val="22"/>
                  </w:rPr>
                </w:pPr>
                <w:r>
                  <w:rPr>
                    <w:sz w:val="22"/>
                  </w:rPr>
                  <w:t>Ar sergate cukriniu diabetu?</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hideMark/>
              </w:tcPr>
              <w:p>
                <w:pPr>
                  <w:rPr>
                    <w:sz w:val="22"/>
                  </w:rPr>
                </w:pPr>
                <w:r>
                  <w:rPr>
                    <w:sz w:val="22"/>
                  </w:rPr>
                  <w:t>7.</w:t>
                </w:r>
              </w:p>
            </w:tc>
            <w:tc>
              <w:tcPr>
                <w:tcW w:w="7326" w:type="dxa"/>
                <w:tcBorders>
                  <w:top w:val="single" w:sz="6" w:space="0" w:color="000000"/>
                  <w:left w:val="single" w:sz="6" w:space="0" w:color="000000"/>
                  <w:bottom w:val="single" w:sz="6" w:space="0" w:color="000000"/>
                  <w:right w:val="single" w:sz="6" w:space="0" w:color="000000"/>
                </w:tcBorders>
                <w:hideMark/>
              </w:tcPr>
              <w:p>
                <w:pPr>
                  <w:rPr>
                    <w:sz w:val="22"/>
                    <w:highlight w:val="yellow"/>
                    <w:lang w:val="pt-BR"/>
                  </w:rPr>
                </w:pPr>
                <w:r>
                  <w:rPr>
                    <w:sz w:val="22"/>
                    <w:lang w:val="pt-BR"/>
                  </w:rPr>
                  <w:t>Ar turėjote galvos smegenų traumų?</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hideMark/>
              </w:tcPr>
              <w:p>
                <w:pPr>
                  <w:rPr>
                    <w:sz w:val="22"/>
                  </w:rPr>
                </w:pPr>
                <w:r>
                  <w:rPr>
                    <w:sz w:val="22"/>
                  </w:rPr>
                  <w:t>8.</w:t>
                </w:r>
              </w:p>
            </w:tc>
            <w:tc>
              <w:tcPr>
                <w:tcW w:w="7326" w:type="dxa"/>
                <w:tcBorders>
                  <w:top w:val="single" w:sz="6" w:space="0" w:color="000000"/>
                  <w:left w:val="single" w:sz="6" w:space="0" w:color="000000"/>
                  <w:bottom w:val="single" w:sz="6" w:space="0" w:color="000000"/>
                  <w:right w:val="single" w:sz="6" w:space="0" w:color="000000"/>
                </w:tcBorders>
                <w:hideMark/>
              </w:tcPr>
              <w:p>
                <w:pPr>
                  <w:rPr>
                    <w:sz w:val="22"/>
                    <w:highlight w:val="yellow"/>
                  </w:rPr>
                </w:pPr>
                <w:r>
                  <w:rPr>
                    <w:sz w:val="22"/>
                  </w:rPr>
                  <w:t>Ar sirgote / sergate epilepsija? (Jei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hideMark/>
              </w:tcPr>
              <w:p>
                <w:pPr>
                  <w:rPr>
                    <w:sz w:val="22"/>
                  </w:rPr>
                </w:pPr>
                <w:r>
                  <w:rPr>
                    <w:sz w:val="22"/>
                  </w:rPr>
                  <w:t>9.</w:t>
                </w:r>
              </w:p>
            </w:tc>
            <w:tc>
              <w:tcPr>
                <w:tcW w:w="7326" w:type="dxa"/>
                <w:tcBorders>
                  <w:top w:val="single" w:sz="6" w:space="0" w:color="000000"/>
                  <w:left w:val="single" w:sz="6" w:space="0" w:color="000000"/>
                  <w:bottom w:val="single" w:sz="6" w:space="0" w:color="000000"/>
                  <w:right w:val="single" w:sz="6" w:space="0" w:color="000000"/>
                </w:tcBorders>
                <w:hideMark/>
              </w:tcPr>
              <w:p>
                <w:pPr>
                  <w:rPr>
                    <w:sz w:val="22"/>
                  </w:rPr>
                </w:pPr>
                <w:r>
                  <w:rPr>
                    <w:sz w:val="22"/>
                  </w:rPr>
                  <w:t>Ar Jums būna / kada nors buvo ištikę ženklūs pusiausvyros sutrikimai?</w:t>
                </w:r>
              </w:p>
              <w:p>
                <w:pPr>
                  <w:rPr>
                    <w:sz w:val="22"/>
                  </w:rPr>
                </w:pPr>
                <w:r>
                  <w:rPr>
                    <w:sz w:val="22"/>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hideMark/>
              </w:tcPr>
              <w:p>
                <w:pPr>
                  <w:rPr>
                    <w:sz w:val="22"/>
                  </w:rPr>
                </w:pPr>
                <w:r>
                  <w:rPr>
                    <w:sz w:val="22"/>
                  </w:rPr>
                  <w:t>10.</w:t>
                </w:r>
              </w:p>
            </w:tc>
            <w:tc>
              <w:tcPr>
                <w:tcW w:w="7326" w:type="dxa"/>
                <w:tcBorders>
                  <w:top w:val="single" w:sz="6" w:space="0" w:color="000000"/>
                  <w:left w:val="single" w:sz="6" w:space="0" w:color="000000"/>
                  <w:bottom w:val="single" w:sz="6" w:space="0" w:color="000000"/>
                  <w:right w:val="single" w:sz="6" w:space="0" w:color="000000"/>
                </w:tcBorders>
                <w:hideMark/>
              </w:tcPr>
              <w:p>
                <w:pPr>
                  <w:rPr>
                    <w:sz w:val="22"/>
                  </w:rPr>
                </w:pPr>
                <w:r>
                  <w:rPr>
                    <w:sz w:val="22"/>
                  </w:rPr>
                  <w:t>Ar alpote / alpstate arba turėjote / turite kitų sąmonės sutrikimų?</w:t>
                </w:r>
              </w:p>
              <w:p>
                <w:pPr>
                  <w:rPr>
                    <w:sz w:val="22"/>
                    <w:highlight w:val="yellow"/>
                  </w:rPr>
                </w:pPr>
                <w:r>
                  <w:rPr>
                    <w:sz w:val="22"/>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hideMark/>
              </w:tcPr>
              <w:p>
                <w:pPr>
                  <w:rPr>
                    <w:sz w:val="22"/>
                  </w:rPr>
                </w:pPr>
                <w:r>
                  <w:rPr>
                    <w:sz w:val="22"/>
                  </w:rPr>
                  <w:t>11.</w:t>
                </w:r>
              </w:p>
            </w:tc>
            <w:tc>
              <w:tcPr>
                <w:tcW w:w="7326" w:type="dxa"/>
                <w:tcBorders>
                  <w:top w:val="single" w:sz="6" w:space="0" w:color="000000"/>
                  <w:left w:val="single" w:sz="6" w:space="0" w:color="000000"/>
                  <w:bottom w:val="single" w:sz="6" w:space="0" w:color="000000"/>
                  <w:right w:val="single" w:sz="6" w:space="0" w:color="000000"/>
                </w:tcBorders>
                <w:hideMark/>
              </w:tcPr>
              <w:p>
                <w:pPr>
                  <w:rPr>
                    <w:sz w:val="22"/>
                  </w:rPr>
                </w:pPr>
                <w:r>
                  <w:rPr>
                    <w:sz w:val="22"/>
                  </w:rPr>
                  <w:t>Ar skundžiatės / skundėtės anksčiau šlapinimosi sutrikimais, inkstų veiklos pablogėjimu?</w:t>
                </w:r>
              </w:p>
              <w:p>
                <w:pPr>
                  <w:rPr>
                    <w:sz w:val="22"/>
                  </w:rPr>
                </w:pPr>
                <w:r>
                  <w:rPr>
                    <w:sz w:val="22"/>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hideMark/>
              </w:tcPr>
              <w:p>
                <w:pPr>
                  <w:rPr>
                    <w:sz w:val="22"/>
                  </w:rPr>
                </w:pPr>
                <w:r>
                  <w:rPr>
                    <w:sz w:val="22"/>
                  </w:rPr>
                  <w:t>12.</w:t>
                </w:r>
              </w:p>
            </w:tc>
            <w:tc>
              <w:tcPr>
                <w:tcW w:w="7326" w:type="dxa"/>
                <w:tcBorders>
                  <w:top w:val="single" w:sz="6" w:space="0" w:color="000000"/>
                  <w:left w:val="single" w:sz="6" w:space="0" w:color="000000"/>
                  <w:bottom w:val="single" w:sz="6" w:space="0" w:color="000000"/>
                  <w:right w:val="single" w:sz="6" w:space="0" w:color="000000"/>
                </w:tcBorders>
                <w:hideMark/>
              </w:tcPr>
              <w:p>
                <w:pPr>
                  <w:rPr>
                    <w:sz w:val="22"/>
                    <w:lang w:val="pt-BR"/>
                  </w:rPr>
                </w:pPr>
                <w:r>
                  <w:rPr>
                    <w:sz w:val="22"/>
                    <w:lang w:val="pt-BR"/>
                  </w:rPr>
                  <w:t>Ar skundžiatės dėmesio, pastabumo, mąstymo arba atminties sutrikimais?</w:t>
                </w:r>
              </w:p>
              <w:p>
                <w:pPr>
                  <w:rPr>
                    <w:sz w:val="22"/>
                    <w:lang w:val="pt-BR"/>
                  </w:rPr>
                </w:pPr>
                <w:r>
                  <w:rPr>
                    <w:sz w:val="22"/>
                    <w:lang w:val="pt-BR"/>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vMerge w:val="restart"/>
                <w:tcBorders>
                  <w:top w:val="single" w:sz="6" w:space="0" w:color="000000"/>
                  <w:left w:val="single" w:sz="6" w:space="0" w:color="000000"/>
                  <w:bottom w:val="single" w:sz="6" w:space="0" w:color="000000"/>
                  <w:right w:val="single" w:sz="6" w:space="0" w:color="000000"/>
                </w:tcBorders>
                <w:hideMark/>
              </w:tcPr>
              <w:p>
                <w:pPr>
                  <w:rPr>
                    <w:sz w:val="22"/>
                  </w:rPr>
                </w:pPr>
                <w:r>
                  <w:rPr>
                    <w:sz w:val="22"/>
                  </w:rPr>
                  <w:t>13.</w:t>
                </w:r>
              </w:p>
            </w:tc>
            <w:tc>
              <w:tcPr>
                <w:tcW w:w="7326" w:type="dxa"/>
                <w:tcBorders>
                  <w:top w:val="single" w:sz="6" w:space="0" w:color="000000"/>
                  <w:left w:val="single" w:sz="6" w:space="0" w:color="000000"/>
                  <w:bottom w:val="single" w:sz="6" w:space="0" w:color="000000"/>
                  <w:right w:val="single" w:sz="6" w:space="0" w:color="000000"/>
                </w:tcBorders>
                <w:hideMark/>
              </w:tcPr>
              <w:p>
                <w:pPr>
                  <w:rPr>
                    <w:sz w:val="22"/>
                    <w:lang w:val="pt-BR"/>
                  </w:rPr>
                </w:pPr>
                <w:r>
                  <w:rPr>
                    <w:sz w:val="22"/>
                    <w:lang w:val="pt-BR"/>
                  </w:rPr>
                  <w:t>Ar skundžiatės miego sutrikimais:</w:t>
                </w:r>
              </w:p>
              <w:p>
                <w:pPr>
                  <w:rPr>
                    <w:sz w:val="22"/>
                    <w:lang w:val="pt-BR"/>
                  </w:rPr>
                </w:pPr>
                <w:r>
                  <w:rPr>
                    <w:sz w:val="22"/>
                    <w:lang w:val="pt-BR"/>
                  </w:rPr>
                  <w:t>13.1. Ar būnate pavargęs ar mieguistas dieną?</w:t>
                </w:r>
              </w:p>
              <w:p>
                <w:pPr>
                  <w:rPr>
                    <w:sz w:val="22"/>
                    <w:lang w:val="pt-BR"/>
                  </w:rPr>
                </w:pPr>
                <w:r>
                  <w:rPr>
                    <w:sz w:val="22"/>
                    <w:lang w:val="pt-BR"/>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vAlign w:val="center"/>
                <w:hideMark/>
              </w:tcPr>
              <w:p>
                <w:pPr>
                  <w:rPr>
                    <w:sz w:val="22"/>
                  </w:rPr>
                </w:pPr>
              </w:p>
            </w:tc>
            <w:tc>
              <w:tcPr>
                <w:tcW w:w="7326" w:type="dxa"/>
                <w:tcBorders>
                  <w:top w:val="single" w:sz="6" w:space="0" w:color="000000"/>
                  <w:left w:val="single" w:sz="6" w:space="0" w:color="000000"/>
                  <w:bottom w:val="single" w:sz="6" w:space="0" w:color="000000"/>
                  <w:right w:val="single" w:sz="6" w:space="0" w:color="000000"/>
                </w:tcBorders>
                <w:hideMark/>
              </w:tcPr>
              <w:p>
                <w:pPr>
                  <w:rPr>
                    <w:sz w:val="22"/>
                    <w:lang w:val="pt-BR"/>
                  </w:rPr>
                </w:pPr>
                <w:r>
                  <w:rPr>
                    <w:sz w:val="22"/>
                    <w:lang w:val="pt-BR"/>
                  </w:rPr>
                  <w:t>13.2. Ar Jus ištinka nevalingi miego priepuoliai?</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hideMark/>
              </w:tcPr>
              <w:p>
                <w:pPr>
                  <w:rPr>
                    <w:sz w:val="22"/>
                  </w:rPr>
                </w:pPr>
                <w:r>
                  <w:rPr>
                    <w:sz w:val="22"/>
                  </w:rPr>
                  <w:t>14.</w:t>
                </w:r>
              </w:p>
            </w:tc>
            <w:tc>
              <w:tcPr>
                <w:tcW w:w="7326" w:type="dxa"/>
                <w:tcBorders>
                  <w:top w:val="single" w:sz="6" w:space="0" w:color="000000"/>
                  <w:left w:val="single" w:sz="6" w:space="0" w:color="000000"/>
                  <w:bottom w:val="single" w:sz="6" w:space="0" w:color="000000"/>
                  <w:right w:val="single" w:sz="6" w:space="0" w:color="000000"/>
                </w:tcBorders>
                <w:hideMark/>
              </w:tcPr>
              <w:p>
                <w:pPr>
                  <w:rPr>
                    <w:sz w:val="22"/>
                    <w:lang w:val="fi-FI"/>
                  </w:rPr>
                </w:pPr>
                <w:r>
                  <w:rPr>
                    <w:sz w:val="22"/>
                    <w:lang w:val="fi-FI"/>
                  </w:rPr>
                  <w:t>Ar piktnaudžiaujate / piktnaudžiavote 5 metų laikotarpiu alkoholiu, rūkalais, narkotikais arba vaistais?</w:t>
                </w:r>
              </w:p>
              <w:p>
                <w:pPr>
                  <w:rPr>
                    <w:sz w:val="22"/>
                    <w:lang w:val="fi-FI"/>
                  </w:rPr>
                </w:pPr>
                <w:r>
                  <w:rPr>
                    <w:sz w:val="22"/>
                    <w:lang w:val="fi-FI"/>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lang w:val="fi-FI"/>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fi-FI"/>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hideMark/>
              </w:tcPr>
              <w:p>
                <w:pPr>
                  <w:rPr>
                    <w:sz w:val="22"/>
                  </w:rPr>
                </w:pPr>
                <w:r>
                  <w:rPr>
                    <w:sz w:val="22"/>
                  </w:rPr>
                  <w:t>15.</w:t>
                </w:r>
              </w:p>
            </w:tc>
            <w:tc>
              <w:tcPr>
                <w:tcW w:w="7326" w:type="dxa"/>
                <w:tcBorders>
                  <w:top w:val="single" w:sz="6" w:space="0" w:color="000000"/>
                  <w:left w:val="single" w:sz="6" w:space="0" w:color="000000"/>
                  <w:bottom w:val="single" w:sz="6" w:space="0" w:color="000000"/>
                  <w:right w:val="single" w:sz="6" w:space="0" w:color="000000"/>
                </w:tcBorders>
                <w:hideMark/>
              </w:tcPr>
              <w:p>
                <w:pPr>
                  <w:rPr>
                    <w:sz w:val="22"/>
                  </w:rPr>
                </w:pPr>
                <w:r>
                  <w:rPr>
                    <w:sz w:val="22"/>
                  </w:rPr>
                  <w:t>Ar turite / turėjote 5 metų laikotarpiu kokių nors psichikos sutrikimų arba gal sirgote kokia nors psichikos liga, ar dėl to buvote gydomas (-a) psichiatro?</w:t>
                </w:r>
              </w:p>
              <w:p>
                <w:pPr>
                  <w:rPr>
                    <w:sz w:val="22"/>
                  </w:rPr>
                </w:pPr>
                <w:r>
                  <w:rPr>
                    <w:sz w:val="22"/>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hideMark/>
              </w:tcPr>
              <w:p>
                <w:pPr>
                  <w:rPr>
                    <w:sz w:val="22"/>
                  </w:rPr>
                </w:pPr>
                <w:r>
                  <w:rPr>
                    <w:sz w:val="22"/>
                  </w:rPr>
                  <w:t>B.</w:t>
                </w:r>
              </w:p>
            </w:tc>
            <w:tc>
              <w:tcPr>
                <w:tcW w:w="7326" w:type="dxa"/>
                <w:tcBorders>
                  <w:top w:val="single" w:sz="6" w:space="0" w:color="000000"/>
                  <w:left w:val="single" w:sz="6" w:space="0" w:color="000000"/>
                  <w:bottom w:val="single" w:sz="6" w:space="0" w:color="000000"/>
                  <w:right w:val="single" w:sz="6" w:space="0" w:color="000000"/>
                </w:tcBorders>
                <w:hideMark/>
              </w:tcPr>
              <w:p>
                <w:pPr>
                  <w:rPr>
                    <w:sz w:val="22"/>
                  </w:rPr>
                </w:pPr>
                <w:r>
                  <w:rPr>
                    <w:sz w:val="22"/>
                  </w:rPr>
                  <w:t>Klausimai apie gydymą, vaistų vartojimą ir kt.</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hideMark/>
              </w:tcPr>
              <w:p>
                <w:pPr>
                  <w:rPr>
                    <w:sz w:val="22"/>
                  </w:rPr>
                </w:pPr>
                <w:r>
                  <w:rPr>
                    <w:sz w:val="22"/>
                  </w:rPr>
                  <w:t>16.</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Ar buvote gydomas (-a) ligoninėje arba kreipėtės į gydytoją dėl anksčiau minėtų priežasčių (A 1–15)?</w:t>
                </w:r>
              </w:p>
              <w:p>
                <w:pPr>
                  <w:tabs>
                    <w:tab w:val="left" w:pos="284"/>
                    <w:tab w:val="center" w:pos="4153"/>
                    <w:tab w:val="right" w:pos="8306"/>
                    <w:tab w:val="left" w:pos="8789"/>
                  </w:tabs>
                  <w:ind w:right="857"/>
                  <w:rPr>
                    <w:sz w:val="22"/>
                  </w:rPr>
                </w:pPr>
                <w:r>
                  <w:rPr>
                    <w:sz w:val="22"/>
                  </w:rPr>
                  <w:t>Jei „taip“, tinkamą atsakymą pabraukti, nurodyti kada ir įstaigos, kurioje gydėtės, pavadinimą, adresą)</w:t>
                </w:r>
              </w:p>
              <w:p>
                <w:pPr>
                  <w:tabs>
                    <w:tab w:val="left" w:pos="284"/>
                    <w:tab w:val="center" w:pos="4153"/>
                    <w:tab w:val="right" w:pos="8306"/>
                    <w:tab w:val="left" w:pos="8789"/>
                  </w:tabs>
                  <w:ind w:right="857"/>
                  <w:rPr>
                    <w:sz w:val="22"/>
                  </w:rPr>
                </w:pPr>
              </w:p>
              <w:p>
                <w:pPr>
                  <w:tabs>
                    <w:tab w:val="left" w:pos="284"/>
                    <w:tab w:val="center" w:pos="4153"/>
                    <w:tab w:val="right" w:pos="8306"/>
                    <w:tab w:val="left" w:pos="8789"/>
                  </w:tabs>
                  <w:ind w:right="857"/>
                  <w:rPr>
                    <w:sz w:val="22"/>
                  </w:rPr>
                </w:pP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hideMark/>
              </w:tcPr>
              <w:p>
                <w:pPr>
                  <w:rPr>
                    <w:sz w:val="22"/>
                  </w:rPr>
                </w:pPr>
                <w:r>
                  <w:rPr>
                    <w:sz w:val="22"/>
                  </w:rPr>
                  <w:t>17.</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lang w:val="fi-FI"/>
                  </w:rPr>
                </w:pPr>
                <w:r>
                  <w:rPr>
                    <w:sz w:val="22"/>
                    <w:lang w:val="fi-FI"/>
                  </w:rPr>
                  <w:t>Ar šiuo metu vartojate gydytojo paskirtus vaistus (raminamuosius, migdomuosius, nuskausminamuosius ar kitus)?</w:t>
                </w:r>
              </w:p>
              <w:p>
                <w:pPr>
                  <w:rPr>
                    <w:sz w:val="22"/>
                    <w:lang w:val="fi-FI"/>
                  </w:rPr>
                </w:pPr>
                <w:r>
                  <w:rPr>
                    <w:sz w:val="22"/>
                    <w:lang w:val="fi-FI"/>
                  </w:rPr>
                  <w:t>Jei „taip“, tinkamą atsakymą pabraukti, nurodyti, kokius vaistus:</w:t>
                </w:r>
              </w:p>
              <w:p>
                <w:pPr>
                  <w:rPr>
                    <w:sz w:val="22"/>
                    <w:lang w:val="fi-FI"/>
                  </w:rPr>
                </w:pPr>
              </w:p>
              <w:p>
                <w:pPr>
                  <w:rPr>
                    <w:sz w:val="22"/>
                    <w:lang w:val="fi-FI"/>
                  </w:rPr>
                </w:pPr>
              </w:p>
            </w:tc>
            <w:tc>
              <w:tcPr>
                <w:tcW w:w="682" w:type="dxa"/>
                <w:tcBorders>
                  <w:top w:val="single" w:sz="6" w:space="0" w:color="000000"/>
                  <w:left w:val="single" w:sz="6" w:space="0" w:color="000000"/>
                  <w:bottom w:val="single" w:sz="6" w:space="0" w:color="000000"/>
                  <w:right w:val="single" w:sz="6" w:space="0" w:color="000000"/>
                </w:tcBorders>
              </w:tcPr>
              <w:p>
                <w:pPr>
                  <w:rPr>
                    <w:sz w:val="22"/>
                    <w:lang w:val="fi-FI"/>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fi-FI"/>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hideMark/>
              </w:tcPr>
              <w:p>
                <w:pPr>
                  <w:rPr>
                    <w:sz w:val="22"/>
                  </w:rPr>
                </w:pPr>
                <w:r>
                  <w:rPr>
                    <w:sz w:val="22"/>
                  </w:rPr>
                  <w:t>18.</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Gal Jums dėl kurios nors anksčiau minėtos ligos (A 1–13) paskirti kokie nors vaistai, kurie turi būti reguliariai vartojami ilgą laiką?</w:t>
                </w:r>
              </w:p>
              <w:p>
                <w:pPr>
                  <w:tabs>
                    <w:tab w:val="center" w:pos="4153"/>
                    <w:tab w:val="right" w:pos="8306"/>
                    <w:tab w:val="left" w:pos="8789"/>
                  </w:tabs>
                  <w:ind w:right="857"/>
                  <w:rPr>
                    <w:sz w:val="22"/>
                    <w:lang w:val="fi-FI"/>
                  </w:rPr>
                </w:pPr>
                <w:r>
                  <w:rPr>
                    <w:sz w:val="22"/>
                    <w:lang w:val="fi-FI"/>
                  </w:rPr>
                  <w:t>Jei atsakymas „taip“, nurodyti, kokie vaistai:</w:t>
                </w:r>
              </w:p>
              <w:p>
                <w:pPr>
                  <w:tabs>
                    <w:tab w:val="center" w:pos="4153"/>
                    <w:tab w:val="right" w:pos="8306"/>
                    <w:tab w:val="left" w:pos="8789"/>
                  </w:tabs>
                  <w:ind w:right="857"/>
                  <w:rPr>
                    <w:sz w:val="22"/>
                    <w:lang w:val="fi-FI"/>
                  </w:rPr>
                </w:pPr>
              </w:p>
              <w:p>
                <w:pPr>
                  <w:tabs>
                    <w:tab w:val="center" w:pos="4153"/>
                    <w:tab w:val="right" w:pos="8306"/>
                    <w:tab w:val="left" w:pos="8789"/>
                  </w:tabs>
                  <w:ind w:right="857"/>
                  <w:rPr>
                    <w:sz w:val="22"/>
                    <w:lang w:val="fi-FI"/>
                  </w:rPr>
                </w:pPr>
              </w:p>
            </w:tc>
            <w:tc>
              <w:tcPr>
                <w:tcW w:w="682" w:type="dxa"/>
                <w:tcBorders>
                  <w:top w:val="single" w:sz="6" w:space="0" w:color="000000"/>
                  <w:left w:val="single" w:sz="6" w:space="0" w:color="000000"/>
                  <w:bottom w:val="single" w:sz="6" w:space="0" w:color="000000"/>
                  <w:right w:val="single" w:sz="6" w:space="0" w:color="000000"/>
                </w:tcBorders>
              </w:tcPr>
              <w:p>
                <w:pPr>
                  <w:rPr>
                    <w:sz w:val="22"/>
                    <w:lang w:val="fi-FI"/>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fi-FI"/>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hideMark/>
              </w:tcPr>
              <w:p>
                <w:pPr>
                  <w:rPr>
                    <w:sz w:val="22"/>
                  </w:rPr>
                </w:pPr>
                <w:r>
                  <w:rPr>
                    <w:sz w:val="22"/>
                  </w:rPr>
                  <w:t>19.</w:t>
                </w:r>
              </w:p>
            </w:tc>
            <w:tc>
              <w:tcPr>
                <w:tcW w:w="7326" w:type="dxa"/>
                <w:tcBorders>
                  <w:top w:val="single" w:sz="6" w:space="0" w:color="000000"/>
                  <w:left w:val="single" w:sz="6" w:space="0" w:color="000000"/>
                  <w:bottom w:val="single" w:sz="6" w:space="0" w:color="000000"/>
                  <w:right w:val="single" w:sz="6" w:space="0" w:color="000000"/>
                </w:tcBorders>
                <w:hideMark/>
              </w:tcPr>
              <w:p>
                <w:pPr>
                  <w:tabs>
                    <w:tab w:val="center" w:pos="4153"/>
                    <w:tab w:val="left" w:pos="5954"/>
                    <w:tab w:val="left" w:pos="6096"/>
                    <w:tab w:val="right" w:pos="8306"/>
                    <w:tab w:val="left" w:pos="8789"/>
                    <w:tab w:val="left" w:pos="8931"/>
                  </w:tabs>
                  <w:ind w:right="476"/>
                  <w:rPr>
                    <w:sz w:val="22"/>
                  </w:rPr>
                </w:pPr>
                <w:r>
                  <w:rPr>
                    <w:sz w:val="22"/>
                  </w:rPr>
                  <w:t>Ar anksčiau buvo tikrinta Jūsų sveikata, norint gauti traukinio mašinisto pažymėjimą?</w:t>
                </w:r>
              </w:p>
              <w:p>
                <w:pPr>
                  <w:rPr>
                    <w:sz w:val="22"/>
                    <w:lang w:val="fi-FI"/>
                  </w:rPr>
                </w:pPr>
                <w:r>
                  <w:rPr>
                    <w:sz w:val="22"/>
                    <w:lang w:val="fi-FI"/>
                  </w:rPr>
                  <w:t>Jei atsakymas „taip“, nurodyti kada:</w:t>
                </w:r>
              </w:p>
            </w:tc>
            <w:tc>
              <w:tcPr>
                <w:tcW w:w="682" w:type="dxa"/>
                <w:tcBorders>
                  <w:top w:val="single" w:sz="6" w:space="0" w:color="000000"/>
                  <w:left w:val="single" w:sz="6" w:space="0" w:color="000000"/>
                  <w:bottom w:val="single" w:sz="6" w:space="0" w:color="000000"/>
                  <w:right w:val="single" w:sz="6" w:space="0" w:color="000000"/>
                </w:tcBorders>
              </w:tcPr>
              <w:p>
                <w:pPr>
                  <w:rPr>
                    <w:sz w:val="22"/>
                    <w:lang w:val="fi-FI"/>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fi-FI"/>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hideMark/>
              </w:tcPr>
              <w:p>
                <w:pPr>
                  <w:rPr>
                    <w:sz w:val="22"/>
                  </w:rPr>
                </w:pPr>
                <w:r>
                  <w:rPr>
                    <w:sz w:val="22"/>
                  </w:rPr>
                  <w:t>20.</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left" w:pos="5954"/>
                    <w:tab w:val="left" w:pos="6096"/>
                    <w:tab w:val="right" w:pos="8306"/>
                    <w:tab w:val="left" w:pos="8789"/>
                    <w:tab w:val="left" w:pos="8931"/>
                  </w:tabs>
                  <w:ind w:right="476"/>
                  <w:rPr>
                    <w:sz w:val="22"/>
                  </w:rPr>
                </w:pPr>
                <w:r>
                  <w:rPr>
                    <w:sz w:val="22"/>
                  </w:rPr>
                  <w:t>Ar turite darbingumo apribojimų dėl ligos ar sveikatos problemos?</w:t>
                </w:r>
              </w:p>
              <w:p>
                <w:pPr>
                  <w:tabs>
                    <w:tab w:val="center" w:pos="4153"/>
                    <w:tab w:val="left" w:pos="5954"/>
                    <w:tab w:val="left" w:pos="6096"/>
                    <w:tab w:val="right" w:pos="8306"/>
                    <w:tab w:val="left" w:pos="8789"/>
                    <w:tab w:val="left" w:pos="8931"/>
                  </w:tabs>
                  <w:ind w:right="476"/>
                  <w:rPr>
                    <w:sz w:val="22"/>
                  </w:rPr>
                </w:pP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hideMark/>
              </w:tcPr>
              <w:p>
                <w:pPr>
                  <w:rPr>
                    <w:sz w:val="22"/>
                  </w:rPr>
                </w:pPr>
                <w:r>
                  <w:rPr>
                    <w:sz w:val="22"/>
                  </w:rPr>
                  <w:t>21.</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left" w:pos="5954"/>
                    <w:tab w:val="left" w:pos="6096"/>
                    <w:tab w:val="right" w:pos="8306"/>
                    <w:tab w:val="left" w:pos="8789"/>
                    <w:tab w:val="left" w:pos="8931"/>
                  </w:tabs>
                  <w:ind w:right="476"/>
                  <w:rPr>
                    <w:sz w:val="22"/>
                  </w:rPr>
                </w:pPr>
                <w:r>
                  <w:rPr>
                    <w:sz w:val="22"/>
                  </w:rPr>
                  <w:t>Ar manote, kad dabar esate visiškai sveikas (-a)?</w:t>
                </w:r>
              </w:p>
              <w:p>
                <w:pPr>
                  <w:rPr>
                    <w:sz w:val="22"/>
                    <w:lang w:val="pt-BR"/>
                  </w:rPr>
                </w:pPr>
                <w:r>
                  <w:rPr>
                    <w:sz w:val="22"/>
                    <w:lang w:val="pt-BR"/>
                  </w:rPr>
                  <w:t>Jei atsakymas „ne“, įrašyti priežastis:</w:t>
                </w:r>
              </w:p>
              <w:p>
                <w:pPr>
                  <w:rPr>
                    <w:sz w:val="22"/>
                    <w:lang w:val="pt-BR"/>
                  </w:rPr>
                </w:pP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bl>
        <w:p>
          <w:pPr>
            <w:rPr>
              <w:lang w:val="pt-BR"/>
            </w:rPr>
          </w:pPr>
        </w:p>
        <w:p>
          <w:pPr>
            <w:ind w:firstLine="567"/>
            <w:jc w:val="both"/>
            <w:rPr>
              <w:lang w:val="pt-BR"/>
            </w:rPr>
          </w:pPr>
          <w:r>
            <w:rPr>
              <w:lang w:val="pt-BR"/>
            </w:rPr>
            <w:t>Užtikrinu, kad visa mano pateikta informacija yra visiškai teisinga, ir suprantu, kad pablogėjus sveikatos būklei, turiu nedelsdamas (-a) kreiptis į gydytoją.</w:t>
          </w:r>
        </w:p>
        <w:p>
          <w:pPr>
            <w:rPr>
              <w:lang w:val="pt-BR"/>
            </w:rPr>
          </w:pPr>
        </w:p>
        <w:p>
          <w:pPr>
            <w:tabs>
              <w:tab w:val="center" w:pos="4153"/>
              <w:tab w:val="right" w:leader="underscore" w:pos="9000"/>
            </w:tabs>
            <w:ind w:left="4535"/>
            <w:rPr>
              <w:lang w:val="pt-BR"/>
            </w:rPr>
          </w:pPr>
          <w:r>
            <w:rPr>
              <w:lang w:val="pt-BR"/>
            </w:rPr>
            <w:t>___________       </w:t>
            <w:tab/>
          </w:r>
        </w:p>
        <w:p>
          <w:pPr>
            <w:tabs>
              <w:tab w:val="center" w:pos="4153"/>
              <w:tab w:val="center" w:pos="7680"/>
            </w:tabs>
            <w:ind w:left="4800"/>
            <w:rPr>
              <w:sz w:val="22"/>
              <w:lang w:val="pt-BR"/>
            </w:rPr>
          </w:pPr>
          <w:r>
            <w:rPr>
              <w:sz w:val="22"/>
              <w:lang w:val="pt-BR"/>
            </w:rPr>
            <w:t>(parašas)</w:t>
            <w:tab/>
            <w:t>(vardas, pavardė)</w:t>
          </w:r>
        </w:p>
        <w:p>
          <w:pPr>
            <w:tabs>
              <w:tab w:val="center" w:pos="4153"/>
              <w:tab w:val="right" w:pos="8306"/>
              <w:tab w:val="left" w:pos="8789"/>
            </w:tabs>
            <w:ind w:right="857"/>
            <w:rPr>
              <w:b/>
              <w:lang w:val="pt-BR"/>
            </w:rPr>
          </w:pPr>
        </w:p>
        <w:p>
          <w:pPr>
            <w:tabs>
              <w:tab w:val="left" w:pos="8789"/>
            </w:tabs>
            <w:ind w:right="857"/>
            <w:rPr>
              <w:lang w:val="pt-BR"/>
            </w:rPr>
          </w:pPr>
          <w:r>
            <w:rPr>
              <w:lang w:val="pt-BR"/>
            </w:rPr>
            <w:t>Pastaba.</w:t>
          </w:r>
          <w:r>
            <w:rPr>
              <w:b/>
              <w:lang w:val="pt-BR"/>
            </w:rPr>
            <w:t xml:space="preserve"> </w:t>
          </w:r>
          <w:r>
            <w:rPr>
              <w:lang w:val="pt-BR"/>
            </w:rPr>
            <w:t>Įdedamas į Asmens sveikatos istoriją – F Nr. 025/a.</w:t>
          </w:r>
        </w:p>
        <w:p>
          <w:pPr>
            <w:rPr>
              <w:lang w:val="pt-BR"/>
            </w:rPr>
          </w:pPr>
        </w:p>
        <w:sdt>
          <w:sdtPr>
            <w:alias w:val="pabaiga"/>
            <w:tag w:val="part_ec8ff8777386419aaec669859b59440b"/>
            <w:lock w:val="sdtLocked"/>
            <w:richText/>
          </w:sdtPr>
          <w:sdtContent>
            <w:p>
              <w:pPr>
                <w:jc w:val="center"/>
              </w:pPr>
              <w:r>
                <w:t>_________________</w:t>
              </w:r>
            </w:p>
            <w:p>
              <w:pPr>
                <w:jc w:val="center"/>
                <w:rPr>
                  <w:color w:val="000000"/>
                </w:rPr>
              </w:pPr>
            </w:p>
          </w:sdtContent>
        </w:sdt>
      </w:sdtContent>
    </w:sdt>
    <w:sdt>
      <w:sdtPr>
        <w:alias w:val="13 pr."/>
        <w:tag w:val="part_b101185e35f745a2afbf4472d2c10920"/>
        <w:lock w:val="sdtLocked"/>
        <w:richText/>
      </w:sdtPr>
      <w:sdtContent>
        <w:p>
          <w:pPr>
            <w:widowControl w:val="0"/>
            <w:suppressAutoHyphens/>
            <w:ind w:left="5102"/>
            <w:sectPr>
              <w:pgSz w:w="11907" w:h="16840" w:code="9"/>
              <w:pgMar w:top="1134" w:right="1134" w:bottom="1134" w:left="1134" w:header="567" w:footer="284" w:gutter="0"/>
              <w:pgNumType w:start="1"/>
              <w:cols w:space="1296"/>
              <w:titlePg/>
              <w:docGrid w:linePitch="360"/>
            </w:sectPr>
          </w:pPr>
        </w:p>
        <w:p>
          <w:pPr>
            <w:widowControl w:val="0"/>
            <w:suppressAutoHyphens/>
            <w:ind w:left="5102"/>
            <w:rPr>
              <w:color w:val="000000"/>
            </w:rPr>
          </w:pPr>
          <w:r>
            <w:rPr>
              <w:color w:val="000000"/>
            </w:rPr>
            <w:t>PATVIRTINTA</w:t>
          </w:r>
        </w:p>
        <w:p>
          <w:pPr>
            <w:keepLines/>
            <w:widowControl w:val="0"/>
            <w:suppressAutoHyphens/>
            <w:ind w:firstLine="5102"/>
            <w:rPr>
              <w:color w:val="000000"/>
            </w:rPr>
          </w:pPr>
          <w:r>
            <w:rPr>
              <w:color w:val="000000"/>
            </w:rPr>
            <w:t xml:space="preserve">Lietuvos Respublikos sveikatos </w:t>
          </w:r>
        </w:p>
        <w:p>
          <w:pPr>
            <w:keepLines/>
            <w:widowControl w:val="0"/>
            <w:suppressAutoHyphens/>
            <w:ind w:firstLine="5102"/>
            <w:rPr>
              <w:color w:val="000000"/>
            </w:rPr>
          </w:pPr>
          <w:r>
            <w:rPr>
              <w:color w:val="000000"/>
            </w:rPr>
            <w:t xml:space="preserve">apsaugos ministro 2000 m. gegužės 31 d. </w:t>
          </w:r>
        </w:p>
        <w:p>
          <w:pPr>
            <w:keepLines/>
            <w:widowControl w:val="0"/>
            <w:suppressAutoHyphens/>
            <w:ind w:firstLine="5102"/>
            <w:rPr>
              <w:color w:val="000000"/>
            </w:rPr>
          </w:pPr>
          <w:r>
            <w:rPr>
              <w:color w:val="000000"/>
            </w:rPr>
            <w:t>įsakymu Nr. 301</w:t>
          </w:r>
        </w:p>
        <w:p>
          <w:pPr>
            <w:keepLines/>
            <w:widowControl w:val="0"/>
            <w:suppressAutoHyphens/>
            <w:ind w:firstLine="5102"/>
            <w:rPr>
              <w:color w:val="000000"/>
            </w:rPr>
          </w:pPr>
          <w:r>
            <w:rPr>
              <w:color w:val="000000"/>
            </w:rPr>
            <w:t xml:space="preserve">(Lietuvos Respublikos sveikatos </w:t>
          </w:r>
        </w:p>
        <w:p>
          <w:pPr>
            <w:keepLines/>
            <w:widowControl w:val="0"/>
            <w:suppressAutoHyphens/>
            <w:ind w:firstLine="5102"/>
            <w:rPr>
              <w:color w:val="000000"/>
            </w:rPr>
          </w:pPr>
          <w:r>
            <w:rPr>
              <w:color w:val="000000"/>
            </w:rPr>
            <w:t xml:space="preserve">apsaugos ministro </w:t>
          </w:r>
        </w:p>
        <w:p>
          <w:pPr>
            <w:keepLines/>
            <w:widowControl w:val="0"/>
            <w:suppressAutoHyphens/>
            <w:ind w:firstLine="5102"/>
            <w:rPr>
              <w:color w:val="000000"/>
            </w:rPr>
          </w:pPr>
          <w:r>
            <w:rPr>
              <w:color w:val="000000"/>
            </w:rPr>
            <w:t xml:space="preserve">2009 m. gruodžio 29 d. </w:t>
          </w:r>
        </w:p>
        <w:p>
          <w:pPr>
            <w:keepLines/>
            <w:widowControl w:val="0"/>
            <w:suppressAutoHyphens/>
            <w:ind w:firstLine="5102"/>
            <w:rPr>
              <w:color w:val="000000"/>
            </w:rPr>
          </w:pPr>
          <w:r>
            <w:rPr>
              <w:color w:val="000000"/>
            </w:rPr>
            <w:t>įsakymo Nr. V- 1072 redakcija)</w:t>
          </w:r>
        </w:p>
        <w:p>
          <w:pPr>
            <w:keepLines/>
            <w:widowControl w:val="0"/>
            <w:suppressAutoHyphens/>
            <w:ind w:firstLine="5102"/>
            <w:rPr>
              <w:color w:val="000000"/>
            </w:rPr>
          </w:pPr>
          <w:sdt>
            <w:sdtPr>
              <w:alias w:val="Numeris"/>
              <w:tag w:val="nr_b101185e35f745a2afbf4472d2c10920"/>
              <w:lock w:val="sdtLocked"/>
              <w:richText/>
            </w:sdtPr>
            <w:sdtContent>
              <w:r>
                <w:rPr>
                  <w:color w:val="000000"/>
                </w:rPr>
                <w:t>13</w:t>
              </w:r>
            </w:sdtContent>
          </w:sdt>
          <w:r>
            <w:rPr>
              <w:color w:val="000000"/>
            </w:rPr>
            <w:t xml:space="preserve"> priedas</w:t>
          </w:r>
        </w:p>
        <w:p>
          <w:pPr>
            <w:widowControl w:val="0"/>
            <w:suppressAutoHyphens/>
            <w:ind w:firstLine="567"/>
            <w:jc w:val="both"/>
            <w:rPr>
              <w:color w:val="000000"/>
            </w:rPr>
          </w:pPr>
        </w:p>
        <w:p>
          <w:pPr>
            <w:keepLines/>
            <w:widowControl w:val="0"/>
            <w:suppressAutoHyphens/>
            <w:jc w:val="center"/>
            <w:rPr>
              <w:b/>
              <w:bCs/>
              <w:caps/>
              <w:color w:val="000000"/>
            </w:rPr>
          </w:pPr>
          <w:sdt>
            <w:sdtPr>
              <w:alias w:val="Pavadinimas"/>
              <w:tag w:val="title_b101185e35f745a2afbf4472d2c10920"/>
              <w:lock w:val="sdtLocked"/>
              <w:richText/>
            </w:sdtPr>
            <w:sdtContent>
              <w:r>
                <w:rPr>
                  <w:b/>
                  <w:bCs/>
                  <w:caps/>
                  <w:color w:val="000000"/>
                </w:rPr>
                <w:t>ASMENŲ, DIRBANČIŲ DARBO APLINKOJE, KURIOJE GALIMA PROFESINĖ RIZIKA (KENKSMINGŲ VEIKSNIŲ POVEIKIS IR (AR) PAVOJINGAS DARBAS), PRIVALOMO SVEIKATOS TIKRINIMO TVARKOS APRAŠAS</w:t>
              </w:r>
            </w:sdtContent>
          </w:sdt>
        </w:p>
        <w:p>
          <w:pPr>
            <w:widowControl w:val="0"/>
            <w:suppressAutoHyphens/>
            <w:ind w:firstLine="567"/>
            <w:jc w:val="both"/>
            <w:rPr>
              <w:b/>
              <w:bCs/>
              <w:caps/>
              <w:color w:val="000000"/>
            </w:rPr>
          </w:pPr>
        </w:p>
        <w:sdt>
          <w:sdtPr>
            <w:alias w:val="skyrius"/>
            <w:tag w:val="part_5f06be7b7457448182516d0cc4b48329"/>
            <w:lock w:val="sdtLocked"/>
            <w:richText/>
          </w:sdtPr>
          <w:sdtContent>
            <w:p>
              <w:pPr>
                <w:keepLines/>
                <w:widowControl w:val="0"/>
                <w:suppressAutoHyphens/>
                <w:jc w:val="center"/>
                <w:rPr>
                  <w:b/>
                  <w:bCs/>
                  <w:caps/>
                  <w:color w:val="000000"/>
                </w:rPr>
              </w:pPr>
              <w:sdt>
                <w:sdtPr>
                  <w:alias w:val="Numeris"/>
                  <w:tag w:val="nr_5f06be7b7457448182516d0cc4b48329"/>
                  <w:lock w:val="sdtLocked"/>
                  <w:richText/>
                </w:sdtPr>
                <w:sdtContent>
                  <w:r>
                    <w:rPr>
                      <w:b/>
                      <w:bCs/>
                      <w:caps/>
                      <w:color w:val="000000"/>
                    </w:rPr>
                    <w:t>I</w:t>
                  </w:r>
                </w:sdtContent>
              </w:sdt>
              <w:r>
                <w:rPr>
                  <w:b/>
                  <w:bCs/>
                  <w:caps/>
                  <w:color w:val="000000"/>
                </w:rPr>
                <w:t xml:space="preserve">. </w:t>
              </w:r>
              <w:sdt>
                <w:sdtPr>
                  <w:alias w:val="Pavadinimas"/>
                  <w:tag w:val="title_5f06be7b7457448182516d0cc4b48329"/>
                  <w:lock w:val="sdtLocked"/>
                  <w:richText/>
                </w:sdtPr>
                <w:sdtContent>
                  <w:r>
                    <w:rPr>
                      <w:b/>
                      <w:bCs/>
                      <w:caps/>
                      <w:color w:val="000000"/>
                    </w:rPr>
                    <w:t>BENDROSIOS NUOSTATOS</w:t>
                  </w:r>
                </w:sdtContent>
              </w:sdt>
            </w:p>
            <w:p>
              <w:pPr>
                <w:widowControl w:val="0"/>
                <w:suppressAutoHyphens/>
                <w:ind w:firstLine="567"/>
                <w:jc w:val="both"/>
                <w:rPr>
                  <w:color w:val="000000"/>
                </w:rPr>
              </w:pPr>
            </w:p>
            <w:sdt>
              <w:sdtPr>
                <w:alias w:val="13 pr. 1 p."/>
                <w:tag w:val="part_41be27b444ff4b2fb994620af8dd4310"/>
                <w:lock w:val="sdtLocked"/>
                <w:richText/>
              </w:sdtPr>
              <w:sdtContent>
                <w:p>
                  <w:pPr>
                    <w:widowControl w:val="0"/>
                    <w:suppressAutoHyphens/>
                    <w:ind w:firstLine="567"/>
                    <w:jc w:val="both"/>
                    <w:rPr>
                      <w:color w:val="000000"/>
                    </w:rPr>
                  </w:pPr>
                  <w:sdt>
                    <w:sdtPr>
                      <w:alias w:val="Numeris"/>
                      <w:tag w:val="nr_41be27b444ff4b2fb994620af8dd4310"/>
                      <w:lock w:val="sdtLocked"/>
                      <w:richText/>
                    </w:sdtPr>
                    <w:sdtContent>
                      <w:r>
                        <w:rPr>
                          <w:color w:val="000000"/>
                        </w:rPr>
                        <w:t>1</w:t>
                      </w:r>
                    </w:sdtContent>
                  </w:sdt>
                  <w:r>
                    <w:rPr>
                      <w:color w:val="000000"/>
                    </w:rPr>
                    <w:t>. Asmenys, norintys įsidarbinti (toliau – įsidarbinantieji) ar dirbantys (toliau – darbuotojai) darbo aplinkoje, kurioje galima profesinė rizika (traumos ar kitokio darbuotojo sveikatos pakenkimo tikimybė dėl kenksmingo ir (ar) pavojingo darbo aplinkos veiksnių poveikio), privalo tikrintis sveikatą prieš įsidarbindami, o dirbdami – tikrintis periodiškai.</w:t>
                  </w:r>
                </w:p>
              </w:sdtContent>
            </w:sdt>
            <w:sdt>
              <w:sdtPr>
                <w:alias w:val="13 pr. 2 p."/>
                <w:tag w:val="part_cdff958ff76f44e9a2f2b5d9532b319d"/>
                <w:lock w:val="sdtLocked"/>
                <w:richText/>
              </w:sdtPr>
              <w:sdtContent>
                <w:p>
                  <w:pPr>
                    <w:ind w:firstLine="567"/>
                    <w:jc w:val="both"/>
                    <w:rPr>
                      <w:color w:val="000000"/>
                    </w:rPr>
                  </w:pPr>
                  <w:sdt>
                    <w:sdtPr>
                      <w:alias w:val="Numeris"/>
                      <w:tag w:val="nr_cdff958ff76f44e9a2f2b5d9532b319d"/>
                      <w:lock w:val="sdtLocked"/>
                      <w:richText/>
                    </w:sdtPr>
                    <w:sdtContent>
                      <w:r>
                        <w:rPr>
                          <w:color w:val="000000"/>
                          <w:szCs w:val="24"/>
                        </w:rPr>
                        <w:t>2</w:t>
                      </w:r>
                    </w:sdtContent>
                  </w:sdt>
                  <w:r>
                    <w:rPr>
                      <w:color w:val="000000"/>
                      <w:szCs w:val="24"/>
                    </w:rPr>
                    <w:t xml:space="preserve">. Asmenų, dirbančių darbo aplinkoje, kurioje galima profesinė rizika (kenksmingų veiksnių poveikis ir (ar) pavojingas darbas), privalomo sveikatos tikrinimo tvarkos aprašas (toliau – Aprašas) nustato įsidarbinančiųjų ir darbuotojų, kurie siekia dirbti ar dirba darbus, įrašytus į Pavojingų darbų sąrašą, patvirtintą 2002 m. rugsėjo 3 d. Lietuvos Respublikos Vyriausybės nutarimu Nr. 1386 „Dėl Pavojingų darbų sąrašo patvirtinimo“, arba darbo aplinkoje, kurioje įvertinus riziką, atsižvelgiant į Profesinės rizikos vertinimo bendruosius nuostatus, patvirtintus Lietuvos Respublikos socialinės apsaugos ir darbo ministro ir Lietuvos Respublikos sveikatos apsaugos ministro 2012 m. spalio 25 d. įsakymu Nr. </w:t>
                  </w:r>
                  <w:r>
                    <w:rPr>
                      <w:color w:val="000000"/>
                      <w:szCs w:val="24"/>
                      <w:lang w:eastAsia="lt-LT"/>
                    </w:rPr>
                    <w:t>A1-457/V-961</w:t>
                  </w:r>
                  <w:r>
                    <w:rPr>
                      <w:color w:val="000000"/>
                      <w:szCs w:val="24"/>
                    </w:rPr>
                    <w:t xml:space="preserve"> „Dėl Profesinės rizikos vertinimo bendrųjų nuostatų patvirtinimo“, nustatyti rizikos veiksniai, išankstinio (prieš pradedant darbą ar veiklą), periodinio (darbo metu ar kai veikla yra tęsiama) bei neeilinio (nesilaikant nustatyto periodiškumo) privalomo profilaktinio sveikatos tikrinimo tikslą, vietą, tvarką: periodiškumą, sveikatos tikrintojus, privalomus tyrimus, kontraindikacijas, dokumentų įforminimo ir kontrolės tvarką.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e619f0322711eabe008ea93139d588">
                    <w:r w:rsidRPr="00532B9F">
                      <w:rPr>
                        <w:rFonts w:ascii="Times New Roman" w:eastAsia="MS Mincho" w:hAnsi="Times New Roman"/>
                        <w:sz w:val="20"/>
                        <w:i/>
                        <w:iCs/>
                        <w:color w:val="0000FF" w:themeColor="hyperlink"/>
                        <w:u w:val="single"/>
                      </w:rPr>
                      <w:t>V-20</w:t>
                    </w:r>
                  </w:fldSimple>
                  <w:r>
                    <w:rPr>
                      <w:rFonts w:ascii="Times New Roman" w:eastAsia="MS Mincho" w:hAnsi="Times New Roman"/>
                      <w:sz w:val="20"/>
                      <w:i/>
                      <w:iCs/>
                    </w:rPr>
                    <w:t>,
2020-01-07,
paskelbta TAR 2020-01-09, i. k. 2020-00251            </w:t>
                  </w:r>
                </w:p>
                <w:p/>
              </w:sdtContent>
            </w:sdt>
            <w:sdt>
              <w:sdtPr>
                <w:alias w:val="13 pr. 3 p."/>
                <w:tag w:val="part_349fd1768c8242ebaf240b0f5d93352d"/>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rPr>
                      <w:color w:val="000000"/>
                    </w:rPr>
                  </w:pPr>
                  <w:sdt>
                    <w:sdtPr>
                      <w:alias w:val="Numeris"/>
                      <w:tag w:val="nr_349fd1768c8242ebaf240b0f5d93352d"/>
                      <w:lock w:val="sdtLocked"/>
                      <w:richText/>
                    </w:sdtPr>
                    <w:sdtContent>
                      <w:r>
                        <w:rPr>
                          <w:szCs w:val="24"/>
                        </w:rPr>
                        <w:t>3.</w:t>
                      </w:r>
                    </w:sdtContent>
                  </w:sdt>
                  <w:r>
                    <w:rPr>
                      <w:szCs w:val="24"/>
                    </w:rPr>
                    <w:t xml:space="preserve"> Darbuotojų, kurie dirba darbo aplinkoje, kurioje galima profesinė rizika, sveikata priimant į darbą, dirbant ir pakeitus darbą ar darbovietę tikrinama periodiškai, vadovaujantis šiuo Aprašu bei Lietuvos Respublikos radiacinės saugos įstatymu, </w:t>
                  </w:r>
                  <w:r>
                    <w:rPr>
                      <w:szCs w:val="24"/>
                      <w:lang w:eastAsia="lt-LT"/>
                    </w:rPr>
                    <w:t>Darbuotojų, kuriems leidžiama dirbti tik iš anksto pasitikrinusiems ir vėliau periodiškai besitikrinantiems, ar neserga užkrečiamosiomis ligomis, sveikatos tikrinimosi tvarkos, patvirtintos</w:t>
                  </w:r>
                  <w:r>
                    <w:rPr>
                      <w:szCs w:val="24"/>
                    </w:rPr>
                    <w:t xml:space="preserve"> Lietuvos Respublikos Vyriausybės 1999 m. gegužės 7 d. nutarimu Nr. 544 „Dėl Darbų ir veiklos sričių, kuriose leidžiama dirbti darbuotojams, tik iš anksto pasitikrinusiems ir vėliau periodiškai besitikrinantiems, ar neserga užkrečiamosiomis ligomis, sąrašo, </w:t>
                  </w:r>
                  <w:r>
                    <w:rPr>
                      <w:szCs w:val="24"/>
                      <w:lang w:eastAsia="lt-LT"/>
                    </w:rPr>
                    <w:t>Darbų ir veiklos sričių, kuriose leidžiama dirbti darbuotojams, pasitikrinusiems ir (ar) periodiškai besitikrinantiems, ar neserga užkrečiamąja liga, dėl kurios yra paskelbta valstybės lygio ekstremalioji situacija ir (ar) karantinas, sąrašo</w:t>
                  </w:r>
                  <w:r>
                    <w:rPr>
                      <w:szCs w:val="24"/>
                    </w:rPr>
                    <w:t xml:space="preserve"> ir šių darbuotojų sveikatos tikrinimosi tvarkos patvirtinimo“ ir kitų darbuotojų saugą ir sveikatą reglamentuojančių teisės aktų nuostatomis.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6f3b7046d011ec992fe4cdfceb5666">
                    <w:r w:rsidRPr="00532B9F">
                      <w:rPr>
                        <w:rFonts w:ascii="Times New Roman" w:eastAsia="MS Mincho" w:hAnsi="Times New Roman"/>
                        <w:sz w:val="20"/>
                        <w:i/>
                        <w:iCs/>
                        <w:color w:val="0000FF" w:themeColor="hyperlink"/>
                        <w:u w:val="single"/>
                      </w:rPr>
                      <w:t>V-2596</w:t>
                    </w:r>
                  </w:fldSimple>
                  <w:r>
                    <w:rPr>
                      <w:rFonts w:ascii="Times New Roman" w:eastAsia="MS Mincho" w:hAnsi="Times New Roman"/>
                      <w:sz w:val="20"/>
                      <w:i/>
                      <w:iCs/>
                    </w:rPr>
                    <w:t>,
2021-11-16,
paskelbta TAR 2021-11-16, i. k. 2021-23674            </w:t>
                  </w:r>
                </w:p>
                <w:p/>
              </w:sdtContent>
            </w:sdt>
            <w:sdt>
              <w:sdtPr>
                <w:alias w:val="13 pr. 4 p."/>
                <w:tag w:val="part_c5c12852c3664cb19878a10e03f90cb8"/>
                <w:lock w:val="sdtLocked"/>
                <w:richText/>
              </w:sdtPr>
              <w:sdtContent>
                <w:p>
                  <w:pPr>
                    <w:tabs>
                      <w:tab w:val="left" w:pos="0"/>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rPr>
                      <w:color w:val="000000"/>
                    </w:rPr>
                  </w:pPr>
                  <w:sdt>
                    <w:sdtPr>
                      <w:alias w:val="Numeris"/>
                      <w:tag w:val="nr_c5c12852c3664cb19878a10e03f90cb8"/>
                      <w:lock w:val="sdtLocked"/>
                      <w:richText/>
                    </w:sdtPr>
                    <w:sdtContent>
                      <w:r>
                        <w:rPr>
                          <w:color w:val="000000"/>
                          <w:szCs w:val="24"/>
                        </w:rPr>
                        <w:t>4</w:t>
                      </w:r>
                    </w:sdtContent>
                  </w:sdt>
                  <w:r>
                    <w:rPr>
                      <w:color w:val="000000"/>
                      <w:szCs w:val="24"/>
                    </w:rPr>
                    <w:t>. Aprašu nustatyta tvarka taikoma atsižvelgiant į konkretų pavojingą darbą ir (ar) kenksmingą veiksnį. Vadovaujamasi Aprašo 1 lentelės „Darbai, įrašyti į pavojingų darbų sąrašą, kuriuos dirbant ir (ar) priimant į darbą privaloma tikrintis sveikatą. Tikrinimų periodiškumas ir mastas. Papildomos kontraindikacijos“ ir (ar) 2 lentelės „Privalomų sveikatos tikrinimų tvarka priimant į darbą ir (ar) dirbant kenksmingų rizikos veiksnių poveikyje (kai kuriais atvejais – pakeitus darbą ar darbovietę)“ nuostatomis.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fc9970c0f011ea9815f635b9c0dcef">
                    <w:r w:rsidRPr="00532B9F">
                      <w:rPr>
                        <w:rFonts w:ascii="Times New Roman" w:eastAsia="MS Mincho" w:hAnsi="Times New Roman"/>
                        <w:sz w:val="20"/>
                        <w:i/>
                        <w:iCs/>
                        <w:color w:val="0000FF" w:themeColor="hyperlink"/>
                        <w:u w:val="single"/>
                      </w:rPr>
                      <w:t>V-1615</w:t>
                    </w:r>
                  </w:fldSimple>
                  <w:r>
                    <w:rPr>
                      <w:rFonts w:ascii="Times New Roman" w:eastAsia="MS Mincho" w:hAnsi="Times New Roman"/>
                      <w:sz w:val="20"/>
                      <w:i/>
                      <w:iCs/>
                    </w:rPr>
                    <w:t>,
2020-07-07,
paskelbta TAR 2020-07-08, i. k. 2020-15197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5f42a0ee9f11eaa12ad7c04a383ca0">
                    <w:r w:rsidRPr="00532B9F">
                      <w:rPr>
                        <w:rFonts w:ascii="Times New Roman" w:eastAsia="MS Mincho" w:hAnsi="Times New Roman"/>
                        <w:sz w:val="20"/>
                        <w:i/>
                        <w:iCs/>
                        <w:color w:val="0000FF" w:themeColor="hyperlink"/>
                        <w:u w:val="single"/>
                      </w:rPr>
                      <w:t>V-1978</w:t>
                    </w:r>
                  </w:fldSimple>
                  <w:r>
                    <w:rPr>
                      <w:rFonts w:ascii="Times New Roman" w:eastAsia="MS Mincho" w:hAnsi="Times New Roman"/>
                      <w:sz w:val="20"/>
                      <w:i/>
                      <w:iCs/>
                    </w:rPr>
                    <w:t>,
2020-09-04,
paskelbta TAR 2020-09-04, i. k. 2020-18795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a867da0079e11ebb74de75171d26d52">
                    <w:r w:rsidRPr="00532B9F">
                      <w:rPr>
                        <w:rFonts w:ascii="Times New Roman" w:eastAsia="MS Mincho" w:hAnsi="Times New Roman"/>
                        <w:sz w:val="20"/>
                        <w:i/>
                        <w:iCs/>
                        <w:color w:val="0000FF" w:themeColor="hyperlink"/>
                        <w:u w:val="single"/>
                      </w:rPr>
                      <w:t>V-2191</w:t>
                    </w:r>
                  </w:fldSimple>
                  <w:r>
                    <w:rPr>
                      <w:rFonts w:ascii="Times New Roman" w:eastAsia="MS Mincho" w:hAnsi="Times New Roman"/>
                      <w:sz w:val="20"/>
                      <w:i/>
                      <w:iCs/>
                    </w:rPr>
                    <w:t>,
2020-10-06,
paskelbta TAR 2020-10-06, i. k. 2020-20813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c1d914846111efabdbb4a1fc8b0b63">
                    <w:r w:rsidRPr="00532B9F">
                      <w:rPr>
                        <w:rFonts w:ascii="Times New Roman" w:eastAsia="MS Mincho" w:hAnsi="Times New Roman"/>
                        <w:sz w:val="20"/>
                        <w:i/>
                        <w:iCs/>
                        <w:color w:val="0000FF" w:themeColor="hyperlink"/>
                        <w:u w:val="single"/>
                      </w:rPr>
                      <w:t>V-966</w:t>
                    </w:r>
                  </w:fldSimple>
                  <w:r>
                    <w:rPr>
                      <w:rFonts w:ascii="Times New Roman" w:eastAsia="MS Mincho" w:hAnsi="Times New Roman"/>
                      <w:sz w:val="20"/>
                      <w:i/>
                      <w:iCs/>
                    </w:rPr>
                    <w:t>,
2024-10-07,
paskelbta TAR 2024-10-07, i. k. 2024-17546            </w:t>
                  </w:r>
                </w:p>
                <w:p/>
              </w:sdtContent>
            </w:sdt>
            <w:sdt>
              <w:sdtPr>
                <w:alias w:val="13 pr. 5 p."/>
                <w:tag w:val="part_28dfbc2a02c04180ab5b358d2f327581"/>
                <w:lock w:val="sdtLocked"/>
                <w:richText/>
              </w:sdtPr>
              <w:sdtContent>
                <w:p>
                  <w:pPr>
                    <w:widowControl w:val="0"/>
                    <w:suppressAutoHyphens/>
                    <w:ind w:firstLine="567"/>
                    <w:jc w:val="both"/>
                    <w:rPr>
                      <w:color w:val="000000"/>
                    </w:rPr>
                  </w:pPr>
                  <w:sdt>
                    <w:sdtPr>
                      <w:alias w:val="Numeris"/>
                      <w:tag w:val="nr_28dfbc2a02c04180ab5b358d2f327581"/>
                      <w:lock w:val="sdtLocked"/>
                      <w:richText/>
                    </w:sdtPr>
                    <w:sdtContent>
                      <w:r>
                        <w:rPr>
                          <w:color w:val="000000"/>
                        </w:rPr>
                        <w:t>5</w:t>
                      </w:r>
                    </w:sdtContent>
                  </w:sdt>
                  <w:r>
                    <w:rPr>
                      <w:color w:val="000000"/>
                    </w:rPr>
                    <w:t>. Privalomo profilaktinio sveikatos tikrinimo tikslas:</w:t>
                  </w:r>
                </w:p>
                <w:sdt>
                  <w:sdtPr>
                    <w:alias w:val="13 pr. 5.1 p."/>
                    <w:tag w:val="part_9c024c3a8ce94270b36acac793660938"/>
                    <w:lock w:val="sdtLocked"/>
                    <w:richText/>
                  </w:sdtPr>
                  <w:sdtContent>
                    <w:p>
                      <w:pPr>
                        <w:widowControl w:val="0"/>
                        <w:suppressAutoHyphens/>
                        <w:ind w:firstLine="567"/>
                        <w:jc w:val="both"/>
                        <w:rPr>
                          <w:color w:val="000000"/>
                        </w:rPr>
                      </w:pPr>
                      <w:sdt>
                        <w:sdtPr>
                          <w:alias w:val="Numeris"/>
                          <w:tag w:val="nr_9c024c3a8ce94270b36acac793660938"/>
                          <w:lock w:val="sdtLocked"/>
                          <w:richText/>
                        </w:sdtPr>
                        <w:sdtContent>
                          <w:r>
                            <w:rPr>
                              <w:color w:val="000000"/>
                            </w:rPr>
                            <w:t>5.1</w:t>
                          </w:r>
                        </w:sdtContent>
                      </w:sdt>
                      <w:r>
                        <w:rPr>
                          <w:color w:val="000000"/>
                        </w:rPr>
                        <w:t>. apsaugoti įsidarbinančių asmenų ir darbuotojų sveikatą nuo galimo profesinės rizikos veiksnių poveikio, siekiant išvengti traumų ar kitokio darbuotojo sveikatos pakenkimo;</w:t>
                      </w:r>
                    </w:p>
                  </w:sdtContent>
                </w:sdt>
                <w:sdt>
                  <w:sdtPr>
                    <w:alias w:val="13 pr. 5.2 p."/>
                    <w:tag w:val="part_2891d33f5d3949dbb20a75777abe1726"/>
                    <w:lock w:val="sdtLocked"/>
                    <w:richText/>
                  </w:sdtPr>
                  <w:sdtContent>
                    <w:p>
                      <w:pPr>
                        <w:widowControl w:val="0"/>
                        <w:suppressAutoHyphens/>
                        <w:ind w:firstLine="567"/>
                        <w:jc w:val="both"/>
                        <w:rPr>
                          <w:color w:val="000000"/>
                        </w:rPr>
                      </w:pPr>
                      <w:sdt>
                        <w:sdtPr>
                          <w:alias w:val="Numeris"/>
                          <w:tag w:val="nr_2891d33f5d3949dbb20a75777abe1726"/>
                          <w:lock w:val="sdtLocked"/>
                          <w:richText/>
                        </w:sdtPr>
                        <w:sdtContent>
                          <w:r>
                            <w:rPr>
                              <w:color w:val="000000"/>
                            </w:rPr>
                            <w:t>5.2</w:t>
                          </w:r>
                        </w:sdtContent>
                      </w:sdt>
                      <w:r>
                        <w:rPr>
                          <w:color w:val="000000"/>
                        </w:rPr>
                        <w:t>. įvertinti, ar efektyvios taikytos profesinės rizikos šalinimo ir mažinimo priemonės;</w:t>
                      </w:r>
                    </w:p>
                  </w:sdtContent>
                </w:sdt>
                <w:sdt>
                  <w:sdtPr>
                    <w:alias w:val="13 pr. 5.3 p."/>
                    <w:tag w:val="part_07eb0034cc7e44df90b634cbf4099105"/>
                    <w:lock w:val="sdtLocked"/>
                    <w:richText/>
                  </w:sdtPr>
                  <w:sdtContent>
                    <w:p>
                      <w:pPr>
                        <w:widowControl w:val="0"/>
                        <w:suppressAutoHyphens/>
                        <w:ind w:firstLine="567"/>
                        <w:jc w:val="both"/>
                        <w:rPr>
                          <w:color w:val="000000"/>
                        </w:rPr>
                      </w:pPr>
                      <w:sdt>
                        <w:sdtPr>
                          <w:alias w:val="Numeris"/>
                          <w:tag w:val="nr_07eb0034cc7e44df90b634cbf4099105"/>
                          <w:lock w:val="sdtLocked"/>
                          <w:richText/>
                        </w:sdtPr>
                        <w:sdtContent>
                          <w:r>
                            <w:rPr>
                              <w:color w:val="000000"/>
                            </w:rPr>
                            <w:t>5.3</w:t>
                          </w:r>
                        </w:sdtContent>
                      </w:sdt>
                      <w:r>
                        <w:rPr>
                          <w:color w:val="000000"/>
                        </w:rPr>
                        <w:t>. įvertinti, ar įsidarbinantys asmenys ir darbuotojai gali dirbti konkretų darbą konkrečiomis galimos profesinės rizikos sąlygomis;</w:t>
                      </w:r>
                    </w:p>
                  </w:sdtContent>
                </w:sdt>
                <w:sdt>
                  <w:sdtPr>
                    <w:alias w:val="13 pr. 5.4 p."/>
                    <w:tag w:val="part_444282bd612d41c0acc3cc9d61d1269e"/>
                    <w:lock w:val="sdtLocked"/>
                    <w:richText/>
                  </w:sdtPr>
                  <w:sdtContent>
                    <w:p>
                      <w:pPr>
                        <w:widowControl w:val="0"/>
                        <w:suppressAutoHyphens/>
                        <w:ind w:firstLine="567"/>
                        <w:jc w:val="both"/>
                        <w:rPr>
                          <w:color w:val="000000"/>
                        </w:rPr>
                      </w:pPr>
                      <w:sdt>
                        <w:sdtPr>
                          <w:alias w:val="Numeris"/>
                          <w:tag w:val="nr_444282bd612d41c0acc3cc9d61d1269e"/>
                          <w:lock w:val="sdtLocked"/>
                          <w:richText/>
                        </w:sdtPr>
                        <w:sdtContent>
                          <w:r>
                            <w:rPr>
                              <w:color w:val="000000"/>
                            </w:rPr>
                            <w:t>5.4</w:t>
                          </w:r>
                        </w:sdtContent>
                      </w:sdt>
                      <w:r>
                        <w:rPr>
                          <w:color w:val="000000"/>
                        </w:rPr>
                        <w:t>. siekti išvengti ar kuo anksčiau diagnozuoti profesines ligas.</w:t>
                      </w:r>
                    </w:p>
                  </w:sdtContent>
                </w:sdt>
              </w:sdtContent>
            </w:sdt>
            <w:sdt>
              <w:sdtPr>
                <w:alias w:val="13 pr. 6 p."/>
                <w:tag w:val="part_a749b58c9b384a1189eae48242a4777d"/>
                <w:lock w:val="sdtLocked"/>
                <w:richText/>
              </w:sdtPr>
              <w:sdtContent>
                <w:p>
                  <w:pPr>
                    <w:widowControl w:val="0"/>
                    <w:suppressAutoHyphens/>
                    <w:ind w:firstLine="567"/>
                    <w:jc w:val="both"/>
                    <w:rPr>
                      <w:color w:val="000000"/>
                    </w:rPr>
                  </w:pPr>
                  <w:sdt>
                    <w:sdtPr>
                      <w:alias w:val="Numeris"/>
                      <w:tag w:val="nr_a749b58c9b384a1189eae48242a4777d"/>
                      <w:lock w:val="sdtLocked"/>
                      <w:richText/>
                    </w:sdtPr>
                    <w:sdtContent>
                      <w:r>
                        <w:rPr>
                          <w:color w:val="000000"/>
                        </w:rPr>
                        <w:t>6</w:t>
                      </w:r>
                    </w:sdtContent>
                  </w:sdt>
                  <w:r>
                    <w:rPr>
                      <w:color w:val="000000"/>
                    </w:rPr>
                    <w:t>. Pagrindinės Apraše vartojamos sąvokos atitinka darbuotojų saugą ir sveikatą reglamentuojančiuose Europos Sąjungos ir Lietuvos Respublikos teisės aktuose apibrėžtas sąvokas.</w:t>
                  </w:r>
                </w:p>
                <w:p>
                  <w:pPr>
                    <w:widowControl w:val="0"/>
                    <w:suppressAutoHyphens/>
                    <w:ind w:firstLine="567"/>
                    <w:jc w:val="both"/>
                    <w:rPr>
                      <w:color w:val="000000"/>
                    </w:rPr>
                  </w:pPr>
                </w:p>
              </w:sdtContent>
            </w:sdt>
          </w:sdtContent>
        </w:sdt>
        <w:sdt>
          <w:sdtPr>
            <w:alias w:val="skyrius"/>
            <w:tag w:val="part_9ebb2ce01cc84154a4908eb5fd2cca07"/>
            <w:lock w:val="sdtLocked"/>
            <w:richText/>
          </w:sdtPr>
          <w:sdtContent>
            <w:p>
              <w:pPr>
                <w:keepLines/>
                <w:widowControl w:val="0"/>
                <w:suppressAutoHyphens/>
                <w:jc w:val="center"/>
                <w:rPr>
                  <w:b/>
                  <w:bCs/>
                  <w:caps/>
                  <w:color w:val="000000"/>
                </w:rPr>
              </w:pPr>
              <w:sdt>
                <w:sdtPr>
                  <w:alias w:val="Numeris"/>
                  <w:tag w:val="nr_9ebb2ce01cc84154a4908eb5fd2cca07"/>
                  <w:lock w:val="sdtLocked"/>
                  <w:richText/>
                </w:sdtPr>
                <w:sdtContent>
                  <w:r>
                    <w:rPr>
                      <w:b/>
                      <w:bCs/>
                      <w:caps/>
                      <w:color w:val="000000"/>
                    </w:rPr>
                    <w:t>II</w:t>
                  </w:r>
                </w:sdtContent>
              </w:sdt>
              <w:r>
                <w:rPr>
                  <w:b/>
                  <w:bCs/>
                  <w:caps/>
                  <w:color w:val="000000"/>
                </w:rPr>
                <w:t xml:space="preserve">. </w:t>
              </w:r>
              <w:sdt>
                <w:sdtPr>
                  <w:alias w:val="Pavadinimas"/>
                  <w:tag w:val="title_9ebb2ce01cc84154a4908eb5fd2cca07"/>
                  <w:lock w:val="sdtLocked"/>
                  <w:richText/>
                </w:sdtPr>
                <w:sdtContent>
                  <w:r>
                    <w:rPr>
                      <w:b/>
                      <w:bCs/>
                      <w:caps/>
                      <w:color w:val="000000"/>
                    </w:rPr>
                    <w:t>PRIVALOMO SVEIKATOS TIKRINIMO TVARKA</w:t>
                  </w:r>
                </w:sdtContent>
              </w:sdt>
            </w:p>
            <w:p>
              <w:pPr>
                <w:widowControl w:val="0"/>
                <w:suppressAutoHyphens/>
                <w:ind w:firstLine="567"/>
                <w:jc w:val="both"/>
                <w:rPr>
                  <w:color w:val="000000"/>
                </w:rPr>
              </w:pPr>
            </w:p>
            <w:sdt>
              <w:sdtPr>
                <w:alias w:val="13 pr. 7 p."/>
                <w:tag w:val="part_32a4cc2ce30b44ab8c51914a52c15d1f"/>
                <w:lock w:val="sdtLocked"/>
                <w:richText/>
              </w:sdtPr>
              <w:sdtContent>
                <w:p>
                  <w:pPr>
                    <w:widowControl w:val="0"/>
                    <w:suppressAutoHyphens/>
                    <w:ind w:firstLine="567"/>
                    <w:jc w:val="both"/>
                    <w:rPr>
                      <w:color w:val="000000"/>
                    </w:rPr>
                  </w:pPr>
                  <w:sdt>
                    <w:sdtPr>
                      <w:alias w:val="Numeris"/>
                      <w:tag w:val="nr_32a4cc2ce30b44ab8c51914a52c15d1f"/>
                      <w:lock w:val="sdtLocked"/>
                      <w:richText/>
                    </w:sdtPr>
                    <w:sdtContent>
                      <w:r>
                        <w:rPr>
                          <w:color w:val="000000"/>
                          <w:szCs w:val="24"/>
                        </w:rPr>
                        <w:t>7</w:t>
                      </w:r>
                    </w:sdtContent>
                  </w:sdt>
                  <w:r>
                    <w:rPr>
                      <w:color w:val="000000"/>
                      <w:szCs w:val="24"/>
                    </w:rPr>
                    <w:t>. Darbdaviui atstovaujantis ar jo įgaliotas asmuo,</w:t>
                  </w:r>
                  <w:r>
                    <w:rPr>
                      <w:i/>
                      <w:iCs/>
                      <w:color w:val="000000"/>
                      <w:szCs w:val="24"/>
                    </w:rPr>
                    <w:t> </w:t>
                  </w:r>
                  <w:r>
                    <w:rPr>
                      <w:color w:val="000000"/>
                      <w:szCs w:val="24"/>
                    </w:rPr>
                    <w:t>siųsdamas įsidarbinantį ar dirbantį asmenį tikrintis sveikatos, privalo išduoti ir pagal kompetenciją užpildyti „Privalomo sveikatos patikrinimo medicininė</w:t>
                  </w:r>
                  <w:r>
                    <w:rPr>
                      <w:strike/>
                      <w:color w:val="000000"/>
                      <w:szCs w:val="24"/>
                    </w:rPr>
                    <w:t>s</w:t>
                  </w:r>
                  <w:r>
                    <w:rPr>
                      <w:color w:val="000000"/>
                      <w:szCs w:val="24"/>
                    </w:rPr>
                    <w:t xml:space="preserve"> pažymos“ formą (toliau – forma Nr. 047/a) (įsidarbinančiam) ar „Asmens medicininę knygelę (sveikatos pasą)“ (toliau – forma Nr. 048/a) (dirbančiajam), nurodytas Privalomų sveikatos statistikos apskaitos ir kitų tipinių formų, pildomų sveikatos priežiūros įstaigose, sąraše ir saugojimo terminuose, patvirtintuose Lietuvos Respublikos sveikatos apsaugos ministro 1999 m. lapkričio 29 d. įsakymu Nr. 515 „Dėl sveikatos priežiūros įstaigų veiklos apskaitos ir atskaitomybės tvarkos“, arba Elektroninės sveikatos paslaugų ir bendradarbiavimo infrastruktūros informacinėje sistemoje (toliau – ESPBI IS) užpildyti elektroninės statistinės apskaitos formą „Privalomo sveikatos patikrinimo medicininė pažyma“ (toliau – forma Nr. E047) ar elektroninės statistinės apskaitos formą „Asmens medicininė knygelė (sveikatos pasas)“ (toliau – forma Nr. E048), nurodytas Elektroninės sveikatos paslaugų ir bendradarbiavimo infrastruktūros informacinės sistemos naudojimo tvarkos aprašo, patvirtinto Lietuvos Respublikos sveikatos apsaugos ministro 2015 m. gegužės 26 d. įsakymu Nr. V-657 „Dėl Elektroninės sveikatos paslaugų ir bendradarbiavimo infrastruktūros informacinės sistemos naudojimo tvarkos aprašo patvirtinimo“ (toliau – Elektroninės sveikatos paslaugų ir bendradarbiavimo infrastruktūros informacinės sistemos naudojimo tvarkos aprašas), priede, nurodant:</w:t>
                  </w:r>
                  <w:r>
                    <w:t xml:space="preserve"> </w:t>
                  </w:r>
                </w:p>
                <w:p>
                  <w:pPr>
                    <w:widowControl w:val="0"/>
                    <w:suppressAutoHyphens/>
                    <w:ind w:firstLine="567"/>
                    <w:jc w:val="both"/>
                    <w:rPr>
                      <w:color w:val="000000"/>
                    </w:rPr>
                  </w:pPr>
                  <w:r>
                    <w:fldChar w:fldCharType="begin"/>
                  </w:r>
                  <w:r>
                    <w:instrText xml:space="preserve"> HYPERLINK "https</w:instrText>
                  </w:r>
                  <w:r>
                    <w:instrText xml:space="preserve">://www.e-tar.lt/portal/lt/legalAct/TAR.F1D86F455636" \t "_blank" </w:instrText>
                  </w:r>
                  <w:r>
                    <w:fldChar w:fldCharType="separate"/>
                  </w:r>
                  <w:r>
                    <w:rPr>
                      <w:color w:val="0000FF" w:themeColor="hyperlink"/>
                      <w:u w:val="single"/>
                    </w:rPr>
                    <w:fldChar w:fldCharType="end"/>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c1d914846111efabdbb4a1fc8b0b63">
                    <w:r w:rsidRPr="00532B9F">
                      <w:rPr>
                        <w:rFonts w:ascii="Times New Roman" w:eastAsia="MS Mincho" w:hAnsi="Times New Roman"/>
                        <w:sz w:val="20"/>
                        <w:i/>
                        <w:iCs/>
                        <w:color w:val="0000FF" w:themeColor="hyperlink"/>
                        <w:u w:val="single"/>
                      </w:rPr>
                      <w:t>V-966</w:t>
                    </w:r>
                  </w:fldSimple>
                  <w:r>
                    <w:rPr>
                      <w:rFonts w:ascii="Times New Roman" w:eastAsia="MS Mincho" w:hAnsi="Times New Roman"/>
                      <w:sz w:val="20"/>
                      <w:i/>
                      <w:iCs/>
                    </w:rPr>
                    <w:t>,
2024-10-07,
paskelbta TAR 2024-10-07, i. k. 2024-17546            </w:t>
                  </w:r>
                </w:p>
                <w:sdt>
                  <w:sdtPr>
                    <w:alias w:val="13 pr. 7.1 p."/>
                    <w:tag w:val="part_85c087a482b04a348ab0092b594ce724"/>
                    <w:lock w:val="sdtLocked"/>
                    <w:richText/>
                  </w:sdtPr>
                  <w:sdtContent>
                    <w:p>
                      <w:pPr>
                        <w:widowControl w:val="0"/>
                        <w:suppressAutoHyphens/>
                        <w:ind w:firstLine="567"/>
                        <w:jc w:val="both"/>
                        <w:rPr>
                          <w:color w:val="000000"/>
                        </w:rPr>
                      </w:pPr>
                      <w:sdt>
                        <w:sdtPr>
                          <w:alias w:val="Numeris"/>
                          <w:tag w:val="nr_85c087a482b04a348ab0092b594ce724"/>
                          <w:lock w:val="sdtLocked"/>
                          <w:richText/>
                        </w:sdtPr>
                        <w:sdtContent>
                          <w:r>
                            <w:rPr>
                              <w:color w:val="000000"/>
                            </w:rPr>
                            <w:t>7.1</w:t>
                          </w:r>
                        </w:sdtContent>
                      </w:sdt>
                      <w:r>
                        <w:rPr>
                          <w:color w:val="000000"/>
                        </w:rPr>
                        <w:t>. vardą, pavardę, darbo stažą pagal profesiją metais;</w:t>
                      </w:r>
                    </w:p>
                  </w:sdtContent>
                </w:sdt>
                <w:sdt>
                  <w:sdtPr>
                    <w:alias w:val="13 pr. 7.2 p."/>
                    <w:tag w:val="part_61682c05cf454b8a870f1756fb58ea64"/>
                    <w:lock w:val="sdtLocked"/>
                    <w:richText/>
                  </w:sdtPr>
                  <w:sdtContent>
                    <w:p>
                      <w:pPr>
                        <w:widowControl w:val="0"/>
                        <w:suppressAutoHyphens/>
                        <w:ind w:firstLine="567"/>
                        <w:jc w:val="both"/>
                        <w:rPr>
                          <w:color w:val="000000"/>
                        </w:rPr>
                      </w:pPr>
                      <w:sdt>
                        <w:sdtPr>
                          <w:alias w:val="Numeris"/>
                          <w:tag w:val="nr_61682c05cf454b8a870f1756fb58ea64"/>
                          <w:lock w:val="sdtLocked"/>
                          <w:richText/>
                        </w:sdtPr>
                        <w:sdtContent>
                          <w:r>
                            <w:rPr>
                              <w:color w:val="000000"/>
                            </w:rPr>
                            <w:t>7.2</w:t>
                          </w:r>
                        </w:sdtContent>
                      </w:sdt>
                      <w:r>
                        <w:rPr>
                          <w:color w:val="000000"/>
                        </w:rPr>
                        <w:t>. kenksmingus darbo aplinkos veiksnius ir jų dydžius konkrečioje darbo vietoje;</w:t>
                      </w:r>
                    </w:p>
                  </w:sdtContent>
                </w:sdt>
                <w:sdt>
                  <w:sdtPr>
                    <w:alias w:val="13 pr. 7.3 p."/>
                    <w:tag w:val="part_a26b63efab0e4781abed941e26b39f1b"/>
                    <w:lock w:val="sdtLocked"/>
                    <w:richText/>
                  </w:sdtPr>
                  <w:sdtContent>
                    <w:p>
                      <w:pPr>
                        <w:widowControl w:val="0"/>
                        <w:suppressAutoHyphens/>
                        <w:ind w:firstLine="567"/>
                        <w:jc w:val="both"/>
                        <w:rPr>
                          <w:color w:val="000000"/>
                        </w:rPr>
                      </w:pPr>
                      <w:sdt>
                        <w:sdtPr>
                          <w:alias w:val="Numeris"/>
                          <w:tag w:val="nr_a26b63efab0e4781abed941e26b39f1b"/>
                          <w:lock w:val="sdtLocked"/>
                          <w:richText/>
                        </w:sdtPr>
                        <w:sdtContent>
                          <w:r>
                            <w:rPr>
                              <w:color w:val="000000"/>
                            </w:rPr>
                            <w:t>7.3</w:t>
                          </w:r>
                        </w:sdtContent>
                      </w:sdt>
                      <w:r>
                        <w:rPr>
                          <w:color w:val="000000"/>
                        </w:rPr>
                        <w:t>. pavojingus darbus konkrečioje darbo vietoje;</w:t>
                      </w:r>
                    </w:p>
                  </w:sdtContent>
                </w:sdt>
                <w:sdt>
                  <w:sdtPr>
                    <w:alias w:val="13 pr. 7.4 p."/>
                    <w:tag w:val="part_8aecf1a8f76d45698c53f4d4ff73e0b8"/>
                    <w:lock w:val="sdtLocked"/>
                    <w:richText/>
                  </w:sdtPr>
                  <w:sdtContent>
                    <w:p>
                      <w:pPr>
                        <w:widowControl w:val="0"/>
                        <w:suppressAutoHyphens/>
                        <w:ind w:firstLine="567"/>
                        <w:jc w:val="both"/>
                        <w:rPr>
                          <w:color w:val="000000"/>
                        </w:rPr>
                      </w:pPr>
                      <w:sdt>
                        <w:sdtPr>
                          <w:alias w:val="Numeris"/>
                          <w:tag w:val="nr_8aecf1a8f76d45698c53f4d4ff73e0b8"/>
                          <w:lock w:val="sdtLocked"/>
                          <w:richText/>
                        </w:sdtPr>
                        <w:sdtContent>
                          <w:r>
                            <w:rPr>
                              <w:color w:val="000000"/>
                            </w:rPr>
                            <w:t>7.4</w:t>
                          </w:r>
                        </w:sdtContent>
                      </w:sdt>
                      <w:r>
                        <w:rPr>
                          <w:color w:val="000000"/>
                        </w:rPr>
                        <w:t xml:space="preserve">. metines efektinės apšvitos dozes bei apšvitos dozes, gautas darbuotojų, dirbančių su jonizuojančiosios spinduliuotės šaltiniais, dirbant ypatingomis sąlygomis, vadovaujantis Lietuvos higienos norma HN 73:2001 „Pagrindinės radiacinės saugos normos“, patvirtinta Lietuvos Respublikos sveikatos apsaugos ministro 2001 m. gruodžio 21 d. įsakymu Nr. 663 „Dėl Lietuvos higienos normos HN 73:2001 „Pagrindinės radiacinės saugos normos“ patvirtinimo“ (Žin., 2002, Nr. </w:t>
                      </w:r>
                      <w:hyperlink r:id="rId63" w:tgtFrame="_blank" w:history="1">
                        <w:r>
                          <w:rPr>
                            <w:color w:val="0000FF" w:themeColor="hyperlink"/>
                            <w:u w:val="single"/>
                          </w:rPr>
                          <w:t>11-388</w:t>
                        </w:r>
                      </w:hyperlink>
                      <w:r>
                        <w:rPr>
                          <w:color w:val="000000"/>
                        </w:rPr>
                        <w:t>);</w:t>
                      </w:r>
                    </w:p>
                  </w:sdtContent>
                </w:sdt>
                <w:sdt>
                  <w:sdtPr>
                    <w:alias w:val="13 pr. 7.5 p."/>
                    <w:tag w:val="part_993fea31494f4f9d8624d2442b99dbe5"/>
                    <w:lock w:val="sdtLocked"/>
                    <w:richText/>
                  </w:sdtPr>
                  <w:sdtContent>
                    <w:p>
                      <w:pPr>
                        <w:widowControl w:val="0"/>
                        <w:suppressAutoHyphens/>
                        <w:ind w:firstLine="567"/>
                        <w:jc w:val="both"/>
                        <w:rPr>
                          <w:color w:val="000000"/>
                        </w:rPr>
                      </w:pPr>
                      <w:sdt>
                        <w:sdtPr>
                          <w:alias w:val="Numeris"/>
                          <w:tag w:val="nr_993fea31494f4f9d8624d2442b99dbe5"/>
                          <w:lock w:val="sdtLocked"/>
                          <w:richText/>
                        </w:sdtPr>
                        <w:sdtContent>
                          <w:r>
                            <w:rPr>
                              <w:color w:val="000000"/>
                            </w:rPr>
                            <w:t>7.5</w:t>
                          </w:r>
                        </w:sdtContent>
                      </w:sdt>
                      <w:r>
                        <w:rPr>
                          <w:color w:val="000000"/>
                        </w:rPr>
                        <w:t>. F Nr. 048/a turi būti su asmens nuotrauka ir patvirtinta darbovietės antspaudu bei darbdaviui atstovaujančio ar jo įgalioto asmens parašu.</w:t>
                      </w:r>
                    </w:p>
                  </w:sdtContent>
                </w:sdt>
              </w:sdtContent>
            </w:sdt>
            <w:sdt>
              <w:sdtPr>
                <w:alias w:val="13 pr. 8 p."/>
                <w:tag w:val="part_fc6c45806ee040729bf833f15545695c"/>
                <w:lock w:val="sdtLocked"/>
                <w:richText/>
              </w:sdtPr>
              <w:sdtContent>
                <w:p>
                  <w:pPr>
                    <w:widowControl w:val="0"/>
                    <w:suppressAutoHyphens/>
                    <w:ind w:firstLine="567"/>
                    <w:jc w:val="both"/>
                    <w:rPr>
                      <w:color w:val="000000"/>
                    </w:rPr>
                  </w:pPr>
                  <w:sdt>
                    <w:sdtPr>
                      <w:alias w:val="Numeris"/>
                      <w:tag w:val="nr_fc6c45806ee040729bf833f15545695c"/>
                      <w:lock w:val="sdtLocked"/>
                      <w:richText/>
                    </w:sdtPr>
                    <w:sdtContent>
                      <w:r>
                        <w:rPr>
                          <w:color w:val="000000"/>
                        </w:rPr>
                        <w:t>8</w:t>
                      </w:r>
                    </w:sdtContent>
                  </w:sdt>
                  <w:r>
                    <w:rPr>
                      <w:color w:val="000000"/>
                    </w:rPr>
                    <w:t>. Privalomai profilaktiškai darbuotojų sveikata tikrinama asmens sveikatos priežiūros įstaigoje (toliau – ASPĮ), turinčioje licenciją asmens sveikatos priežiūros veiklai.</w:t>
                  </w:r>
                </w:p>
              </w:sdtContent>
            </w:sdt>
            <w:sdt>
              <w:sdtPr>
                <w:alias w:val="13 pr. 9 p."/>
                <w:tag w:val="part_2ff4ab6837be459aabb1d06417a4934c"/>
                <w:lock w:val="sdtLocked"/>
                <w:richText/>
              </w:sdtPr>
              <w:sdtContent>
                <w:p>
                  <w:pPr>
                    <w:widowControl w:val="0"/>
                    <w:suppressAutoHyphens/>
                    <w:ind w:firstLine="567"/>
                    <w:jc w:val="both"/>
                    <w:rPr>
                      <w:color w:val="000000"/>
                    </w:rPr>
                  </w:pPr>
                  <w:sdt>
                    <w:sdtPr>
                      <w:alias w:val="Numeris"/>
                      <w:tag w:val="nr_2ff4ab6837be459aabb1d06417a4934c"/>
                      <w:lock w:val="sdtLocked"/>
                      <w:richText/>
                    </w:sdtPr>
                    <w:sdtContent>
                      <w:r>
                        <w:rPr>
                          <w:color w:val="000000"/>
                        </w:rPr>
                        <w:t>9</w:t>
                      </w:r>
                    </w:sdtContent>
                  </w:sdt>
                  <w:r>
                    <w:rPr>
                      <w:color w:val="000000"/>
                    </w:rPr>
                    <w:t>. Prieš privalomą profilaktinį asmens sveikatos tikrinimą, pacientas ASPĮ turi pateikti:</w:t>
                  </w:r>
                </w:p>
                <w:sdt>
                  <w:sdtPr>
                    <w:alias w:val="13 pr. 9.1 p."/>
                    <w:tag w:val="part_ea9b77c0747041d481b019b8da03e7df"/>
                    <w:lock w:val="sdtLocked"/>
                    <w:richText/>
                  </w:sdtPr>
                  <w:sdtContent>
                    <w:p>
                      <w:pPr>
                        <w:widowControl w:val="0"/>
                        <w:suppressAutoHyphens/>
                        <w:ind w:firstLine="567"/>
                        <w:jc w:val="both"/>
                        <w:rPr>
                          <w:color w:val="000000"/>
                        </w:rPr>
                      </w:pPr>
                      <w:sdt>
                        <w:sdtPr>
                          <w:alias w:val="Numeris"/>
                          <w:tag w:val="nr_ea9b77c0747041d481b019b8da03e7df"/>
                          <w:lock w:val="sdtLocked"/>
                          <w:richText/>
                        </w:sdtPr>
                        <w:sdtContent>
                          <w:r>
                            <w:rPr>
                              <w:color w:val="000000"/>
                            </w:rPr>
                            <w:t>9.1</w:t>
                          </w:r>
                        </w:sdtContent>
                      </w:sdt>
                      <w:r>
                        <w:rPr>
                          <w:color w:val="000000"/>
                        </w:rPr>
                        <w:t>. asmens tapatybę patvirtinantį dokumentą;</w:t>
                      </w:r>
                    </w:p>
                  </w:sdtContent>
                </w:sdt>
                <w:sdt>
                  <w:sdtPr>
                    <w:alias w:val="13 pr. 9.2 p."/>
                    <w:tag w:val="part_24a1969a2bfb4d88a3796141424a3826"/>
                    <w:lock w:val="sdtLocked"/>
                    <w:richText/>
                  </w:sdtPr>
                  <w:sdtContent>
                    <w:p>
                      <w:pPr>
                        <w:tabs>
                          <w:tab w:val="left" w:pos="0"/>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rPr>
                          <w:color w:val="000000"/>
                        </w:rPr>
                      </w:pPr>
                      <w:sdt>
                        <w:sdtPr>
                          <w:alias w:val="Numeris"/>
                          <w:tag w:val="nr_24a1969a2bfb4d88a3796141424a3826"/>
                          <w:lock w:val="sdtLocked"/>
                          <w:richText/>
                        </w:sdtPr>
                        <w:sdtContent>
                          <w:r>
                            <w:rPr>
                              <w:color w:val="000000"/>
                              <w:szCs w:val="24"/>
                              <w:lang w:eastAsia="lt-LT"/>
                            </w:rPr>
                            <w:t>9.2</w:t>
                          </w:r>
                        </w:sdtContent>
                      </w:sdt>
                      <w:r>
                        <w:rPr>
                          <w:color w:val="000000"/>
                          <w:szCs w:val="24"/>
                          <w:lang w:eastAsia="lt-LT"/>
                        </w:rPr>
                        <w:t xml:space="preserve">. darbdaviui atstovaujančio ar jo įgalioto asmens pagal Aprašo 7 punkto nurodymus užpildytą </w:t>
                      </w:r>
                      <w:r>
                        <w:rPr>
                          <w:color w:val="000000"/>
                          <w:szCs w:val="24"/>
                        </w:rPr>
                        <w:t xml:space="preserve">formą </w:t>
                      </w:r>
                      <w:r>
                        <w:rPr>
                          <w:color w:val="000000"/>
                          <w:szCs w:val="24"/>
                          <w:lang w:eastAsia="lt-LT"/>
                        </w:rPr>
                        <w:t xml:space="preserve">Nr. 047/a ar </w:t>
                      </w:r>
                      <w:r>
                        <w:rPr>
                          <w:color w:val="000000"/>
                          <w:szCs w:val="24"/>
                        </w:rPr>
                        <w:t xml:space="preserve">formą </w:t>
                      </w:r>
                      <w:r>
                        <w:rPr>
                          <w:color w:val="000000"/>
                          <w:szCs w:val="24"/>
                          <w:lang w:eastAsia="lt-LT"/>
                        </w:rPr>
                        <w:t xml:space="preserve">Nr. 048/a arba informuoja ASPĮ, </w:t>
                      </w:r>
                      <w:r>
                        <w:rPr>
                          <w:color w:val="000000"/>
                          <w:szCs w:val="24"/>
                        </w:rPr>
                        <w:t>kad darbdaviui atstovaujantis ar jo įgaliotas asmuo ESPBI IS formą Nr. E047 ar formą Nr. E048 užpildė elektroniniu būdu</w:t>
                      </w:r>
                      <w:r>
                        <w:rPr>
                          <w:color w:val="000000"/>
                          <w:szCs w:val="24"/>
                          <w:lang w:eastAsia="lt-LT"/>
                        </w:rPr>
                        <w:t>, kuriose nurodytus profesinės rizikos veiksnius šeimos medicinos paslaugas teikiantis gydytojas arba darbo medicinos gydytojas įrašo į paciento</w:t>
                      </w:r>
                      <w:r>
                        <w:rPr>
                          <w:color w:val="000000"/>
                          <w:szCs w:val="24"/>
                        </w:rPr>
                        <w:t xml:space="preserve"> elektroninį dokumentą E025 „Ambulatorinio apsilankymo aprašymas“ (toliau – forma Nr. E025), nurodytą Elektroninės sveikatos paslaugų ir bendradarbiavimo infrastruktūros informacinės sistemos naudojimo tvarkos aprašo priede</w:t>
                      </w:r>
                      <w:r>
                        <w:rPr>
                          <w:color w:val="000000"/>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c1d914846111efabdbb4a1fc8b0b63">
                        <w:r w:rsidRPr="00532B9F">
                          <w:rPr>
                            <w:rFonts w:ascii="Times New Roman" w:eastAsia="MS Mincho" w:hAnsi="Times New Roman"/>
                            <w:sz w:val="20"/>
                            <w:i/>
                            <w:iCs/>
                            <w:color w:val="0000FF" w:themeColor="hyperlink"/>
                            <w:u w:val="single"/>
                          </w:rPr>
                          <w:t>V-966</w:t>
                        </w:r>
                      </w:fldSimple>
                      <w:r>
                        <w:rPr>
                          <w:rFonts w:ascii="Times New Roman" w:eastAsia="MS Mincho" w:hAnsi="Times New Roman"/>
                          <w:sz w:val="20"/>
                          <w:i/>
                          <w:iCs/>
                        </w:rPr>
                        <w:t>,
2024-10-07,
paskelbta TAR 2024-10-07, i. k. 2024-17546            </w:t>
                      </w:r>
                    </w:p>
                    <w:p/>
                  </w:sdtContent>
                </w:sdt>
                <w:sdt>
                  <w:sdtPr>
                    <w:alias w:val="13 pr. 9.3 p."/>
                    <w:tag w:val="part_48bda42fb75b4ea79b87139ced7ca5f3"/>
                    <w:lock w:val="sdtLocked"/>
                    <w:richText/>
                  </w:sdtPr>
                  <w:sdtContent>
                    <w:p>
                      <w:pPr>
                        <w:tabs>
                          <w:tab w:val="left" w:pos="0"/>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rPr>
                          <w:color w:val="000000"/>
                        </w:rPr>
                      </w:pPr>
                      <w:sdt>
                        <w:sdtPr>
                          <w:alias w:val="Numeris"/>
                          <w:tag w:val="nr_48bda42fb75b4ea79b87139ced7ca5f3"/>
                          <w:lock w:val="sdtLocked"/>
                          <w:richText/>
                        </w:sdtPr>
                        <w:sdtContent>
                          <w:r>
                            <w:rPr>
                              <w:color w:val="000000"/>
                              <w:szCs w:val="24"/>
                              <w:lang w:eastAsia="lt-LT"/>
                            </w:rPr>
                            <w:t>9.3</w:t>
                          </w:r>
                        </w:sdtContent>
                      </w:sdt>
                      <w:r>
                        <w:rPr>
                          <w:color w:val="000000"/>
                          <w:szCs w:val="24"/>
                          <w:lang w:eastAsia="lt-LT"/>
                        </w:rPr>
                        <w:t xml:space="preserve">. jei reikia, </w:t>
                      </w:r>
                      <w:r>
                        <w:rPr>
                          <w:color w:val="000000"/>
                          <w:szCs w:val="24"/>
                        </w:rPr>
                        <w:t>formą Nr. 027/a „Medicinos dokumentų išrašas/siuntimas“ (toliau – forma Nr. 027/a), patvirtintą Lietuvos Respublikos sveikatos apsaugos ministro 2014 m. sausio 27 d. įsakymu Nr. V-120 „Dėl privalomų sveikatos statistikos apskaitos ir kitų tipinių formų bei privalomų sveikatos statistikos ataskaitų formų patvirtinimo“, išduotą gydytojo psichiatro</w:t>
                      </w:r>
                      <w:r>
                        <w:rPr>
                          <w:color w:val="000000"/>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c1d914846111efabdbb4a1fc8b0b63">
                        <w:r w:rsidRPr="00532B9F">
                          <w:rPr>
                            <w:rFonts w:ascii="Times New Roman" w:eastAsia="MS Mincho" w:hAnsi="Times New Roman"/>
                            <w:sz w:val="20"/>
                            <w:i/>
                            <w:iCs/>
                            <w:color w:val="0000FF" w:themeColor="hyperlink"/>
                            <w:u w:val="single"/>
                          </w:rPr>
                          <w:t>V-966</w:t>
                        </w:r>
                      </w:fldSimple>
                      <w:r>
                        <w:rPr>
                          <w:rFonts w:ascii="Times New Roman" w:eastAsia="MS Mincho" w:hAnsi="Times New Roman"/>
                          <w:sz w:val="20"/>
                          <w:i/>
                          <w:iCs/>
                        </w:rPr>
                        <w:t>,
2024-10-07,
paskelbta TAR 2024-10-07, i. k. 2024-17546            </w:t>
                      </w:r>
                    </w:p>
                    <w:p/>
                  </w:sdtContent>
                </w:sdt>
                <w:sdt>
                  <w:sdtPr>
                    <w:alias w:val="13 pr. 9.4 p."/>
                    <w:tag w:val="part_8c8fcee348574820be1040944d63d890"/>
                    <w:lock w:val="sdtLocked"/>
                    <w:richText/>
                  </w:sdtPr>
                  <w:sdtContent>
                    <w:p>
                      <w:pPr>
                        <w:pStyle w:val="PlainText"/>
                        <w:ind w:firstLine="567"/>
                        <w:jc w:val="both"/>
                        <w:rPr>
                          <w:rFonts w:ascii="Times New Roman" w:hAnsi="Times New Roman"/>
                          <w:b/>
                          <w:bCs/>
                          <w:sz w:val="22"/>
                        </w:rPr>
                      </w:pPr>
                      <w:r>
                        <w:rPr>
                          <w:rFonts w:ascii="Times New Roman" w:hAnsi="Times New Roman"/>
                          <w:sz w:val="22"/>
                        </w:rPr>
                        <w:t>9.4</w:t>
                      </w:r>
                      <w:r>
                        <w:rPr>
                          <w:rFonts w:ascii="Times New Roman" w:hAnsi="Times New Roman"/>
                          <w:sz w:val="22"/>
                        </w:rPr>
                        <w:t>.</w:t>
                      </w:r>
                      <w:r>
                        <w:rPr>
                          <w:rFonts w:ascii="Times New Roman" w:eastAsia="MS Mincho" w:hAnsi="Times New Roman"/>
                          <w:sz w:val="20"/>
                          <w:i/>
                          <w:iCs/>
                        </w:rPr>
                        <w:t xml:space="preserve"> Neteko galios nuo 2021-11-17</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6f3b7046d011ec992fe4cdfceb5666">
                        <w:r w:rsidRPr="00532B9F">
                          <w:rPr>
                            <w:rFonts w:ascii="Times New Roman" w:eastAsia="MS Mincho" w:hAnsi="Times New Roman"/>
                            <w:sz w:val="20"/>
                            <w:i/>
                            <w:iCs/>
                            <w:color w:val="0000FF" w:themeColor="hyperlink"/>
                            <w:u w:val="single"/>
                          </w:rPr>
                          <w:t>V-2596</w:t>
                        </w:r>
                      </w:fldSimple>
                      <w:r>
                        <w:rPr>
                          <w:rFonts w:ascii="Times New Roman" w:eastAsia="MS Mincho" w:hAnsi="Times New Roman"/>
                          <w:sz w:val="20"/>
                          <w:i/>
                          <w:iCs/>
                        </w:rPr>
                        <w:t>,
2021-11-16,
paskelbta TAR 2021-11-16, i. k. 2021-23674        </w:t>
                      </w:r>
                    </w:p>
                    <w:p/>
                  </w:sdtContent>
                </w:sdt>
                <w:sdt>
                  <w:sdtPr>
                    <w:alias w:val="9.5 pp."/>
                    <w:tag w:val="part_c418961bc12249fb98eb0f29c3c15b10"/>
                    <w:lock w:val="sdtLocked"/>
                    <w:richText/>
                  </w:sdtPr>
                  <w:sdtContent>
                    <w:p>
                      <w:pPr>
                        <w:pStyle w:val="PlainText"/>
                        <w:ind w:firstLine="567"/>
                        <w:jc w:val="both"/>
                        <w:rPr>
                          <w:rFonts w:ascii="Times New Roman" w:hAnsi="Times New Roman"/>
                          <w:b/>
                          <w:bCs/>
                          <w:sz w:val="22"/>
                        </w:rPr>
                      </w:pPr>
                      <w:r>
                        <w:rPr>
                          <w:rFonts w:ascii="Times New Roman" w:hAnsi="Times New Roman"/>
                          <w:sz w:val="22"/>
                        </w:rPr>
                        <w:t>9.5</w:t>
                      </w:r>
                      <w:r>
                        <w:rPr>
                          <w:rFonts w:ascii="Times New Roman" w:hAnsi="Times New Roman"/>
                          <w:sz w:val="22"/>
                        </w:rPr>
                        <w:t>.</w:t>
                      </w:r>
                      <w:r>
                        <w:rPr>
                          <w:rFonts w:ascii="Times New Roman" w:eastAsia="MS Mincho" w:hAnsi="Times New Roman"/>
                          <w:sz w:val="20"/>
                          <w:i/>
                          <w:iCs/>
                        </w:rPr>
                        <w:t xml:space="preserve"> Neteko galios nuo 2024-10-08</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c1d914846111efabdbb4a1fc8b0b63">
                        <w:r w:rsidRPr="00532B9F">
                          <w:rPr>
                            <w:rFonts w:ascii="Times New Roman" w:eastAsia="MS Mincho" w:hAnsi="Times New Roman"/>
                            <w:sz w:val="20"/>
                            <w:i/>
                            <w:iCs/>
                            <w:color w:val="0000FF" w:themeColor="hyperlink"/>
                            <w:u w:val="single"/>
                          </w:rPr>
                          <w:t>V-966</w:t>
                        </w:r>
                      </w:fldSimple>
                      <w:r>
                        <w:rPr>
                          <w:rFonts w:ascii="Times New Roman" w:eastAsia="MS Mincho" w:hAnsi="Times New Roman"/>
                          <w:sz w:val="20"/>
                          <w:i/>
                          <w:iCs/>
                        </w:rPr>
                        <w:t>,
2024-10-07,
paskelbta TAR 2024-10-07, i. k. 2024-17546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e619f0322711eabe008ea93139d588">
                        <w:r w:rsidRPr="00532B9F">
                          <w:rPr>
                            <w:rFonts w:ascii="Times New Roman" w:eastAsia="MS Mincho" w:hAnsi="Times New Roman"/>
                            <w:sz w:val="20"/>
                            <w:i/>
                            <w:iCs/>
                            <w:color w:val="0000FF" w:themeColor="hyperlink"/>
                            <w:u w:val="single"/>
                          </w:rPr>
                          <w:t>V-20</w:t>
                        </w:r>
                      </w:fldSimple>
                      <w:r>
                        <w:rPr>
                          <w:rFonts w:ascii="Times New Roman" w:eastAsia="MS Mincho" w:hAnsi="Times New Roman"/>
                          <w:sz w:val="20"/>
                          <w:i/>
                          <w:iCs/>
                        </w:rPr>
                        <w:t>,
2020-01-07,
paskelbta TAR 2020-01-09, i. k. 2020-00251        </w:t>
                      </w:r>
                    </w:p>
                    <w:p/>
                  </w:sdtContent>
                </w:sdt>
              </w:sdtContent>
            </w:sdt>
            <w:sdt>
              <w:sdtPr>
                <w:alias w:val="13 pr. 10 p."/>
                <w:tag w:val="part_ec32ceb8b0e847ab9d3266b313649c3d"/>
                <w:lock w:val="sdtLocked"/>
                <w:richText/>
              </w:sdtPr>
              <w:sdtContent>
                <w:p>
                  <w:pPr>
                    <w:widowControl w:val="0"/>
                    <w:suppressAutoHyphens/>
                    <w:ind w:firstLine="567"/>
                    <w:jc w:val="both"/>
                    <w:rPr>
                      <w:color w:val="000000"/>
                    </w:rPr>
                  </w:pPr>
                  <w:sdt>
                    <w:sdtPr>
                      <w:alias w:val="Numeris"/>
                      <w:tag w:val="nr_ec32ceb8b0e847ab9d3266b313649c3d"/>
                      <w:lock w:val="sdtLocked"/>
                      <w:richText/>
                    </w:sdtPr>
                    <w:sdtContent>
                      <w:r>
                        <w:rPr>
                          <w:color w:val="000000"/>
                          <w:szCs w:val="24"/>
                        </w:rPr>
                        <w:t>10</w:t>
                      </w:r>
                    </w:sdtContent>
                  </w:sdt>
                  <w:r>
                    <w:rPr>
                      <w:color w:val="000000"/>
                      <w:szCs w:val="24"/>
                    </w:rPr>
                    <w:t xml:space="preserve">. Privalomus profilaktinius sveikatos tikrinimus atlieka šeimos medicinos paslaugas teikiantys gydytojai, kurie yra išklausę ne mažiau kaip 36 (trisdešimt šešių) valandų darbo medicinos kursą, kurio programa suderinta su Lietuvos Respublikos sveikatos apsaugos ministerija </w:t>
                  </w:r>
                  <w:r>
                    <w:rPr>
                      <w:color w:val="000000"/>
                      <w:szCs w:val="24"/>
                      <w:lang w:eastAsia="lt-LT"/>
                    </w:rPr>
                    <w:t xml:space="preserve">(šis  reikalavimas netaikomas šeimos gydytojams, baigusiems </w:t>
                  </w:r>
                  <w:r>
                    <w:rPr>
                      <w:szCs w:val="24"/>
                    </w:rPr>
                    <w:t xml:space="preserve">Lietuvos sveikatos mokslų universitetą 2012 m. ir vėliau, bei </w:t>
                  </w:r>
                  <w:r>
                    <w:rPr>
                      <w:color w:val="000000"/>
                      <w:szCs w:val="24"/>
                      <w:lang w:eastAsia="lt-LT"/>
                    </w:rPr>
                    <w:t>šeimos gydytojams, baigusiems</w:t>
                  </w:r>
                  <w:r>
                    <w:rPr>
                      <w:szCs w:val="24"/>
                    </w:rPr>
                    <w:t xml:space="preserve"> Vilniaus universitetą 2005 m. ir vėliau)</w:t>
                  </w:r>
                  <w:r>
                    <w:rPr>
                      <w:color w:val="000000"/>
                      <w:szCs w:val="24"/>
                    </w:rPr>
                    <w:t>, arba darbo medicinos gydytojai, įvertinę paciento sveikatos duomenis Elektroninės sveikatos paslaugų ir bendradarbiavimo infrastruktūros informacinėje sistemoje, privalomai arba prireikus konsultuodamiesi su šiame priede nurodytų kitų profesinių kvalifikacijų gydytojais ir, esant indikacijų, skirdami reikiamus tyrimus: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B1CEBF9C76E">
                    <w:r w:rsidRPr="00532B9F">
                      <w:rPr>
                        <w:rFonts w:ascii="Times New Roman" w:eastAsia="MS Mincho" w:hAnsi="Times New Roman"/>
                        <w:sz w:val="20"/>
                        <w:i/>
                        <w:iCs/>
                        <w:color w:val="0000FF" w:themeColor="hyperlink"/>
                        <w:u w:val="single"/>
                      </w:rPr>
                      <w:t>V-175</w:t>
                    </w:r>
                  </w:fldSimple>
                  <w:r>
                    <w:rPr>
                      <w:rFonts w:ascii="Times New Roman" w:eastAsia="MS Mincho" w:hAnsi="Times New Roman"/>
                      <w:sz w:val="20"/>
                      <w:i/>
                      <w:iCs/>
                    </w:rPr>
                    <w:t>,
2010-03-03,
Žin., 2010, Nr.
27-1235 (2010-03-06), i. k. 1102250ISAK000V-175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BF277448F3E">
                    <w:r w:rsidRPr="00532B9F">
                      <w:rPr>
                        <w:rFonts w:ascii="Times New Roman" w:eastAsia="MS Mincho" w:hAnsi="Times New Roman"/>
                        <w:sz w:val="20"/>
                        <w:i/>
                        <w:iCs/>
                        <w:color w:val="0000FF" w:themeColor="hyperlink"/>
                        <w:u w:val="single"/>
                      </w:rPr>
                      <w:t>V-101</w:t>
                    </w:r>
                  </w:fldSimple>
                  <w:r>
                    <w:rPr>
                      <w:rFonts w:ascii="Times New Roman" w:eastAsia="MS Mincho" w:hAnsi="Times New Roman"/>
                      <w:sz w:val="20"/>
                      <w:i/>
                      <w:iCs/>
                    </w:rPr>
                    <w:t>,
2011-02-03,
Žin., 2011, Nr.
17-816 (2011-02-10), i. k. 1112250ISAK000V-101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6f3b7046d011ec992fe4cdfceb5666">
                    <w:r w:rsidRPr="00532B9F">
                      <w:rPr>
                        <w:rFonts w:ascii="Times New Roman" w:eastAsia="MS Mincho" w:hAnsi="Times New Roman"/>
                        <w:sz w:val="20"/>
                        <w:i/>
                        <w:iCs/>
                        <w:color w:val="0000FF" w:themeColor="hyperlink"/>
                        <w:u w:val="single"/>
                      </w:rPr>
                      <w:t>V-2596</w:t>
                    </w:r>
                  </w:fldSimple>
                  <w:r>
                    <w:rPr>
                      <w:rFonts w:ascii="Times New Roman" w:eastAsia="MS Mincho" w:hAnsi="Times New Roman"/>
                      <w:sz w:val="20"/>
                      <w:i/>
                      <w:iCs/>
                    </w:rPr>
                    <w:t>,
2021-11-16,
paskelbta TAR 2021-11-16, i. k. 2021-23674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0f81cd0e33011ed9978886e85107ab2">
                    <w:r w:rsidRPr="00532B9F">
                      <w:rPr>
                        <w:rFonts w:ascii="Times New Roman" w:eastAsia="MS Mincho" w:hAnsi="Times New Roman"/>
                        <w:sz w:val="20"/>
                        <w:i/>
                        <w:iCs/>
                        <w:color w:val="0000FF" w:themeColor="hyperlink"/>
                        <w:u w:val="single"/>
                      </w:rPr>
                      <w:t>V-506</w:t>
                    </w:r>
                  </w:fldSimple>
                  <w:r>
                    <w:rPr>
                      <w:rFonts w:ascii="Times New Roman" w:eastAsia="MS Mincho" w:hAnsi="Times New Roman"/>
                      <w:sz w:val="20"/>
                      <w:i/>
                      <w:iCs/>
                    </w:rPr>
                    <w:t>,
2023-04-25,
paskelbta TAR 2023-04-25, i. k. 2023-07901            </w:t>
                  </w:r>
                </w:p>
                <w:sdt>
                  <w:sdtPr>
                    <w:alias w:val="13 pr. 10.1 p."/>
                    <w:tag w:val="part_81dd46e298504a81a1a0dab5eee966cc"/>
                    <w:lock w:val="sdtLocked"/>
                    <w:richText/>
                  </w:sdtPr>
                  <w:sdtContent>
                    <w:p>
                      <w:pPr>
                        <w:pStyle w:val="PlainText"/>
                        <w:ind w:firstLine="567"/>
                        <w:jc w:val="both"/>
                        <w:rPr>
                          <w:rFonts w:ascii="Times New Roman" w:hAnsi="Times New Roman"/>
                          <w:b/>
                          <w:bCs/>
                          <w:sz w:val="22"/>
                        </w:rPr>
                      </w:pPr>
                      <w:r>
                        <w:rPr>
                          <w:rFonts w:ascii="Times New Roman" w:hAnsi="Times New Roman"/>
                          <w:sz w:val="22"/>
                        </w:rPr>
                        <w:t>10.1</w:t>
                      </w:r>
                      <w:r>
                        <w:rPr>
                          <w:rFonts w:ascii="Times New Roman" w:hAnsi="Times New Roman"/>
                          <w:sz w:val="22"/>
                        </w:rPr>
                        <w:t>.</w:t>
                      </w:r>
                      <w:r>
                        <w:rPr>
                          <w:rFonts w:ascii="Times New Roman" w:eastAsia="MS Mincho" w:hAnsi="Times New Roman"/>
                          <w:sz w:val="20"/>
                          <w:i/>
                          <w:iCs/>
                        </w:rPr>
                        <w:t xml:space="preserve"> Neteko galios nuo 2021-11-17</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6f3b7046d011ec992fe4cdfceb5666">
                        <w:r w:rsidRPr="00532B9F">
                          <w:rPr>
                            <w:rFonts w:ascii="Times New Roman" w:eastAsia="MS Mincho" w:hAnsi="Times New Roman"/>
                            <w:sz w:val="20"/>
                            <w:i/>
                            <w:iCs/>
                            <w:color w:val="0000FF" w:themeColor="hyperlink"/>
                            <w:u w:val="single"/>
                          </w:rPr>
                          <w:t>V-2596</w:t>
                        </w:r>
                      </w:fldSimple>
                      <w:r>
                        <w:rPr>
                          <w:rFonts w:ascii="Times New Roman" w:eastAsia="MS Mincho" w:hAnsi="Times New Roman"/>
                          <w:sz w:val="20"/>
                          <w:i/>
                          <w:iCs/>
                        </w:rPr>
                        <w:t>,
2021-11-16,
paskelbta TAR 2021-11-16, i. k. 2021-23674        </w:t>
                      </w:r>
                    </w:p>
                    <w:p/>
                  </w:sdtContent>
                </w:sdt>
                <w:sdt>
                  <w:sdtPr>
                    <w:alias w:val="13 pr. 10.2 p."/>
                    <w:tag w:val="part_a65127d43b924d68928beace3d0e578e"/>
                    <w:lock w:val="sdtLocked"/>
                    <w:richText/>
                  </w:sdtPr>
                  <w:sdtContent>
                    <w:p>
                      <w:pPr>
                        <w:tabs>
                          <w:tab w:val="left" w:pos="0"/>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rPr>
                          <w:color w:val="000000"/>
                        </w:rPr>
                      </w:pPr>
                      <w:sdt>
                        <w:sdtPr>
                          <w:alias w:val="Numeris"/>
                          <w:tag w:val="nr_a65127d43b924d68928beace3d0e578e"/>
                          <w:lock w:val="sdtLocked"/>
                          <w:richText/>
                        </w:sdtPr>
                        <w:sdtContent>
                          <w:r>
                            <w:rPr>
                              <w:color w:val="000000"/>
                              <w:szCs w:val="24"/>
                            </w:rPr>
                            <w:t>10.2</w:t>
                          </w:r>
                        </w:sdtContent>
                      </w:sdt>
                      <w:r>
                        <w:rPr>
                          <w:color w:val="000000"/>
                          <w:szCs w:val="24"/>
                        </w:rPr>
                        <w:t xml:space="preserve">. Formą Nr. 027/a pildydamas gydytojas psichiatras nurodo, kad nėra įregistruota asmeniui teiktų sveikatos priežiūros paslaugų arba nurodomos suteiktos asmens sveikatos priežiūros paslaugos. Pasirašyta forma Nr. 027/a turi būti patvirtinta gydytojo asmeniniu spaudu bei ASPĮ antspaudu. Paciento psichikos sveikatą tikrina </w:t>
                      </w:r>
                      <w:r>
                        <w:rPr>
                          <w:color w:val="000000"/>
                          <w:spacing w:val="2"/>
                          <w:szCs w:val="24"/>
                        </w:rPr>
                        <w:t xml:space="preserve">gydytojas psichiatras, dirbantis paciento pasirinktoje ASPĮ, teikiančioje pirmines ambulatorines psichikos sveikatos priežiūros paslaugas (psichikos sveikatos centre, prie kurio jis yra prisirašęs arba kuriam, kaip aptarnaujančiam </w:t>
                      </w:r>
                      <w:r>
                        <w:rPr>
                          <w:color w:val="000000"/>
                          <w:szCs w:val="24"/>
                        </w:rPr>
                        <w:t xml:space="preserve">ASPĮ, </w:t>
                      </w:r>
                      <w:r>
                        <w:rPr>
                          <w:color w:val="000000"/>
                          <w:spacing w:val="2"/>
                          <w:szCs w:val="24"/>
                        </w:rPr>
                        <w:t>prie kurios jis yra prisirašęs, yra priskirtas)</w:t>
                      </w:r>
                      <w:r>
                        <w:rPr>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c1d914846111efabdbb4a1fc8b0b63">
                        <w:r w:rsidRPr="00532B9F">
                          <w:rPr>
                            <w:rFonts w:ascii="Times New Roman" w:eastAsia="MS Mincho" w:hAnsi="Times New Roman"/>
                            <w:sz w:val="20"/>
                            <w:i/>
                            <w:iCs/>
                            <w:color w:val="0000FF" w:themeColor="hyperlink"/>
                            <w:u w:val="single"/>
                          </w:rPr>
                          <w:t>V-966</w:t>
                        </w:r>
                      </w:fldSimple>
                      <w:r>
                        <w:rPr>
                          <w:rFonts w:ascii="Times New Roman" w:eastAsia="MS Mincho" w:hAnsi="Times New Roman"/>
                          <w:sz w:val="20"/>
                          <w:i/>
                          <w:iCs/>
                        </w:rPr>
                        <w:t>,
2024-10-07,
paskelbta TAR 2024-10-07, i. k. 2024-17546            </w:t>
                      </w:r>
                    </w:p>
                    <w:p/>
                  </w:sdtContent>
                </w:sdt>
                <w:sdt>
                  <w:sdtPr>
                    <w:alias w:val="13 pr. 10.3 p."/>
                    <w:tag w:val="part_22774cdfd4af40a9b6eadb1ddc0597ed"/>
                    <w:lock w:val="sdtLocked"/>
                    <w:richText/>
                  </w:sdtPr>
                  <w:sdtContent>
                    <w:p>
                      <w:pPr>
                        <w:widowControl w:val="0"/>
                        <w:suppressAutoHyphens/>
                        <w:ind w:firstLine="567"/>
                        <w:jc w:val="both"/>
                        <w:rPr>
                          <w:color w:val="000000"/>
                        </w:rPr>
                      </w:pPr>
                      <w:sdt>
                        <w:sdtPr>
                          <w:alias w:val="Numeris"/>
                          <w:tag w:val="nr_22774cdfd4af40a9b6eadb1ddc0597ed"/>
                          <w:lock w:val="sdtLocked"/>
                          <w:richText/>
                        </w:sdtPr>
                        <w:sdtContent>
                          <w:r>
                            <w:rPr>
                              <w:color w:val="000000"/>
                            </w:rPr>
                            <w:t>10.3</w:t>
                          </w:r>
                        </w:sdtContent>
                      </w:sdt>
                      <w:r>
                        <w:rPr>
                          <w:color w:val="000000"/>
                        </w:rPr>
                        <w:t>. tikrinantis sveikatą bet kurios profesinės kvalifikacijos ir šeimos medicinos paslaugas teikiantis arba darbo medicinos gydytojas gali kreiptis informacijos apie paciento sveikatos būklę į kitą ASPĮ, o pastarosios tokią informaciją privalo teikti galiojančių teisės aktų nustatyta tvarka;</w:t>
                      </w:r>
                    </w:p>
                  </w:sdtContent>
                </w:sdt>
                <w:sdt>
                  <w:sdtPr>
                    <w:alias w:val="13 pr. 10.4 p."/>
                    <w:tag w:val="part_6f6426ca9d53490dba3127077b716561"/>
                    <w:lock w:val="sdtLocked"/>
                    <w:richText/>
                  </w:sdtPr>
                  <w:sdtContent>
                    <w:p>
                      <w:pPr>
                        <w:widowControl w:val="0"/>
                        <w:suppressAutoHyphens/>
                        <w:ind w:firstLine="567"/>
                        <w:jc w:val="both"/>
                        <w:rPr>
                          <w:color w:val="000000"/>
                        </w:rPr>
                      </w:pPr>
                      <w:sdt>
                        <w:sdtPr>
                          <w:alias w:val="Numeris"/>
                          <w:tag w:val="nr_6f6426ca9d53490dba3127077b716561"/>
                          <w:lock w:val="sdtLocked"/>
                          <w:richText/>
                        </w:sdtPr>
                        <w:sdtContent>
                          <w:r>
                            <w:rPr>
                              <w:color w:val="000000"/>
                            </w:rPr>
                            <w:t>10.4</w:t>
                          </w:r>
                        </w:sdtContent>
                      </w:sdt>
                      <w:r>
                        <w:rPr>
                          <w:color w:val="000000"/>
                        </w:rPr>
                        <w:t>. šeimos medicinos paslaugas teikiantis arba darbo medicinos gydytojas, įvertinęs tyrimų rezultatus, konsultavusių kitų profesinių kvalifikacijų gydytojų išvadas bei kontraindikacijas, nurodytas šio Aprašo III skyriuje ir 1, 2 lentelėse, daro išvadą apie asmens profesinį tinkamumą.</w:t>
                      </w:r>
                    </w:p>
                  </w:sdtContent>
                </w:sdt>
              </w:sdtContent>
            </w:sdt>
            <w:sdt>
              <w:sdtPr>
                <w:alias w:val="13 pr. 11 p."/>
                <w:tag w:val="part_969a7b4f91f74f4da923f3504c7e3d30"/>
                <w:lock w:val="sdtLocked"/>
                <w:richText/>
              </w:sdtPr>
              <w:sdtContent>
                <w:p>
                  <w:pPr>
                    <w:tabs>
                      <w:tab w:val="left" w:pos="0"/>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rPr>
                      <w:color w:val="000000"/>
                    </w:rPr>
                  </w:pPr>
                  <w:sdt>
                    <w:sdtPr>
                      <w:alias w:val="Numeris"/>
                      <w:tag w:val="nr_969a7b4f91f74f4da923f3504c7e3d30"/>
                      <w:lock w:val="sdtLocked"/>
                      <w:richText/>
                    </w:sdtPr>
                    <w:sdtContent>
                      <w:r>
                        <w:rPr>
                          <w:color w:val="000000"/>
                          <w:szCs w:val="24"/>
                        </w:rPr>
                        <w:t>11</w:t>
                      </w:r>
                    </w:sdtContent>
                  </w:sdt>
                  <w:r>
                    <w:rPr>
                      <w:color w:val="000000"/>
                      <w:szCs w:val="24"/>
                    </w:rPr>
                    <w:t>. Sveikatos tikrinimo ir tyrimų duomenis bei išvadą dėl profesinio tinkamumo kiekvienas tikrinantis sveikatą gydytojas įrašo į formą Nr. E025.</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c1d914846111efabdbb4a1fc8b0b63">
                    <w:r w:rsidRPr="00532B9F">
                      <w:rPr>
                        <w:rFonts w:ascii="Times New Roman" w:eastAsia="MS Mincho" w:hAnsi="Times New Roman"/>
                        <w:sz w:val="20"/>
                        <w:i/>
                        <w:iCs/>
                        <w:color w:val="0000FF" w:themeColor="hyperlink"/>
                        <w:u w:val="single"/>
                      </w:rPr>
                      <w:t>V-966</w:t>
                    </w:r>
                  </w:fldSimple>
                  <w:r>
                    <w:rPr>
                      <w:rFonts w:ascii="Times New Roman" w:eastAsia="MS Mincho" w:hAnsi="Times New Roman"/>
                      <w:sz w:val="20"/>
                      <w:i/>
                      <w:iCs/>
                    </w:rPr>
                    <w:t>,
2024-10-07,
paskelbta TAR 2024-10-07, i. k. 2024-17546            </w:t>
                  </w:r>
                </w:p>
                <w:p/>
              </w:sdtContent>
            </w:sdt>
            <w:sdt>
              <w:sdtPr>
                <w:alias w:val="13 pr. 12 p."/>
                <w:tag w:val="part_e6017dafec2b42bc9b6528846b8eab89"/>
                <w:lock w:val="sdtLocked"/>
                <w:richText/>
              </w:sdtPr>
              <w:sdtContent>
                <w:p>
                  <w:pPr>
                    <w:tabs>
                      <w:tab w:val="left" w:pos="0"/>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rPr>
                      <w:color w:val="000000"/>
                    </w:rPr>
                  </w:pPr>
                  <w:sdt>
                    <w:sdtPr>
                      <w:alias w:val="Numeris"/>
                      <w:tag w:val="nr_e6017dafec2b42bc9b6528846b8eab89"/>
                      <w:lock w:val="sdtLocked"/>
                      <w:richText/>
                    </w:sdtPr>
                    <w:sdtContent>
                      <w:r>
                        <w:rPr>
                          <w:color w:val="000000"/>
                          <w:szCs w:val="24"/>
                        </w:rPr>
                        <w:t>12</w:t>
                      </w:r>
                    </w:sdtContent>
                  </w:sdt>
                  <w:r>
                    <w:rPr>
                      <w:color w:val="000000"/>
                      <w:szCs w:val="24"/>
                    </w:rPr>
                    <w:t>. Išvadą dėl darbuotojo profesinio tinkamumo („dirbti gali“ „dirbti gali, bet ribotai“ (nurodant, kaip), „dirbti negali“) įsidarbinančiam – į formą Nr. 047/a (ar formą Nr. E047), dirbančiajam – į formą Nr. 048/a (ar formą Nr. E048) įrašo Aprašo 10.4 papunktyje nurodytas gydytojas.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c1d914846111efabdbb4a1fc8b0b63">
                    <w:r w:rsidRPr="00532B9F">
                      <w:rPr>
                        <w:rFonts w:ascii="Times New Roman" w:eastAsia="MS Mincho" w:hAnsi="Times New Roman"/>
                        <w:sz w:val="20"/>
                        <w:i/>
                        <w:iCs/>
                        <w:color w:val="0000FF" w:themeColor="hyperlink"/>
                        <w:u w:val="single"/>
                      </w:rPr>
                      <w:t>V-966</w:t>
                    </w:r>
                  </w:fldSimple>
                  <w:r>
                    <w:rPr>
                      <w:rFonts w:ascii="Times New Roman" w:eastAsia="MS Mincho" w:hAnsi="Times New Roman"/>
                      <w:sz w:val="20"/>
                      <w:i/>
                      <w:iCs/>
                    </w:rPr>
                    <w:t>,
2024-10-07,
paskelbta TAR 2024-10-07, i. k. 2024-17546            </w:t>
                  </w:r>
                </w:p>
                <w:p/>
              </w:sdtContent>
            </w:sdt>
            <w:sdt>
              <w:sdtPr>
                <w:alias w:val="13 pr. 13 p."/>
                <w:tag w:val="part_f7d9d10e0ed54428982d701534bc7025"/>
                <w:lock w:val="sdtLocked"/>
                <w:richText/>
              </w:sdtPr>
              <w:sdtContent>
                <w:p>
                  <w:pPr>
                    <w:widowControl w:val="0"/>
                    <w:suppressAutoHyphens/>
                    <w:ind w:firstLine="567"/>
                    <w:jc w:val="both"/>
                    <w:rPr>
                      <w:color w:val="000000"/>
                    </w:rPr>
                  </w:pPr>
                  <w:sdt>
                    <w:sdtPr>
                      <w:alias w:val="Numeris"/>
                      <w:tag w:val="nr_f7d9d10e0ed54428982d701534bc7025"/>
                      <w:lock w:val="sdtLocked"/>
                      <w:richText/>
                    </w:sdtPr>
                    <w:sdtContent>
                      <w:r>
                        <w:rPr>
                          <w:color w:val="000000"/>
                        </w:rPr>
                        <w:t>13</w:t>
                      </w:r>
                    </w:sdtContent>
                  </w:sdt>
                  <w:r>
                    <w:rPr>
                      <w:color w:val="000000"/>
                    </w:rPr>
                    <w:t>. Tikrinamiesiems dėl darbo su asbestu ir (ar) asbesto turinčiais produktais bei pavojingomis kancerogeninėmis, mutageninėmis medžiagomis ir preparatais gydytojas turi nurodyti, kad medicininė priežiūra turi būti tęsiama ir pasibaigus jų poveikiui.</w:t>
                  </w:r>
                </w:p>
              </w:sdtContent>
            </w:sdt>
            <w:sdt>
              <w:sdtPr>
                <w:alias w:val="13 pr. 14 p."/>
                <w:tag w:val="part_57d9d70244934bd282542798d790af49"/>
                <w:lock w:val="sdtLocked"/>
                <w:richText/>
              </w:sdtPr>
              <w:sdtContent>
                <w:p>
                  <w:pPr>
                    <w:widowControl w:val="0"/>
                    <w:suppressAutoHyphens/>
                    <w:ind w:firstLine="567"/>
                    <w:jc w:val="both"/>
                    <w:rPr>
                      <w:color w:val="000000"/>
                    </w:rPr>
                  </w:pPr>
                  <w:sdt>
                    <w:sdtPr>
                      <w:alias w:val="Numeris"/>
                      <w:tag w:val="nr_57d9d70244934bd282542798d790af49"/>
                      <w:lock w:val="sdtLocked"/>
                      <w:richText/>
                    </w:sdtPr>
                    <w:sdtContent>
                      <w:r>
                        <w:rPr>
                          <w:color w:val="000000"/>
                        </w:rPr>
                        <w:t>14</w:t>
                      </w:r>
                    </w:sdtContent>
                  </w:sdt>
                  <w:r>
                    <w:rPr>
                      <w:color w:val="000000"/>
                    </w:rPr>
                    <w:t>. Darbuotojų, dirbančių su asbestu ir (ar) asbesto turinčiais produktais, pavojingomis kancerogeninėmis, mutageninėmis medžiagomis ir preparatais sveikatos tikrinimo ir tyrimo duomenys turi būti saugomi ne mažiau kaip 40 metų baigus dirbti su asbestu ir (ar) asbesto turinčiais produktais bei pavojingomis kancerogeninėmis, mutageninėmis medžiagomis ir preparatais.</w:t>
                  </w:r>
                </w:p>
              </w:sdtContent>
            </w:sdt>
            <w:sdt>
              <w:sdtPr>
                <w:alias w:val="13 pr. 15 p."/>
                <w:tag w:val="part_d06974d490d44256973f10c2e9473188"/>
                <w:lock w:val="sdtLocked"/>
                <w:richText/>
              </w:sdtPr>
              <w:sdtContent>
                <w:p>
                  <w:pPr>
                    <w:widowControl w:val="0"/>
                    <w:suppressAutoHyphens/>
                    <w:ind w:firstLine="567"/>
                    <w:jc w:val="both"/>
                    <w:rPr>
                      <w:color w:val="000000"/>
                    </w:rPr>
                  </w:pPr>
                  <w:sdt>
                    <w:sdtPr>
                      <w:alias w:val="Numeris"/>
                      <w:tag w:val="nr_d06974d490d44256973f10c2e9473188"/>
                      <w:lock w:val="sdtLocked"/>
                      <w:richText/>
                    </w:sdtPr>
                    <w:sdtContent>
                      <w:r>
                        <w:rPr>
                          <w:color w:val="000000"/>
                        </w:rPr>
                        <w:t>15</w:t>
                      </w:r>
                    </w:sdtContent>
                  </w:sdt>
                  <w:r>
                    <w:rPr>
                      <w:color w:val="000000"/>
                    </w:rPr>
                    <w:t>. Darbuotojų, dirbančių su jonizuojančiosios spinduliuotės šaltiniais, sveikatos tikrinimo ir tyrimo duomenys bei įrašai apie tinkamumą dirbti turi būti saugomi visą darbuotojo veiklos laikotarpį ir jam pasibaigus tol, kol darbuotojui sukaks (arba turi sukakti) 75 metai, taip pat – ne mažiau kaip 30 metų baigus dirbti su jonizuojančiosios spinduliuotės šaltiniais.</w:t>
                  </w:r>
                </w:p>
              </w:sdtContent>
            </w:sdt>
            <w:sdt>
              <w:sdtPr>
                <w:alias w:val="13 pr. 16 p."/>
                <w:tag w:val="part_eb291956967e46549038a277e255779f"/>
                <w:lock w:val="sdtLocked"/>
                <w:richText/>
              </w:sdtPr>
              <w:sdtContent>
                <w:p>
                  <w:pPr>
                    <w:tabs>
                      <w:tab w:val="left" w:pos="0"/>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rPr>
                      <w:color w:val="000000"/>
                    </w:rPr>
                  </w:pPr>
                  <w:sdt>
                    <w:sdtPr>
                      <w:alias w:val="Numeris"/>
                      <w:tag w:val="nr_eb291956967e46549038a277e255779f"/>
                      <w:lock w:val="sdtLocked"/>
                      <w:richText/>
                    </w:sdtPr>
                    <w:sdtContent>
                      <w:r>
                        <w:rPr>
                          <w:color w:val="000000"/>
                          <w:szCs w:val="24"/>
                        </w:rPr>
                        <w:t>16</w:t>
                      </w:r>
                    </w:sdtContent>
                  </w:sdt>
                  <w:r>
                    <w:rPr>
                      <w:color w:val="000000"/>
                      <w:szCs w:val="24"/>
                    </w:rPr>
                    <w:t>. Gydytojas, nurodytas Aprašo 10.4 papunktyje, pacientui praneša apie su juo asmeniškai susijusius jo profilaktinio sveikatos tikrinimo rezultatus, taip pat informuoja ir pataria, koks sveikatos tikrinimas reikalingas jam, pasibaigus kenksmingo rizikos veiksnio poveikiui. Gydytojas įrašo į formą Nr. E025, kad suteikė pacientui informaciją, ir nurodo</w:t>
                  </w:r>
                  <w:r>
                    <w:rPr>
                      <w:b/>
                      <w:bCs/>
                      <w:color w:val="000000"/>
                      <w:szCs w:val="24"/>
                    </w:rPr>
                    <w:t>,</w:t>
                  </w:r>
                  <w:r>
                    <w:rPr>
                      <w:color w:val="000000"/>
                      <w:szCs w:val="24"/>
                    </w:rPr>
                    <w:t xml:space="preserve"> kokią.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c1d914846111efabdbb4a1fc8b0b63">
                    <w:r w:rsidRPr="00532B9F">
                      <w:rPr>
                        <w:rFonts w:ascii="Times New Roman" w:eastAsia="MS Mincho" w:hAnsi="Times New Roman"/>
                        <w:sz w:val="20"/>
                        <w:i/>
                        <w:iCs/>
                        <w:color w:val="0000FF" w:themeColor="hyperlink"/>
                        <w:u w:val="single"/>
                      </w:rPr>
                      <w:t>V-966</w:t>
                    </w:r>
                  </w:fldSimple>
                  <w:r>
                    <w:rPr>
                      <w:rFonts w:ascii="Times New Roman" w:eastAsia="MS Mincho" w:hAnsi="Times New Roman"/>
                      <w:sz w:val="20"/>
                      <w:i/>
                      <w:iCs/>
                    </w:rPr>
                    <w:t>,
2024-10-07,
paskelbta TAR 2024-10-07, i. k. 2024-17546            </w:t>
                  </w:r>
                </w:p>
                <w:p/>
              </w:sdtContent>
            </w:sdt>
            <w:sdt>
              <w:sdtPr>
                <w:alias w:val="13 pr. 17 p."/>
                <w:tag w:val="part_215ed7b52a1044edae884ba078e5063f"/>
                <w:lock w:val="sdtLocked"/>
                <w:richText/>
              </w:sdtPr>
              <w:sdtContent>
                <w:p>
                  <w:pPr>
                    <w:widowControl w:val="0"/>
                    <w:suppressAutoHyphens/>
                    <w:ind w:firstLine="567"/>
                    <w:jc w:val="both"/>
                    <w:rPr>
                      <w:color w:val="000000"/>
                    </w:rPr>
                  </w:pPr>
                  <w:sdt>
                    <w:sdtPr>
                      <w:alias w:val="Numeris"/>
                      <w:tag w:val="nr_215ed7b52a1044edae884ba078e5063f"/>
                      <w:lock w:val="sdtLocked"/>
                      <w:richText/>
                    </w:sdtPr>
                    <w:sdtContent>
                      <w:r>
                        <w:rPr>
                          <w:color w:val="000000"/>
                        </w:rPr>
                        <w:t>17</w:t>
                      </w:r>
                    </w:sdtContent>
                  </w:sdt>
                  <w:r>
                    <w:rPr>
                      <w:color w:val="000000"/>
                    </w:rPr>
                    <w:t>. Gydytojas, nurodytas Aprašo 10.4. punkte, ar už sveikatos priežiūrą atsakinga ASPĮ, ar darbuotojų saugos ir sveikatos tarnyba gali pasiūlyti darbdaviui atstovaujančiam ar jo įgaliotam asmeniui siųsti darbuotoją neeilinio sveikatos tikrinimo. Darbdaviui atstovaujantis ar jo įgaliotas asmuo privalo pasirūpinti, kad būtų atliekamas to darbuotojo ir bet kurio kito darbuotojo, kuris patyrė panašų poveikį, sveikatos patikrinimas:</w:t>
                  </w:r>
                </w:p>
                <w:sdt>
                  <w:sdtPr>
                    <w:alias w:val="13 pr. 17.1 p."/>
                    <w:tag w:val="part_9bfaf8fceec64882ba793ce1c455e0da"/>
                    <w:lock w:val="sdtLocked"/>
                    <w:richText/>
                  </w:sdtPr>
                  <w:sdtContent>
                    <w:p>
                      <w:pPr>
                        <w:widowControl w:val="0"/>
                        <w:suppressAutoHyphens/>
                        <w:ind w:firstLine="567"/>
                        <w:jc w:val="both"/>
                        <w:rPr>
                          <w:color w:val="000000"/>
                        </w:rPr>
                      </w:pPr>
                      <w:sdt>
                        <w:sdtPr>
                          <w:alias w:val="Numeris"/>
                          <w:tag w:val="nr_9bfaf8fceec64882ba793ce1c455e0da"/>
                          <w:lock w:val="sdtLocked"/>
                          <w:richText/>
                        </w:sdtPr>
                        <w:sdtContent>
                          <w:r>
                            <w:rPr>
                              <w:color w:val="000000"/>
                            </w:rPr>
                            <w:t>17.1</w:t>
                          </w:r>
                        </w:sdtContent>
                      </w:sdt>
                      <w:r>
                        <w:rPr>
                          <w:color w:val="000000"/>
                        </w:rPr>
                        <w:t xml:space="preserve">. jei nustatoma rizika darbuotojų sveikatai, vadovaujantis Lietuvos Respublikos socialinės apsaugos ir darbo ministro ir Lietuvos Respublikos sveikatos apsaugos ministro 2001 m. liepos 24 d. įsakymu Nr. 97/406 V-1025 „Dėl Darbuotojų apsaugos nuo cheminių veiksnių darbe nuostatų bei darbuotojų apsaugos nuo kancerogenų ir mutagenų poveikio darbe nuostatų patvirtinimo“ (Žin., 2001, Nr. </w:t>
                      </w:r>
                      <w:hyperlink r:id="rId64" w:tgtFrame="_blank" w:history="1">
                        <w:r>
                          <w:rPr>
                            <w:color w:val="0000FF" w:themeColor="hyperlink"/>
                            <w:u w:val="single"/>
                          </w:rPr>
                          <w:t>65-2396</w:t>
                        </w:r>
                      </w:hyperlink>
                      <w:r>
                        <w:rPr>
                          <w:color w:val="000000"/>
                        </w:rPr>
                        <w:t>);</w:t>
                      </w:r>
                    </w:p>
                  </w:sdtContent>
                </w:sdt>
                <w:sdt>
                  <w:sdtPr>
                    <w:alias w:val="13 pr. 17.2 p."/>
                    <w:tag w:val="part_4fb737dfe0a34e1db3ba3f6c9ffef544"/>
                    <w:lock w:val="sdtLocked"/>
                    <w:richText/>
                  </w:sdtPr>
                  <w:sdtContent>
                    <w:p>
                      <w:pPr>
                        <w:widowControl w:val="0"/>
                        <w:suppressAutoHyphens/>
                        <w:ind w:firstLine="567"/>
                        <w:jc w:val="both"/>
                        <w:rPr>
                          <w:color w:val="000000"/>
                        </w:rPr>
                      </w:pPr>
                      <w:sdt>
                        <w:sdtPr>
                          <w:alias w:val="Numeris"/>
                          <w:tag w:val="nr_4fb737dfe0a34e1db3ba3f6c9ffef544"/>
                          <w:lock w:val="sdtLocked"/>
                          <w:richText/>
                        </w:sdtPr>
                        <w:sdtContent>
                          <w:r>
                            <w:rPr>
                              <w:color w:val="000000"/>
                            </w:rPr>
                            <w:t>17.2</w:t>
                          </w:r>
                        </w:sdtContent>
                      </w:sdt>
                      <w:r>
                        <w:rPr>
                          <w:color w:val="000000"/>
                        </w:rPr>
                        <w:t xml:space="preserve">. jei nustatoma, kad dirbtinės optinės spinduliuotės veikimas viršija ribines vertes, jeigu Lietuvos Respublikos socialinės apsaugos ir darbo ministro ir Lietuvos Respublikos sveikatos apsaugos ministro 2007 m. gruodžio 14 d. įsakymu Nr. A1-366/V-1025 „Dėl darbuotojų apsaugos nuo dirbtinės optinės spinduliuotės keliamos rizikos nuostatų patvirtinimo“ (Žin., 2007, Nr. </w:t>
                      </w:r>
                      <w:hyperlink r:id="rId65" w:tgtFrame="_blank" w:history="1">
                        <w:r>
                          <w:rPr>
                            <w:color w:val="0000FF" w:themeColor="hyperlink"/>
                            <w:u w:val="single"/>
                          </w:rPr>
                          <w:t>136-5540</w:t>
                        </w:r>
                      </w:hyperlink>
                      <w:r>
                        <w:rPr>
                          <w:color w:val="000000"/>
                        </w:rPr>
                        <w:t>) numatyto įvertinimo ir matavimo rezultatai rodo riziką sveikatai ar nustatomas neigiamas poveikis sveikatai (įskaitant ligas ir sveikatos problemas), jei gydytojas, nurodytas 10.4. punkte, nusprendžia, kad to priežastis – dirbtinės optinės spinduliuotės poveikis darbe;</w:t>
                      </w:r>
                    </w:p>
                  </w:sdtContent>
                </w:sdt>
                <w:sdt>
                  <w:sdtPr>
                    <w:alias w:val="13 pr. 17.3 p."/>
                    <w:tag w:val="part_22ed9193e9b04a2584cb896fabcb2248"/>
                    <w:lock w:val="sdtLocked"/>
                    <w:richText/>
                  </w:sdtPr>
                  <w:sdtContent>
                    <w:p>
                      <w:pPr>
                        <w:widowControl w:val="0"/>
                        <w:suppressAutoHyphens/>
                        <w:ind w:firstLine="567"/>
                        <w:jc w:val="both"/>
                        <w:rPr>
                          <w:color w:val="000000"/>
                        </w:rPr>
                      </w:pPr>
                      <w:sdt>
                        <w:sdtPr>
                          <w:alias w:val="Numeris"/>
                          <w:tag w:val="nr_22ed9193e9b04a2584cb896fabcb2248"/>
                          <w:lock w:val="sdtLocked"/>
                          <w:richText/>
                        </w:sdtPr>
                        <w:sdtContent>
                          <w:r>
                            <w:rPr>
                              <w:color w:val="000000"/>
                            </w:rPr>
                            <w:t>17.3</w:t>
                          </w:r>
                        </w:sdtContent>
                      </w:sdt>
                      <w:r>
                        <w:rPr>
                          <w:color w:val="000000"/>
                        </w:rPr>
                        <w:t xml:space="preserve">. jei nustatoma, kad darbuotoją veikia triukšmas, viršijantis kasdienio triukšmo viršutinę ekspozicijos vertę, jis turi teisę, kad jo (jos) klausą patikrintų gydytojas otorinolaringologas. Profilaktinė audiometrija taip pat taikoma darbuotojams, kuriuos veikiantis triukšmas viršija kasdienio triukšmo žemutinę ekspozicijos vertę, jeigu Lietuvos Respublikos socialinės apsaugos ir darbo ministro ir Lietuvos Respublikos sveikatos apsaugos ministro 2005 m. balandžio 15 d. įsakymu Nr. A1-103/V-265 „Dėl darbuotojų apsaugos nuo triukšmo keliamos rizikos nuostatų patvirtinimo“ (Žin., 2005, Nr. </w:t>
                      </w:r>
                      <w:hyperlink r:id="rId66" w:tgtFrame="_blank" w:history="1">
                        <w:r>
                          <w:rPr>
                            <w:color w:val="0000FF" w:themeColor="hyperlink"/>
                            <w:u w:val="single"/>
                          </w:rPr>
                          <w:t>53-1804</w:t>
                        </w:r>
                      </w:hyperlink>
                      <w:r>
                        <w:rPr>
                          <w:color w:val="000000"/>
                        </w:rPr>
                        <w:t>) numatyto įvertinimo ir matavimo rezultatai rodo riziką sveikatai. Tokio patikrinimo tikslas yra anksti diagnozuoti galimą klausos praradimą dėl triukšmo ir išsaugoti klausą;</w:t>
                      </w:r>
                    </w:p>
                  </w:sdtContent>
                </w:sdt>
                <w:sdt>
                  <w:sdtPr>
                    <w:alias w:val="13 pr. 17.4 p."/>
                    <w:tag w:val="part_91f52745d0b24fe6bca5366c9f17366d"/>
                    <w:lock w:val="sdtLocked"/>
                    <w:richText/>
                  </w:sdtPr>
                  <w:sdtContent>
                    <w:p>
                      <w:pPr>
                        <w:widowControl w:val="0"/>
                        <w:suppressAutoHyphens/>
                        <w:ind w:firstLine="567"/>
                        <w:jc w:val="both"/>
                        <w:rPr>
                          <w:color w:val="000000"/>
                        </w:rPr>
                      </w:pPr>
                      <w:sdt>
                        <w:sdtPr>
                          <w:alias w:val="Numeris"/>
                          <w:tag w:val="nr_91f52745d0b24fe6bca5366c9f17366d"/>
                          <w:lock w:val="sdtLocked"/>
                          <w:richText/>
                        </w:sdtPr>
                        <w:sdtContent>
                          <w:r>
                            <w:rPr>
                              <w:color w:val="000000"/>
                            </w:rPr>
                            <w:t>17.4</w:t>
                          </w:r>
                        </w:sdtContent>
                      </w:sdt>
                      <w:r>
                        <w:rPr>
                          <w:color w:val="000000"/>
                        </w:rPr>
                        <w:t xml:space="preserve">. jei mechaninės vibracijos poveikis darbuotojui yra toks, kad dėl jo gali pasireikšti liga ar kenksmingi sveikatai padariniai, ar tikėtina, kad liga ar kenksmingi sveikatai padariniai pasireiškia esant konkrečioms darbuotojo darbo sąlygoms, bet kuriuo atveju, jeigu nustatoma, kad darbuotojus veikia vibracija, kurios veikimo vertės viršija Lietuvos Respublikos socialinės apsaugos ir darbo ministro ir Lietuvos Respublikos sveikatos apsaugos ministro 2004 m. kovo 2 d. įsakymu Nr. A1-55/V-91 „Dėl darbuotojų apsaugos nuo vibracijos keliamos rizikos nuostatų patvirtinimo“ (Žin., 2004, Nr. </w:t>
                      </w:r>
                      <w:hyperlink r:id="rId67" w:tgtFrame="_blank" w:history="1">
                        <w:r>
                          <w:rPr>
                            <w:color w:val="0000FF" w:themeColor="hyperlink"/>
                            <w:u w:val="single"/>
                          </w:rPr>
                          <w:t>41-1350</w:t>
                        </w:r>
                      </w:hyperlink>
                      <w:r>
                        <w:rPr>
                          <w:color w:val="000000"/>
                        </w:rPr>
                        <w:t>) nustatytas vertes;</w:t>
                      </w:r>
                    </w:p>
                  </w:sdtContent>
                </w:sdt>
                <w:sdt>
                  <w:sdtPr>
                    <w:alias w:val="13 pr. 17.5 p."/>
                    <w:tag w:val="part_72184eebbac24ed9bd3179ff90cd5be6"/>
                    <w:lock w:val="sdtLocked"/>
                    <w:richText/>
                  </w:sdtPr>
                  <w:sdtContent>
                    <w:p>
                      <w:pPr>
                        <w:widowControl w:val="0"/>
                        <w:suppressAutoHyphens/>
                        <w:ind w:firstLine="567"/>
                        <w:jc w:val="both"/>
                        <w:rPr>
                          <w:color w:val="000000"/>
                        </w:rPr>
                      </w:pPr>
                      <w:sdt>
                        <w:sdtPr>
                          <w:alias w:val="Numeris"/>
                          <w:tag w:val="nr_72184eebbac24ed9bd3179ff90cd5be6"/>
                          <w:lock w:val="sdtLocked"/>
                          <w:richText/>
                        </w:sdtPr>
                        <w:sdtContent>
                          <w:r>
                            <w:rPr>
                              <w:color w:val="000000"/>
                            </w:rPr>
                            <w:t>17.5</w:t>
                          </w:r>
                        </w:sdtContent>
                      </w:sdt>
                      <w:r>
                        <w:rPr>
                          <w:color w:val="000000"/>
                        </w:rPr>
                        <w:t>. tikrinant sveikatą asmenims, dirbantiesiems su jonizuojančiosios spinduliuotės šaltiniais – vadovautis Lietuvos Respublikos radiacinės saugos įstatymu.</w:t>
                      </w:r>
                    </w:p>
                  </w:sdtContent>
                </w:sdt>
                <w:sdt>
                  <w:sdtPr>
                    <w:alias w:val="13 pr. 17.6 p."/>
                    <w:tag w:val="part_c0a9f321358940f58657503fbdcb3353"/>
                    <w:lock w:val="sdtLocked"/>
                    <w:richText/>
                  </w:sdtPr>
                  <w:sdtContent>
                    <w:p>
                      <w:pPr>
                        <w:widowControl w:val="0"/>
                        <w:suppressAutoHyphens/>
                        <w:ind w:firstLine="567"/>
                        <w:jc w:val="both"/>
                        <w:rPr>
                          <w:color w:val="000000"/>
                        </w:rPr>
                      </w:pPr>
                      <w:sdt>
                        <w:sdtPr>
                          <w:alias w:val="Numeris"/>
                          <w:tag w:val="nr_c0a9f321358940f58657503fbdcb3353"/>
                          <w:lock w:val="sdtLocked"/>
                          <w:richText/>
                        </w:sdtPr>
                        <w:sdtContent>
                          <w:r>
                            <w:rPr>
                              <w:color w:val="000000"/>
                            </w:rPr>
                            <w:t>17.6</w:t>
                          </w:r>
                        </w:sdtContent>
                      </w:sdt>
                      <w:r>
                        <w:rPr>
                          <w:color w:val="000000"/>
                        </w:rPr>
                        <w:t>. kitais teisės aktų nustatytais atvejais.</w:t>
                      </w:r>
                    </w:p>
                  </w:sdtContent>
                </w:sdt>
              </w:sdtContent>
            </w:sdt>
            <w:sdt>
              <w:sdtPr>
                <w:alias w:val="13 pr. 18 p."/>
                <w:tag w:val="part_6f3bf7521a794d05b56dea416a12e9a8"/>
                <w:lock w:val="sdtLocked"/>
                <w:richText/>
              </w:sdtPr>
              <w:sdtContent>
                <w:p>
                  <w:pPr>
                    <w:widowControl w:val="0"/>
                    <w:suppressAutoHyphens/>
                    <w:ind w:firstLine="567"/>
                    <w:jc w:val="both"/>
                    <w:rPr>
                      <w:color w:val="000000"/>
                    </w:rPr>
                  </w:pPr>
                  <w:sdt>
                    <w:sdtPr>
                      <w:alias w:val="Numeris"/>
                      <w:tag w:val="nr_6f3bf7521a794d05b56dea416a12e9a8"/>
                      <w:lock w:val="sdtLocked"/>
                      <w:richText/>
                    </w:sdtPr>
                    <w:sdtContent>
                      <w:r>
                        <w:rPr>
                          <w:color w:val="000000"/>
                        </w:rPr>
                        <w:t>18</w:t>
                      </w:r>
                    </w:sdtContent>
                  </w:sdt>
                  <w:r>
                    <w:rPr>
                      <w:color w:val="000000"/>
                    </w:rPr>
                    <w:t>. ASPĮ gydytojai, darbdaviui atstovaujantis ar jo įgaliotas asmuo turi teisę, nurodę priežastį (ypač po sunkių onkologinių ligų ir jų gydymo, po operacijų, po sunkių traumų su ilgu laikinuoju nedarbingumu ir kt.), siųsti darbuotojus neeilinio sveikatos tikrinimo. Dėl tokio tikrinimo turi teisę kreiptis ir pats darbuotojas.</w:t>
                  </w:r>
                </w:p>
              </w:sdtContent>
            </w:sdt>
            <w:sdt>
              <w:sdtPr>
                <w:alias w:val="13 pr. 19 p."/>
                <w:tag w:val="part_a3d877e0cd114ec892d3b01867b1eae1"/>
                <w:lock w:val="sdtLocked"/>
                <w:richText/>
              </w:sdtPr>
              <w:sdtContent>
                <w:p>
                  <w:pPr>
                    <w:tabs>
                      <w:tab w:val="left" w:pos="142"/>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rPr>
                      <w:szCs w:val="24"/>
                      <w:lang w:eastAsia="lt-LT"/>
                    </w:rPr>
                  </w:pPr>
                  <w:sdt>
                    <w:sdtPr>
                      <w:alias w:val="Numeris"/>
                      <w:tag w:val="nr_a3d877e0cd114ec892d3b01867b1eae1"/>
                      <w:lock w:val="sdtLocked"/>
                      <w:richText/>
                    </w:sdtPr>
                    <w:sdtContent>
                      <w:r>
                        <w:rPr>
                          <w:szCs w:val="24"/>
                        </w:rPr>
                        <w:t>19</w:t>
                      </w:r>
                    </w:sdtContent>
                  </w:sdt>
                  <w:r>
                    <w:rPr>
                      <w:szCs w:val="24"/>
                    </w:rPr>
                    <w:t xml:space="preserve">. </w:t>
                  </w:r>
                  <w:r>
                    <w:rPr>
                      <w:color w:val="000000"/>
                      <w:szCs w:val="24"/>
                      <w:lang w:eastAsia="lt-LT"/>
                    </w:rPr>
                    <w:t>Asmenų iki aštuoniolikos metų, nėščių, neseniai pagimdžiusių ar krūtimi maitinančių darbuotojų, neįgaliųjų ir asmenų, kuriems nustatytas sumažėjęs darbingumo lygis, privalomi sveikatos tikrinimai:</w:t>
                  </w:r>
                </w:p>
                <w:sdt>
                  <w:sdtPr>
                    <w:alias w:val="19.1 pp."/>
                    <w:tag w:val="part_cb8ee80f82084bbdb61b058855fd2eb7"/>
                    <w:lock w:val="sdtLocked"/>
                    <w:richText/>
                  </w:sdtPr>
                  <w:sdtContent>
                    <w:p>
                      <w:pPr>
                        <w:tabs>
                          <w:tab w:val="left" w:pos="142"/>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rPr>
                          <w:szCs w:val="24"/>
                        </w:rPr>
                      </w:pPr>
                      <w:sdt>
                        <w:sdtPr>
                          <w:alias w:val="Numeris"/>
                          <w:tag w:val="nr_cb8ee80f82084bbdb61b058855fd2eb7"/>
                          <w:lock w:val="sdtLocked"/>
                          <w:richText/>
                        </w:sdtPr>
                        <w:sdtContent>
                          <w:r>
                            <w:rPr>
                              <w:color w:val="000000"/>
                              <w:szCs w:val="24"/>
                            </w:rPr>
                            <w:t>19.1</w:t>
                          </w:r>
                        </w:sdtContent>
                      </w:sdt>
                      <w:r>
                        <w:rPr>
                          <w:color w:val="000000"/>
                          <w:szCs w:val="24"/>
                        </w:rPr>
                        <w:t xml:space="preserve">. tikrinant asmenų iki 18 metų amžiaus sveikatą vadovaujamasi </w:t>
                      </w:r>
                      <w:r>
                        <w:rPr>
                          <w:szCs w:val="24"/>
                        </w:rPr>
                        <w:t>Asmenų iki aštuoniolikos metų įdarbinimo, darbo ir profesinio parengimo organizavimo tvarkos, vaikų įdarbinimo sąlygų aprašu, patvirtintu Lietuvos Respublikos Vyriausybės 2017 m. birželio 28 d. nutarimu Nr. 518 „Dėl Asmenų iki aštuoniolikos metų įdarbinimo, darbo ir profesinio parengimo organizavimo tvarkos, vaikų įdarbinimo sąlygų aprašo patvirtinimo“;</w:t>
                      </w:r>
                    </w:p>
                  </w:sdtContent>
                </w:sdt>
                <w:sdt>
                  <w:sdtPr>
                    <w:alias w:val="19.2 pp."/>
                    <w:tag w:val="part_9bcbc80f0fb3408590d5644c6802337a"/>
                    <w:lock w:val="sdtLocked"/>
                    <w:richText/>
                  </w:sdtPr>
                  <w:sdtContent>
                    <w:p>
                      <w:pPr>
                        <w:tabs>
                          <w:tab w:val="left" w:pos="142"/>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rPr>
                          <w:szCs w:val="24"/>
                        </w:rPr>
                      </w:pPr>
                      <w:sdt>
                        <w:sdtPr>
                          <w:alias w:val="Numeris"/>
                          <w:tag w:val="nr_9bcbc80f0fb3408590d5644c6802337a"/>
                          <w:lock w:val="sdtLocked"/>
                          <w:richText/>
                        </w:sdtPr>
                        <w:sdtContent>
                          <w:r>
                            <w:rPr>
                              <w:color w:val="000000"/>
                              <w:szCs w:val="24"/>
                            </w:rPr>
                            <w:t>19.2</w:t>
                          </w:r>
                        </w:sdtContent>
                      </w:sdt>
                      <w:r>
                        <w:rPr>
                          <w:color w:val="000000"/>
                          <w:szCs w:val="24"/>
                        </w:rPr>
                        <w:t xml:space="preserve">. tikrinant nėščiųjų, neseniai pagimdžiusių ar krūtimi maitinančių darbuotojų sveikatą vadovaujamasi </w:t>
                      </w:r>
                      <w:r>
                        <w:rPr>
                          <w:szCs w:val="24"/>
                        </w:rPr>
                        <w:t>Nėščių, neseniai pagimdžiusių, krūtimi maitinančių darbuotojų darbo sąlygų aprašu, patvirtintu Lietuvos Respublikos Vyriausybės 2017 m. birželio 21 d. nutarimu Nr. 469 „Dėl Nėščių, neseniai pagimdžiusių, krūtimi maitinančių darbuotojų darbo sąlygų aprašo patvirtinimo“;</w:t>
                      </w:r>
                    </w:p>
                  </w:sdtContent>
                </w:sdt>
                <w:sdt>
                  <w:sdtPr>
                    <w:alias w:val="13 pr. 19.3 pp."/>
                    <w:tag w:val="part_b96c42fcf15d4169a0fe0e910a61fb38"/>
                    <w:lock w:val="sdtLocked"/>
                    <w:richText/>
                  </w:sdtPr>
                  <w:sdtContent>
                    <w:p>
                      <w:pPr>
                        <w:tabs>
                          <w:tab w:val="left" w:pos="0"/>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rPr>
                          <w:color w:val="000000"/>
                        </w:rPr>
                      </w:pPr>
                      <w:sdt>
                        <w:sdtPr>
                          <w:alias w:val="Numeris"/>
                          <w:tag w:val="nr_b96c42fcf15d4169a0fe0e910a61fb38"/>
                          <w:lock w:val="sdtLocked"/>
                          <w:richText/>
                        </w:sdtPr>
                        <w:sdtContent>
                          <w:r>
                            <w:rPr>
                              <w:color w:val="000000"/>
                              <w:szCs w:val="24"/>
                            </w:rPr>
                            <w:t>19.3</w:t>
                          </w:r>
                        </w:sdtContent>
                      </w:sdt>
                      <w:r>
                        <w:rPr>
                          <w:color w:val="000000"/>
                          <w:szCs w:val="24"/>
                        </w:rPr>
                        <w:t xml:space="preserve">. dėl asmenų su negalia </w:t>
                      </w:r>
                      <w:r>
                        <w:rPr>
                          <w:szCs w:val="24"/>
                        </w:rPr>
                        <w:t xml:space="preserve">ar asmenų, netekusių dalies darbingumo, </w:t>
                      </w:r>
                      <w:r>
                        <w:rPr>
                          <w:color w:val="000000"/>
                          <w:szCs w:val="24"/>
                        </w:rPr>
                        <w:t>galimybės dirbti konkretų darbą sprendžia Aprašo 10.4 papunktyje nurodytas gydytojas, gavęs Asmens su negalia teisių apsaugos agentūros prie Lietuvos Respublikos socialinės apsaugos ir darbo ministerijos rekomendacijas ir atitinkamos profesinės kvalifikacijos gydytojo išvadą.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c1d914846111efabdbb4a1fc8b0b63">
                        <w:r w:rsidRPr="00532B9F">
                          <w:rPr>
                            <w:rFonts w:ascii="Times New Roman" w:eastAsia="MS Mincho" w:hAnsi="Times New Roman"/>
                            <w:sz w:val="20"/>
                            <w:i/>
                            <w:iCs/>
                            <w:color w:val="0000FF" w:themeColor="hyperlink"/>
                            <w:u w:val="single"/>
                          </w:rPr>
                          <w:t>V-966</w:t>
                        </w:r>
                      </w:fldSimple>
                      <w:r>
                        <w:rPr>
                          <w:rFonts w:ascii="Times New Roman" w:eastAsia="MS Mincho" w:hAnsi="Times New Roman"/>
                          <w:sz w:val="20"/>
                          <w:i/>
                          <w:iCs/>
                        </w:rPr>
                        <w:t>,
2024-10-07,
paskelbta TAR 2024-10-07, i. k. 2024-17546            </w:t>
                      </w:r>
                    </w:p>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e619f0322711eabe008ea93139d588">
                    <w:r w:rsidRPr="00532B9F">
                      <w:rPr>
                        <w:rFonts w:ascii="Times New Roman" w:eastAsia="MS Mincho" w:hAnsi="Times New Roman"/>
                        <w:sz w:val="20"/>
                        <w:i/>
                        <w:iCs/>
                        <w:color w:val="0000FF" w:themeColor="hyperlink"/>
                        <w:u w:val="single"/>
                      </w:rPr>
                      <w:t>V-20</w:t>
                    </w:r>
                  </w:fldSimple>
                  <w:r>
                    <w:rPr>
                      <w:rFonts w:ascii="Times New Roman" w:eastAsia="MS Mincho" w:hAnsi="Times New Roman"/>
                      <w:sz w:val="20"/>
                      <w:i/>
                      <w:iCs/>
                    </w:rPr>
                    <w:t>,
2020-01-07,
paskelbta TAR 2020-01-09, i. k. 2020-00251            </w:t>
                  </w:r>
                </w:p>
                <w:p/>
              </w:sdtContent>
            </w:sdt>
            <w:sdt>
              <w:sdtPr>
                <w:alias w:val="13 pr. 19-1 p."/>
                <w:tag w:val="part_fa03475a15524312a30b2ded0d959143"/>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rPr>
                      <w:color w:val="000000"/>
                    </w:rPr>
                  </w:pPr>
                  <w:sdt>
                    <w:sdtPr>
                      <w:alias w:val="Numeris"/>
                      <w:tag w:val="nr_fa03475a15524312a30b2ded0d959143"/>
                      <w:lock w:val="sdtLocked"/>
                      <w:richText/>
                    </w:sdtPr>
                    <w:sdtContent>
                      <w:r>
                        <w:rPr>
                          <w:szCs w:val="24"/>
                        </w:rPr>
                        <w:t>19</w:t>
                      </w:r>
                      <w:r>
                        <w:rPr>
                          <w:szCs w:val="24"/>
                          <w:vertAlign w:val="superscript"/>
                        </w:rPr>
                        <w:t>1</w:t>
                      </w:r>
                    </w:sdtContent>
                  </w:sdt>
                  <w:r>
                    <w:rPr>
                      <w:szCs w:val="24"/>
                    </w:rPr>
                    <w:t>. Tikrinant asmenų, siekiančių verstis ar besiverčiančių asmens sveikatos priežiūros praktika, sveikatą, papildomai vadovaujamasi Ligų, trukdančių verstis asmens sveikatos priežiūros praktika, sąrašu, patvirtintu Lietuvos Respublikos sveikatos apsaugos ministro 2010 m. rugpjūčio 12 d. įsakymu Nr. V-720 „Dėl Ligų, trukdančių verstis asmens sveikatos priežiūros praktika, sąrašo patvirtinimo.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331b102b1511eabe008ea93139d588">
                    <w:r w:rsidRPr="00532B9F">
                      <w:rPr>
                        <w:rFonts w:ascii="Times New Roman" w:eastAsia="MS Mincho" w:hAnsi="Times New Roman"/>
                        <w:sz w:val="20"/>
                        <w:i/>
                        <w:iCs/>
                        <w:color w:val="0000FF" w:themeColor="hyperlink"/>
                        <w:u w:val="single"/>
                      </w:rPr>
                      <w:t>V-1512</w:t>
                    </w:r>
                  </w:fldSimple>
                  <w:r>
                    <w:rPr>
                      <w:rFonts w:ascii="Times New Roman" w:eastAsia="MS Mincho" w:hAnsi="Times New Roman"/>
                      <w:sz w:val="20"/>
                      <w:i/>
                      <w:iCs/>
                    </w:rPr>
                    <w:t>,
2019-12-30,
paskelbta TAR 2019-12-31, i. k. 2019-21686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6f3b7046d011ec992fe4cdfceb5666">
                    <w:r w:rsidRPr="00532B9F">
                      <w:rPr>
                        <w:rFonts w:ascii="Times New Roman" w:eastAsia="MS Mincho" w:hAnsi="Times New Roman"/>
                        <w:sz w:val="20"/>
                        <w:i/>
                        <w:iCs/>
                        <w:color w:val="0000FF" w:themeColor="hyperlink"/>
                        <w:u w:val="single"/>
                      </w:rPr>
                      <w:t>V-2596</w:t>
                    </w:r>
                  </w:fldSimple>
                  <w:r>
                    <w:rPr>
                      <w:rFonts w:ascii="Times New Roman" w:eastAsia="MS Mincho" w:hAnsi="Times New Roman"/>
                      <w:sz w:val="20"/>
                      <w:i/>
                      <w:iCs/>
                    </w:rPr>
                    <w:t>,
2021-11-16,
paskelbta TAR 2021-11-16, i. k. 2021-23674            </w:t>
                  </w:r>
                </w:p>
                <w:p/>
              </w:sdtContent>
            </w:sdt>
          </w:sdtContent>
        </w:sdt>
        <w:sdt>
          <w:sdtPr>
            <w:alias w:val="skyrius"/>
            <w:tag w:val="part_8a420506ee0a4fb88ef17ae34c237da7"/>
            <w:lock w:val="sdtLocked"/>
            <w:richText/>
          </w:sdtPr>
          <w:sdtContent>
            <w:p>
              <w:pPr>
                <w:keepLines/>
                <w:widowControl w:val="0"/>
                <w:suppressAutoHyphens/>
                <w:jc w:val="center"/>
                <w:rPr>
                  <w:b/>
                  <w:bCs/>
                  <w:color w:val="000000"/>
                </w:rPr>
              </w:pPr>
              <w:sdt>
                <w:sdtPr>
                  <w:alias w:val="Numeris"/>
                  <w:tag w:val="nr_8a420506ee0a4fb88ef17ae34c237da7"/>
                  <w:lock w:val="sdtLocked"/>
                  <w:richText/>
                </w:sdtPr>
                <w:sdtContent>
                  <w:r>
                    <w:rPr>
                      <w:b/>
                      <w:bCs/>
                      <w:caps/>
                      <w:color w:val="000000"/>
                    </w:rPr>
                    <w:t>III</w:t>
                  </w:r>
                </w:sdtContent>
              </w:sdt>
              <w:r>
                <w:rPr>
                  <w:b/>
                  <w:bCs/>
                  <w:caps/>
                  <w:color w:val="000000"/>
                </w:rPr>
                <w:t xml:space="preserve">. </w:t>
              </w:r>
              <w:sdt>
                <w:sdtPr>
                  <w:alias w:val="Pavadinimas"/>
                  <w:tag w:val="title_8a420506ee0a4fb88ef17ae34c237da7"/>
                  <w:lock w:val="sdtLocked"/>
                  <w:richText/>
                </w:sdtPr>
                <w:sdtContent>
                  <w:r>
                    <w:rPr>
                      <w:b/>
                      <w:bCs/>
                      <w:caps/>
                      <w:color w:val="000000"/>
                    </w:rPr>
                    <w:t xml:space="preserve">LIGŲ IR SVEIKATOS PROBLEMŲ, DĖL KURIŲ DRAUDŽIAMA DIRBTI DARBO APLINKOJE PROFESINĖS RIZIKOS (KENKSMINGŲ VEIKSNIŲ POVEIKIS IR (AR) PAVOJINGAS DARBAS) SĄLYGOMIS, SĄRAŠAS </w:t>
                  </w:r>
                  <w:r>
                    <w:rPr>
                      <w:b/>
                      <w:bCs/>
                      <w:color w:val="000000"/>
                    </w:rPr>
                    <w:t>(BENDROSIOS KONTRAINDIKACIJOS)</w:t>
                  </w:r>
                </w:sdtContent>
              </w:sdt>
            </w:p>
            <w:p>
              <w:pPr>
                <w:widowControl w:val="0"/>
                <w:suppressAutoHyphens/>
                <w:ind w:firstLine="567"/>
                <w:jc w:val="both"/>
                <w:rPr>
                  <w:color w:val="000000"/>
                </w:rPr>
              </w:pPr>
            </w:p>
            <w:sdt>
              <w:sdtPr>
                <w:alias w:val="13 pr. 20 p."/>
                <w:tag w:val="part_a32bbbff8bc540388f7566efa337bbda"/>
                <w:lock w:val="sdtLocked"/>
                <w:richText/>
              </w:sdtPr>
              <w:sdtContent>
                <w:p>
                  <w:pPr>
                    <w:widowControl w:val="0"/>
                    <w:suppressAutoHyphens/>
                    <w:ind w:firstLine="567"/>
                    <w:jc w:val="both"/>
                    <w:rPr>
                      <w:color w:val="000000"/>
                    </w:rPr>
                  </w:pPr>
                  <w:sdt>
                    <w:sdtPr>
                      <w:alias w:val="Numeris"/>
                      <w:tag w:val="nr_a32bbbff8bc540388f7566efa337bbda"/>
                      <w:lock w:val="sdtLocked"/>
                      <w:richText/>
                    </w:sdtPr>
                    <w:sdtContent>
                      <w:r>
                        <w:rPr>
                          <w:color w:val="000000"/>
                        </w:rPr>
                        <w:t>20</w:t>
                      </w:r>
                    </w:sdtContent>
                  </w:sdt>
                  <w:r>
                    <w:rPr>
                      <w:color w:val="000000"/>
                    </w:rPr>
                    <w:t>.</w:t>
                  </w:r>
                  <w:r>
                    <w:rPr>
                      <w:b/>
                      <w:bCs/>
                      <w:color w:val="000000"/>
                    </w:rPr>
                    <w:t xml:space="preserve"> </w:t>
                  </w:r>
                  <w:r>
                    <w:rPr>
                      <w:color w:val="000000"/>
                    </w:rPr>
                    <w:t>Ligos ir sveikatos problemos, kurioms esant draudžiama dirbti profesinės rizikos sąlygomis:</w:t>
                  </w:r>
                </w:p>
                <w:sdt>
                  <w:sdtPr>
                    <w:alias w:val="13 pr. 20.1 p."/>
                    <w:tag w:val="part_f3ff7fc5cb6148c1b8d9b674b972d7e4"/>
                    <w:lock w:val="sdtLocked"/>
                    <w:richText/>
                  </w:sdtPr>
                  <w:sdtContent>
                    <w:p>
                      <w:pPr>
                        <w:widowControl w:val="0"/>
                        <w:suppressAutoHyphens/>
                        <w:ind w:firstLine="567"/>
                        <w:jc w:val="both"/>
                        <w:rPr>
                          <w:color w:val="000000"/>
                        </w:rPr>
                      </w:pPr>
                      <w:sdt>
                        <w:sdtPr>
                          <w:alias w:val="Numeris"/>
                          <w:tag w:val="nr_f3ff7fc5cb6148c1b8d9b674b972d7e4"/>
                          <w:lock w:val="sdtLocked"/>
                          <w:richText/>
                        </w:sdtPr>
                        <w:sdtContent>
                          <w:r>
                            <w:rPr>
                              <w:color w:val="000000"/>
                            </w:rPr>
                            <w:t>20.1</w:t>
                          </w:r>
                        </w:sdtContent>
                      </w:sdt>
                      <w:r>
                        <w:rPr>
                          <w:color w:val="000000"/>
                        </w:rPr>
                        <w:t>. piktybiniai navikai (po gydymo, sprendžiama individualiai);</w:t>
                      </w:r>
                    </w:p>
                  </w:sdtContent>
                </w:sdt>
                <w:sdt>
                  <w:sdtPr>
                    <w:alias w:val="13 pr. 20.2 p."/>
                    <w:tag w:val="part_0760fe57aca0494bb634378c2bbb791d"/>
                    <w:lock w:val="sdtLocked"/>
                    <w:richText/>
                  </w:sdtPr>
                  <w:sdtContent>
                    <w:p>
                      <w:pPr>
                        <w:widowControl w:val="0"/>
                        <w:suppressAutoHyphens/>
                        <w:ind w:firstLine="567"/>
                        <w:jc w:val="both"/>
                        <w:rPr>
                          <w:color w:val="000000"/>
                        </w:rPr>
                      </w:pPr>
                      <w:sdt>
                        <w:sdtPr>
                          <w:alias w:val="Numeris"/>
                          <w:tag w:val="nr_0760fe57aca0494bb634378c2bbb791d"/>
                          <w:lock w:val="sdtLocked"/>
                          <w:richText/>
                        </w:sdtPr>
                        <w:sdtContent>
                          <w:r>
                            <w:rPr>
                              <w:color w:val="000000"/>
                            </w:rPr>
                            <w:t>20.2</w:t>
                          </w:r>
                        </w:sdtContent>
                      </w:sdt>
                      <w:r>
                        <w:rPr>
                          <w:color w:val="000000"/>
                        </w:rPr>
                        <w:t>. bet kurios lokalizacijos tuberkuliozė su mikobakterijų išskyrimu;</w:t>
                      </w:r>
                    </w:p>
                  </w:sdtContent>
                </w:sdt>
                <w:sdt>
                  <w:sdtPr>
                    <w:alias w:val="13 pr. 20.3 p."/>
                    <w:tag w:val="part_6cd69d21c5d24a6096b7b5f2a2e485d9"/>
                    <w:lock w:val="sdtLocked"/>
                    <w:richText/>
                  </w:sdtPr>
                  <w:sdtContent>
                    <w:p>
                      <w:pPr>
                        <w:widowControl w:val="0"/>
                        <w:suppressAutoHyphens/>
                        <w:ind w:firstLine="567"/>
                        <w:jc w:val="both"/>
                        <w:rPr>
                          <w:color w:val="000000"/>
                        </w:rPr>
                      </w:pPr>
                      <w:sdt>
                        <w:sdtPr>
                          <w:alias w:val="Numeris"/>
                          <w:tag w:val="nr_6cd69d21c5d24a6096b7b5f2a2e485d9"/>
                          <w:lock w:val="sdtLocked"/>
                          <w:richText/>
                        </w:sdtPr>
                        <w:sdtContent>
                          <w:r>
                            <w:rPr>
                              <w:color w:val="000000"/>
                            </w:rPr>
                            <w:t>20.3</w:t>
                          </w:r>
                        </w:sdtContent>
                      </w:sdt>
                      <w:r>
                        <w:rPr>
                          <w:color w:val="000000"/>
                        </w:rPr>
                        <w:t>. jungiamojo audinio ir skeleto–raumenų ligos (sąnarių, stuburo) su nuolatiniais, trukdančiais atlikti profesinius veiksmus, funkcijos sutrikimais (esant atramos judėjimo funkcijos sutrikimams, jei jie koreguojami specialiomis priemonėmis, individualiu atveju dėl galimybės dirbti sprendžia gydytojas ortopedas traumatologas);</w:t>
                      </w:r>
                    </w:p>
                  </w:sdtContent>
                </w:sdt>
                <w:sdt>
                  <w:sdtPr>
                    <w:alias w:val="13 pr. 20.4 p."/>
                    <w:tag w:val="part_264cdf4e07434a5595db188583ec76f1"/>
                    <w:lock w:val="sdtLocked"/>
                    <w:richText/>
                  </w:sdtPr>
                  <w:sdtContent>
                    <w:p>
                      <w:pPr>
                        <w:widowControl w:val="0"/>
                        <w:suppressAutoHyphens/>
                        <w:ind w:firstLine="567"/>
                        <w:jc w:val="both"/>
                        <w:rPr>
                          <w:color w:val="000000"/>
                        </w:rPr>
                      </w:pPr>
                      <w:sdt>
                        <w:sdtPr>
                          <w:alias w:val="Numeris"/>
                          <w:tag w:val="nr_264cdf4e07434a5595db188583ec76f1"/>
                          <w:lock w:val="sdtLocked"/>
                          <w:richText/>
                        </w:sdtPr>
                        <w:sdtContent>
                          <w:r>
                            <w:rPr>
                              <w:color w:val="000000"/>
                            </w:rPr>
                            <w:t>20.4</w:t>
                          </w:r>
                        </w:sdtContent>
                      </w:sdt>
                      <w:r>
                        <w:rPr>
                          <w:color w:val="000000"/>
                        </w:rPr>
                        <w:t>. dekompensuota glaukoma.</w:t>
                      </w:r>
                    </w:p>
                  </w:sdtContent>
                </w:sdt>
              </w:sdtContent>
            </w:sdt>
            <w:sdt>
              <w:sdtPr>
                <w:alias w:val="13 pr. 21 p."/>
                <w:tag w:val="part_b0b1c7185578481384e00309f53d421a"/>
                <w:lock w:val="sdtLocked"/>
                <w:richText/>
              </w:sdtPr>
              <w:sdtContent>
                <w:p>
                  <w:pPr>
                    <w:widowControl w:val="0"/>
                    <w:suppressAutoHyphens/>
                    <w:ind w:firstLine="567"/>
                    <w:jc w:val="both"/>
                    <w:rPr>
                      <w:color w:val="000000"/>
                    </w:rPr>
                  </w:pPr>
                  <w:sdt>
                    <w:sdtPr>
                      <w:alias w:val="Numeris"/>
                      <w:tag w:val="nr_b0b1c7185578481384e00309f53d421a"/>
                      <w:lock w:val="sdtLocked"/>
                      <w:richText/>
                    </w:sdtPr>
                    <w:sdtContent>
                      <w:r>
                        <w:rPr>
                          <w:color w:val="000000"/>
                        </w:rPr>
                        <w:t>21</w:t>
                      </w:r>
                    </w:sdtContent>
                  </w:sdt>
                  <w:r>
                    <w:rPr>
                      <w:color w:val="000000"/>
                    </w:rPr>
                    <w:t>. Ligos ir sveikatos problemos, kurioms esant draudžiama dirbti darbus, įrašytus į pavojingų darbų sąrašą: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BF277448F3E">
                    <w:r w:rsidRPr="00532B9F">
                      <w:rPr>
                        <w:rFonts w:ascii="Times New Roman" w:eastAsia="MS Mincho" w:hAnsi="Times New Roman"/>
                        <w:sz w:val="20"/>
                        <w:i/>
                        <w:iCs/>
                        <w:color w:val="0000FF" w:themeColor="hyperlink"/>
                        <w:u w:val="single"/>
                      </w:rPr>
                      <w:t>V-101</w:t>
                    </w:r>
                  </w:fldSimple>
                  <w:r>
                    <w:rPr>
                      <w:rFonts w:ascii="Times New Roman" w:eastAsia="MS Mincho" w:hAnsi="Times New Roman"/>
                      <w:sz w:val="20"/>
                      <w:i/>
                      <w:iCs/>
                    </w:rPr>
                    <w:t>,
2011-02-03,
Žin., 2011, Nr.
17-816 (2011-02-10), i. k. 1112250ISAK000V-101            </w:t>
                  </w:r>
                </w:p>
                <w:sdt>
                  <w:sdtPr>
                    <w:alias w:val="13 pr. 21.1 p."/>
                    <w:tag w:val="part_db62ee7a076749e9af6cbafa7e4cfaaa"/>
                    <w:lock w:val="sdtLocked"/>
                    <w:richText/>
                  </w:sdtPr>
                  <w:sdtContent>
                    <w:p>
                      <w:pPr>
                        <w:widowControl w:val="0"/>
                        <w:suppressAutoHyphens/>
                        <w:ind w:firstLine="567"/>
                        <w:jc w:val="both"/>
                        <w:rPr>
                          <w:color w:val="000000"/>
                        </w:rPr>
                      </w:pPr>
                      <w:sdt>
                        <w:sdtPr>
                          <w:alias w:val="Numeris"/>
                          <w:tag w:val="nr_db62ee7a076749e9af6cbafa7e4cfaaa"/>
                          <w:lock w:val="sdtLocked"/>
                          <w:richText/>
                        </w:sdtPr>
                        <w:sdtContent>
                          <w:r>
                            <w:rPr>
                              <w:color w:val="000000"/>
                            </w:rPr>
                            <w:t>21.1</w:t>
                          </w:r>
                        </w:sdtContent>
                      </w:sdt>
                      <w:r>
                        <w:rPr>
                          <w:color w:val="000000"/>
                        </w:rPr>
                        <w:t>. organinės centrinės nervų sistemos ligos su nuolatiniais funkcijos sutrikimais;</w:t>
                      </w:r>
                    </w:p>
                  </w:sdtContent>
                </w:sdt>
                <w:sdt>
                  <w:sdtPr>
                    <w:alias w:val="13 pr. 21.2 p."/>
                    <w:tag w:val="part_125b5bc5b4c44b32a2a1451cbc526b70"/>
                    <w:lock w:val="sdtLocked"/>
                    <w:richText/>
                  </w:sdtPr>
                  <w:sdtContent>
                    <w:p>
                      <w:pPr>
                        <w:widowControl w:val="0"/>
                        <w:suppressAutoHyphens/>
                        <w:ind w:firstLine="567"/>
                        <w:jc w:val="both"/>
                        <w:rPr>
                          <w:color w:val="000000"/>
                        </w:rPr>
                      </w:pPr>
                      <w:sdt>
                        <w:sdtPr>
                          <w:alias w:val="Numeris"/>
                          <w:tag w:val="nr_125b5bc5b4c44b32a2a1451cbc526b70"/>
                          <w:lock w:val="sdtLocked"/>
                          <w:richText/>
                        </w:sdtPr>
                        <w:sdtContent>
                          <w:r>
                            <w:rPr>
                              <w:color w:val="000000"/>
                            </w:rPr>
                            <w:t>21.2</w:t>
                          </w:r>
                        </w:sdtContent>
                      </w:sdt>
                      <w:r>
                        <w:rPr>
                          <w:color w:val="000000"/>
                        </w:rPr>
                        <w:t>. lėtiniai ir dažnai pasikartojantys psichikos sutrikimai ir jiems prilygstančios būklės paūmėjimo metu, kai reikalingas aktyvus psichiatro stebėjimas ir gydymas;</w:t>
                      </w:r>
                    </w:p>
                  </w:sdtContent>
                </w:sdt>
                <w:sdt>
                  <w:sdtPr>
                    <w:alias w:val="13 pr. 21.3 p."/>
                    <w:tag w:val="part_405e8d2ecb8f4734822551ff84b4b516"/>
                    <w:lock w:val="sdtLocked"/>
                    <w:richText/>
                  </w:sdtPr>
                  <w:sdtContent>
                    <w:p>
                      <w:pPr>
                        <w:pStyle w:val="PlainText"/>
                        <w:ind w:firstLine="567"/>
                        <w:jc w:val="both"/>
                        <w:rPr>
                          <w:rFonts w:ascii="Times New Roman" w:hAnsi="Times New Roman"/>
                          <w:b/>
                          <w:bCs/>
                          <w:sz w:val="22"/>
                        </w:rPr>
                      </w:pPr>
                      <w:r>
                        <w:rPr>
                          <w:rFonts w:ascii="Times New Roman" w:hAnsi="Times New Roman"/>
                          <w:sz w:val="22"/>
                        </w:rPr>
                        <w:t>21.3</w:t>
                      </w:r>
                      <w:r>
                        <w:rPr>
                          <w:rFonts w:ascii="Times New Roman" w:hAnsi="Times New Roman"/>
                          <w:sz w:val="22"/>
                        </w:rPr>
                        <w:t>.</w:t>
                      </w:r>
                      <w:r>
                        <w:rPr>
                          <w:rFonts w:ascii="Times New Roman" w:eastAsia="MS Mincho" w:hAnsi="Times New Roman"/>
                          <w:sz w:val="20"/>
                          <w:i/>
                          <w:iCs/>
                        </w:rPr>
                        <w:t xml:space="preserve"> Neteko galios nuo 2023-04-26</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0f81cd0e33011ed9978886e85107ab2">
                        <w:r w:rsidRPr="00532B9F">
                          <w:rPr>
                            <w:rFonts w:ascii="Times New Roman" w:eastAsia="MS Mincho" w:hAnsi="Times New Roman"/>
                            <w:sz w:val="20"/>
                            <w:i/>
                            <w:iCs/>
                            <w:color w:val="0000FF" w:themeColor="hyperlink"/>
                            <w:u w:val="single"/>
                          </w:rPr>
                          <w:t>V-506</w:t>
                        </w:r>
                      </w:fldSimple>
                      <w:r>
                        <w:rPr>
                          <w:rFonts w:ascii="Times New Roman" w:eastAsia="MS Mincho" w:hAnsi="Times New Roman"/>
                          <w:sz w:val="20"/>
                          <w:i/>
                          <w:iCs/>
                        </w:rPr>
                        <w:t>,
2023-04-25,
paskelbta TAR 2023-04-25, i. k. 2023-07901        </w:t>
                      </w:r>
                    </w:p>
                    <w:p/>
                  </w:sdtContent>
                </w:sdt>
                <w:sdt>
                  <w:sdtPr>
                    <w:alias w:val="13 pr. 21.4 p."/>
                    <w:tag w:val="part_2c81ac40b1c44e86aa26ae147f7cc17a"/>
                    <w:lock w:val="sdtLocked"/>
                    <w:richText/>
                  </w:sdtPr>
                  <w:sdtContent>
                    <w:p>
                      <w:pPr>
                        <w:widowControl w:val="0"/>
                        <w:suppressAutoHyphens/>
                        <w:ind w:firstLine="567"/>
                        <w:jc w:val="both"/>
                        <w:rPr>
                          <w:color w:val="000000"/>
                        </w:rPr>
                      </w:pPr>
                      <w:sdt>
                        <w:sdtPr>
                          <w:alias w:val="Numeris"/>
                          <w:tag w:val="nr_2c81ac40b1c44e86aa26ae147f7cc17a"/>
                          <w:lock w:val="sdtLocked"/>
                          <w:richText/>
                        </w:sdtPr>
                        <w:sdtContent>
                          <w:r>
                            <w:rPr>
                              <w:color w:val="000000"/>
                            </w:rPr>
                            <w:t>21.4</w:t>
                          </w:r>
                        </w:sdtContent>
                      </w:sdt>
                      <w:r>
                        <w:rPr>
                          <w:color w:val="000000"/>
                        </w:rPr>
                        <w:t>. lėtinės kraujotakos sistemos ligos:</w:t>
                      </w:r>
                    </w:p>
                    <w:sdt>
                      <w:sdtPr>
                        <w:alias w:val="13 pr. 21.4.1 p."/>
                        <w:tag w:val="part_93c5d6bfcb0742ed822492029b065179"/>
                        <w:lock w:val="sdtLocked"/>
                        <w:richText/>
                      </w:sdtPr>
                      <w:sdtContent>
                        <w:p>
                          <w:pPr>
                            <w:widowControl w:val="0"/>
                            <w:suppressAutoHyphens/>
                            <w:ind w:firstLine="567"/>
                            <w:jc w:val="both"/>
                            <w:rPr>
                              <w:color w:val="000000"/>
                            </w:rPr>
                          </w:pPr>
                          <w:sdt>
                            <w:sdtPr>
                              <w:alias w:val="Numeris"/>
                              <w:tag w:val="nr_93c5d6bfcb0742ed822492029b065179"/>
                              <w:lock w:val="sdtLocked"/>
                              <w:richText/>
                            </w:sdtPr>
                            <w:sdtContent>
                              <w:r>
                                <w:rPr>
                                  <w:color w:val="000000"/>
                                </w:rPr>
                                <w:t>21.4.1</w:t>
                              </w:r>
                            </w:sdtContent>
                          </w:sdt>
                          <w:r>
                            <w:rPr>
                              <w:color w:val="000000"/>
                            </w:rPr>
                            <w:t>. nekoreguoti ir pasikartojantys paroksizminės skilvelinės tachikardijos epizodai su hemodinamikos sutrikimais I47.2;</w:t>
                          </w:r>
                        </w:p>
                      </w:sdtContent>
                    </w:sdt>
                    <w:sdt>
                      <w:sdtPr>
                        <w:alias w:val="13 pr. 21.4.2 p."/>
                        <w:tag w:val="part_0fe85792ae6e4bfdbe3805b5d204553a"/>
                        <w:lock w:val="sdtLocked"/>
                        <w:richText/>
                      </w:sdtPr>
                      <w:sdtContent>
                        <w:p>
                          <w:pPr>
                            <w:widowControl w:val="0"/>
                            <w:suppressAutoHyphens/>
                            <w:ind w:firstLine="567"/>
                            <w:jc w:val="both"/>
                            <w:rPr>
                              <w:color w:val="000000"/>
                            </w:rPr>
                          </w:pPr>
                          <w:sdt>
                            <w:sdtPr>
                              <w:alias w:val="Numeris"/>
                              <w:tag w:val="nr_0fe85792ae6e4bfdbe3805b5d204553a"/>
                              <w:lock w:val="sdtLocked"/>
                              <w:richText/>
                            </w:sdtPr>
                            <w:sdtContent>
                              <w:r>
                                <w:rPr>
                                  <w:color w:val="000000"/>
                                </w:rPr>
                                <w:t>21.4.2</w:t>
                              </w:r>
                            </w:sdtContent>
                          </w:sdt>
                          <w:r>
                            <w:rPr>
                              <w:color w:val="000000"/>
                            </w:rPr>
                            <w:t>. nekoreguota atrioventrikulinė blokada su hemodinamikos sutrikimais I44.2;</w:t>
                          </w:r>
                        </w:p>
                      </w:sdtContent>
                    </w:sdt>
                    <w:sdt>
                      <w:sdtPr>
                        <w:alias w:val="13 pr. 21.4.3 p."/>
                        <w:tag w:val="part_2a50b04df63f4a5babea9a29bd99e5b5"/>
                        <w:lock w:val="sdtLocked"/>
                        <w:richText/>
                      </w:sdtPr>
                      <w:sdtContent>
                        <w:p>
                          <w:pPr>
                            <w:widowControl w:val="0"/>
                            <w:suppressAutoHyphens/>
                            <w:ind w:firstLine="567"/>
                            <w:jc w:val="both"/>
                            <w:rPr>
                              <w:color w:val="000000"/>
                            </w:rPr>
                          </w:pPr>
                          <w:sdt>
                            <w:sdtPr>
                              <w:alias w:val="Numeris"/>
                              <w:tag w:val="nr_2a50b04df63f4a5babea9a29bd99e5b5"/>
                              <w:lock w:val="sdtLocked"/>
                              <w:richText/>
                            </w:sdtPr>
                            <w:sdtContent>
                              <w:r>
                                <w:rPr>
                                  <w:color w:val="000000"/>
                                </w:rPr>
                                <w:t>21.4.3</w:t>
                              </w:r>
                            </w:sdtContent>
                          </w:sdt>
                          <w:r>
                            <w:rPr>
                              <w:color w:val="000000"/>
                            </w:rPr>
                            <w:t>. sunkios lėtinės kraujotakos sistemos ligos su nepakankamumu I50–I52, funkcinė klasė pagal NYHA IV, stadija D; (esant sunkiems širdies ir kraujagyslių funkcijos sutrikimams, juos koregavus, individualiu atveju</w:t>
                          </w:r>
                          <w:r>
                            <w:rPr>
                              <w:b/>
                              <w:bCs/>
                              <w:color w:val="000000"/>
                            </w:rPr>
                            <w:t xml:space="preserve"> </w:t>
                          </w:r>
                          <w:r>
                            <w:rPr>
                              <w:color w:val="000000"/>
                            </w:rPr>
                            <w:t>dėl galimybės dirbti sprendžia gydytojas kardiologas);</w:t>
                          </w:r>
                        </w:p>
                      </w:sdtContent>
                    </w:sdt>
                  </w:sdtContent>
                </w:sdt>
                <w:sdt>
                  <w:sdtPr>
                    <w:alias w:val="13 pr. 21.5 p."/>
                    <w:tag w:val="part_b4e6ce34c8bb4751a0a428b32d999392"/>
                    <w:lock w:val="sdtLocked"/>
                    <w:richText/>
                  </w:sdtPr>
                  <w:sdtContent>
                    <w:p>
                      <w:pPr>
                        <w:widowControl w:val="0"/>
                        <w:suppressAutoHyphens/>
                        <w:ind w:firstLine="567"/>
                        <w:jc w:val="both"/>
                        <w:rPr>
                          <w:color w:val="000000"/>
                        </w:rPr>
                      </w:pPr>
                      <w:sdt>
                        <w:sdtPr>
                          <w:alias w:val="Numeris"/>
                          <w:tag w:val="nr_b4e6ce34c8bb4751a0a428b32d999392"/>
                          <w:lock w:val="sdtLocked"/>
                          <w:richText/>
                        </w:sdtPr>
                        <w:sdtContent>
                          <w:r>
                            <w:rPr>
                              <w:color w:val="000000"/>
                            </w:rPr>
                            <w:t>21.5</w:t>
                          </w:r>
                        </w:sdtContent>
                      </w:sdt>
                      <w:r>
                        <w:rPr>
                          <w:color w:val="000000"/>
                        </w:rPr>
                        <w:t>. lėtinės kvėpavimo takų ligos J41–J47, kai yra indikacijų gydyti ilgalaike oksigenoterapija;</w:t>
                      </w:r>
                    </w:p>
                  </w:sdtContent>
                </w:sdt>
                <w:sdt>
                  <w:sdtPr>
                    <w:alias w:val="13 pr. 21.6 p."/>
                    <w:tag w:val="part_8975c739c00049deafc0283be38ec3e8"/>
                    <w:lock w:val="sdtLocked"/>
                    <w:richText/>
                  </w:sdtPr>
                  <w:sdtContent>
                    <w:p>
                      <w:pPr>
                        <w:widowControl w:val="0"/>
                        <w:suppressAutoHyphens/>
                        <w:ind w:firstLine="567"/>
                        <w:jc w:val="both"/>
                        <w:rPr>
                          <w:color w:val="000000"/>
                        </w:rPr>
                      </w:pPr>
                      <w:sdt>
                        <w:sdtPr>
                          <w:alias w:val="Numeris"/>
                          <w:tag w:val="nr_8975c739c00049deafc0283be38ec3e8"/>
                          <w:lock w:val="sdtLocked"/>
                          <w:richText/>
                        </w:sdtPr>
                        <w:sdtContent>
                          <w:r>
                            <w:rPr>
                              <w:color w:val="000000"/>
                            </w:rPr>
                            <w:t>21.6</w:t>
                          </w:r>
                        </w:sdtContent>
                      </w:sdt>
                      <w:r>
                        <w:rPr>
                          <w:color w:val="000000"/>
                        </w:rPr>
                        <w:t>. cukrinis diabetas, gydomas insulinu, sulfonilkarbamidais ar glinidais, esant hipoglikeminėms būklėms, ir kiti gliukozės apykaitos ir kasos vidinės sekrecijos funkcijos sutrikimai E10.0–E14.0; E15</w:t>
                      </w:r>
                      <w:r>
                        <w:rPr>
                          <w:b/>
                          <w:bCs/>
                          <w:color w:val="000000"/>
                        </w:rPr>
                        <w:t xml:space="preserve"> </w:t>
                      </w:r>
                      <w:r>
                        <w:rPr>
                          <w:color w:val="000000"/>
                        </w:rPr>
                        <w:t>(individualiu atveju</w:t>
                      </w:r>
                      <w:r>
                        <w:rPr>
                          <w:b/>
                          <w:bCs/>
                          <w:color w:val="000000"/>
                        </w:rPr>
                        <w:t xml:space="preserve"> </w:t>
                      </w:r>
                      <w:r>
                        <w:rPr>
                          <w:color w:val="000000"/>
                        </w:rPr>
                        <w:t>dėl galimybės dirbti sprendžia gydytojas endokrinologas).</w:t>
                      </w:r>
                    </w:p>
                    <w:p>
                      <w:pPr>
                        <w:widowControl w:val="0"/>
                        <w:suppressAutoHyphens/>
                        <w:ind w:firstLine="567"/>
                        <w:jc w:val="both"/>
                        <w:rPr>
                          <w:color w:val="000000"/>
                        </w:rPr>
                      </w:pPr>
                    </w:p>
                  </w:sdtContent>
                </w:sdt>
              </w:sdtContent>
            </w:sdt>
          </w:sdtContent>
        </w:sdt>
        <w:sdt>
          <w:sdtPr>
            <w:alias w:val="skyrius"/>
            <w:tag w:val="part_b5c728a06ab44851b2568b63233e8a70"/>
            <w:lock w:val="sdtLocked"/>
            <w:richText/>
          </w:sdtPr>
          <w:sdtContent>
            <w:p>
              <w:pPr>
                <w:keepLines/>
                <w:widowControl w:val="0"/>
                <w:suppressAutoHyphens/>
                <w:jc w:val="center"/>
                <w:rPr>
                  <w:b/>
                  <w:bCs/>
                  <w:caps/>
                  <w:color w:val="000000"/>
                </w:rPr>
              </w:pPr>
              <w:sdt>
                <w:sdtPr>
                  <w:alias w:val="Numeris"/>
                  <w:tag w:val="nr_b5c728a06ab44851b2568b63233e8a70"/>
                  <w:lock w:val="sdtLocked"/>
                  <w:richText/>
                </w:sdtPr>
                <w:sdtContent>
                  <w:r>
                    <w:rPr>
                      <w:b/>
                      <w:bCs/>
                      <w:caps/>
                      <w:color w:val="000000"/>
                    </w:rPr>
                    <w:t>IV</w:t>
                  </w:r>
                </w:sdtContent>
              </w:sdt>
              <w:r>
                <w:rPr>
                  <w:b/>
                  <w:bCs/>
                  <w:caps/>
                  <w:color w:val="000000"/>
                </w:rPr>
                <w:t xml:space="preserve">. </w:t>
              </w:r>
              <w:sdt>
                <w:sdtPr>
                  <w:alias w:val="Pavadinimas"/>
                  <w:tag w:val="title_b5c728a06ab44851b2568b63233e8a70"/>
                  <w:lock w:val="sdtLocked"/>
                  <w:richText/>
                </w:sdtPr>
                <w:sdtContent>
                  <w:r>
                    <w:rPr>
                      <w:b/>
                      <w:bCs/>
                      <w:caps/>
                      <w:color w:val="000000"/>
                    </w:rPr>
                    <w:t>baigiamosios nuostatos</w:t>
                  </w:r>
                </w:sdtContent>
              </w:sdt>
            </w:p>
            <w:p>
              <w:pPr>
                <w:widowControl w:val="0"/>
                <w:suppressAutoHyphens/>
                <w:ind w:firstLine="567"/>
                <w:jc w:val="both"/>
                <w:rPr>
                  <w:color w:val="000000"/>
                </w:rPr>
              </w:pPr>
            </w:p>
            <w:sdt>
              <w:sdtPr>
                <w:alias w:val="13 pr. 22 p."/>
                <w:tag w:val="part_6fe199d2046d4464a9a88571df9276ed"/>
                <w:lock w:val="sdtLocked"/>
                <w:richText/>
              </w:sdtPr>
              <w:sdtContent>
                <w:p>
                  <w:pPr>
                    <w:tabs>
                      <w:tab w:val="left" w:pos="0"/>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rPr>
                      <w:color w:val="000000"/>
                    </w:rPr>
                  </w:pPr>
                  <w:sdt>
                    <w:sdtPr>
                      <w:alias w:val="Numeris"/>
                      <w:tag w:val="nr_6fe199d2046d4464a9a88571df9276ed"/>
                      <w:lock w:val="sdtLocked"/>
                      <w:richText/>
                    </w:sdtPr>
                    <w:sdtContent>
                      <w:r>
                        <w:rPr>
                          <w:color w:val="000000"/>
                          <w:szCs w:val="24"/>
                        </w:rPr>
                        <w:t>22</w:t>
                      </w:r>
                    </w:sdtContent>
                  </w:sdt>
                  <w:r>
                    <w:rPr>
                      <w:color w:val="000000"/>
                      <w:szCs w:val="24"/>
                    </w:rPr>
                    <w:t>. Kiekvienas sveikatą tikrinantis gydytojas atsako už sveikatos tikrinimo kokybę ir įrašo tikrinimo rezultatus į formą Nr. E025.</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c1d914846111efabdbb4a1fc8b0b63">
                    <w:r w:rsidRPr="00532B9F">
                      <w:rPr>
                        <w:rFonts w:ascii="Times New Roman" w:eastAsia="MS Mincho" w:hAnsi="Times New Roman"/>
                        <w:sz w:val="20"/>
                        <w:i/>
                        <w:iCs/>
                        <w:color w:val="0000FF" w:themeColor="hyperlink"/>
                        <w:u w:val="single"/>
                      </w:rPr>
                      <w:t>V-966</w:t>
                    </w:r>
                  </w:fldSimple>
                  <w:r>
                    <w:rPr>
                      <w:rFonts w:ascii="Times New Roman" w:eastAsia="MS Mincho" w:hAnsi="Times New Roman"/>
                      <w:sz w:val="20"/>
                      <w:i/>
                      <w:iCs/>
                    </w:rPr>
                    <w:t>,
2024-10-07,
paskelbta TAR 2024-10-07, i. k. 2024-17546            </w:t>
                  </w:r>
                </w:p>
                <w:p/>
              </w:sdtContent>
            </w:sdt>
            <w:sdt>
              <w:sdtPr>
                <w:alias w:val="13 pr. 23 p."/>
                <w:tag w:val="part_c8e8cb92b08a4264a5e588d5afe4bfbb"/>
                <w:lock w:val="sdtLocked"/>
                <w:richText/>
              </w:sdtPr>
              <w:sdtContent>
                <w:p>
                  <w:pPr>
                    <w:widowControl w:val="0"/>
                    <w:suppressAutoHyphens/>
                    <w:ind w:firstLine="567"/>
                    <w:jc w:val="both"/>
                    <w:rPr>
                      <w:color w:val="000000"/>
                    </w:rPr>
                  </w:pPr>
                  <w:sdt>
                    <w:sdtPr>
                      <w:alias w:val="Numeris"/>
                      <w:tag w:val="nr_c8e8cb92b08a4264a5e588d5afe4bfbb"/>
                      <w:lock w:val="sdtLocked"/>
                      <w:richText/>
                    </w:sdtPr>
                    <w:sdtContent>
                      <w:r>
                        <w:rPr>
                          <w:color w:val="000000"/>
                        </w:rPr>
                        <w:t>23</w:t>
                      </w:r>
                    </w:sdtContent>
                  </w:sdt>
                  <w:r>
                    <w:rPr>
                      <w:color w:val="000000"/>
                    </w:rPr>
                    <w:t>. Privalomai profilaktiškai patikrinus asmens sveikatą, darbdaviui atstovaujančio ar jo įgalioto asmens prašymu ASPĮ gali būti apibendrinami rezultatai, pateikiamos rekomendacijos dėl įdarbinimo.</w:t>
                  </w:r>
                </w:p>
              </w:sdtContent>
            </w:sdt>
            <w:sdt>
              <w:sdtPr>
                <w:alias w:val="13 pr. 24 p."/>
                <w:tag w:val="part_29610328ceef454b8ee05c4fff66e229"/>
                <w:lock w:val="sdtLocked"/>
                <w:richText/>
              </w:sdtPr>
              <w:sdtContent>
                <w:p>
                  <w:pPr>
                    <w:widowControl w:val="0"/>
                    <w:suppressAutoHyphens/>
                    <w:ind w:firstLine="567"/>
                    <w:jc w:val="both"/>
                    <w:rPr>
                      <w:color w:val="000000"/>
                    </w:rPr>
                  </w:pPr>
                  <w:sdt>
                    <w:sdtPr>
                      <w:alias w:val="Numeris"/>
                      <w:tag w:val="nr_29610328ceef454b8ee05c4fff66e229"/>
                      <w:lock w:val="sdtLocked"/>
                      <w:richText/>
                    </w:sdtPr>
                    <w:sdtContent>
                      <w:r>
                        <w:rPr>
                          <w:color w:val="000000"/>
                        </w:rPr>
                        <w:t>24</w:t>
                      </w:r>
                    </w:sdtContent>
                  </w:sdt>
                  <w:r>
                    <w:rPr>
                      <w:color w:val="000000"/>
                    </w:rPr>
                    <w:t>. Po privalomo profilaktinio periodinio darbuotojų sveikatos tikrinimo darbdaviui atstovaujančio ar jo įgalioto asmens prašymu gali būti surašomas šio priedo 3 lentelėje nurodytus reikalavimus atitinkantis protokolas.</w:t>
                  </w:r>
                </w:p>
              </w:sdtContent>
            </w:sdt>
            <w:sdt>
              <w:sdtPr>
                <w:alias w:val="13 pr. 25 p."/>
                <w:tag w:val="part_192ea6384b5a4f40a7fcc02496f0d619"/>
                <w:lock w:val="sdtLocked"/>
                <w:richText/>
              </w:sdtPr>
              <w:sdtContent>
                <w:p>
                  <w:pPr>
                    <w:tabs>
                      <w:tab w:val="left" w:pos="0"/>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rPr>
                      <w:color w:val="000000"/>
                    </w:rPr>
                  </w:pPr>
                  <w:sdt>
                    <w:sdtPr>
                      <w:alias w:val="Numeris"/>
                      <w:tag w:val="nr_192ea6384b5a4f40a7fcc02496f0d619"/>
                      <w:lock w:val="sdtLocked"/>
                      <w:richText/>
                    </w:sdtPr>
                    <w:sdtContent>
                      <w:r>
                        <w:rPr>
                          <w:color w:val="000000"/>
                          <w:szCs w:val="24"/>
                        </w:rPr>
                        <w:t>25</w:t>
                      </w:r>
                    </w:sdtContent>
                  </w:sdt>
                  <w:r>
                    <w:rPr>
                      <w:color w:val="000000"/>
                      <w:szCs w:val="24"/>
                    </w:rPr>
                    <w:t>. Atlikus privalomą profilaktinį sveikatos patikrinimą forma Nr. 047/a arba forma Nr.048/a išduodama asmeniui, kuris pats ją pateikia darbdaviui atstovaujančiam ar jo įgaliotam asmeniui. Jeigu ASPĮ, atliekančioje privalomą sveikatos patikrinimą,</w:t>
                  </w:r>
                  <w:r>
                    <w:rPr>
                      <w:b/>
                      <w:bCs/>
                      <w:szCs w:val="24"/>
                    </w:rPr>
                    <w:t xml:space="preserve"> </w:t>
                  </w:r>
                  <w:r>
                    <w:rPr>
                      <w:szCs w:val="24"/>
                    </w:rPr>
                    <w:t xml:space="preserve">gauta darbdaviui atstovaujančio ar jo įgalioto asmens elektroniniu būdu užpildytos formos Nr. E047 ar formos Nr. E048 darbdavio dalis, atlikus </w:t>
                  </w:r>
                  <w:r>
                    <w:rPr>
                      <w:color w:val="000000"/>
                      <w:szCs w:val="24"/>
                    </w:rPr>
                    <w:t>privalomą profilaktinį</w:t>
                  </w:r>
                  <w:r>
                    <w:rPr>
                      <w:b/>
                      <w:bCs/>
                      <w:color w:val="000000"/>
                      <w:szCs w:val="24"/>
                    </w:rPr>
                    <w:t xml:space="preserve"> </w:t>
                  </w:r>
                  <w:r>
                    <w:rPr>
                      <w:szCs w:val="24"/>
                    </w:rPr>
                    <w:t>sveikatos patikrinimą, ESPBI IS yra užpildoma atitinkamos formos ASPĮ dalis</w:t>
                  </w:r>
                  <w:r>
                    <w:rPr>
                      <w:color w:val="000000"/>
                      <w:szCs w:val="24"/>
                    </w:rPr>
                    <w:t>. Esant ESPBI IS arba ASPĮ vidinių informacinės sistemos veikimo sutrikimų, forma Nr. E047 arba forma Nr. E048 užpildoma atkūrus sistemos / sistemų veiklą. Užpildytą formą Nr. E047 arba formą Nr. E048 darbdaviui atstovaujantis ar jo įgaliotas asmuo gauna tiesiogiai elektroninėmis priemonėmis. Pacientui pageidaujant, ASPĮ nustatyta tvarka išduodama atspausdinta formos Nr. E047 arba formos Nr. E048 kopija.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c1d914846111efabdbb4a1fc8b0b63">
                    <w:r w:rsidRPr="00532B9F">
                      <w:rPr>
                        <w:rFonts w:ascii="Times New Roman" w:eastAsia="MS Mincho" w:hAnsi="Times New Roman"/>
                        <w:sz w:val="20"/>
                        <w:i/>
                        <w:iCs/>
                        <w:color w:val="0000FF" w:themeColor="hyperlink"/>
                        <w:u w:val="single"/>
                      </w:rPr>
                      <w:t>V-966</w:t>
                    </w:r>
                  </w:fldSimple>
                  <w:r>
                    <w:rPr>
                      <w:rFonts w:ascii="Times New Roman" w:eastAsia="MS Mincho" w:hAnsi="Times New Roman"/>
                      <w:sz w:val="20"/>
                      <w:i/>
                      <w:iCs/>
                    </w:rPr>
                    <w:t>,
2024-10-07,
paskelbta TAR 2024-10-07, i. k. 2024-17546            </w:t>
                  </w:r>
                </w:p>
                <w:p/>
              </w:sdtContent>
            </w:sdt>
            <w:sdt>
              <w:sdtPr>
                <w:alias w:val="13 pr. 26 p."/>
                <w:tag w:val="part_2343db4f87854c02bf94ee33b551d36c"/>
                <w:lock w:val="sdtLocked"/>
                <w:richText/>
              </w:sdtPr>
              <w:sdtContent>
                <w:p>
                  <w:pPr>
                    <w:tabs>
                      <w:tab w:val="left" w:pos="0"/>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rPr>
                      <w:color w:val="000000"/>
                    </w:rPr>
                  </w:pPr>
                  <w:sdt>
                    <w:sdtPr>
                      <w:alias w:val="Numeris"/>
                      <w:tag w:val="nr_2343db4f87854c02bf94ee33b551d36c"/>
                      <w:lock w:val="sdtLocked"/>
                      <w:richText/>
                    </w:sdtPr>
                    <w:sdtContent>
                      <w:r>
                        <w:rPr>
                          <w:color w:val="000000"/>
                          <w:szCs w:val="24"/>
                        </w:rPr>
                        <w:t>26</w:t>
                      </w:r>
                    </w:sdtContent>
                  </w:sdt>
                  <w:r>
                    <w:rPr>
                      <w:color w:val="000000"/>
                      <w:szCs w:val="24"/>
                    </w:rPr>
                    <w:t xml:space="preserve">. </w:t>
                  </w:r>
                  <w:r>
                    <w:rPr>
                      <w:szCs w:val="24"/>
                    </w:rPr>
                    <w:t>Formos Nr. 047/a, Nr.048/a, Nr. E047, Nr. E048 saugomos Bendrųjų dokumentų saugojimo terminų rodyklėje, patvirtintoje Lietuvos vyriausiojo archyvaro 2011 m. kovo 9 d. įsakymu Nr. V-100 „Dėl Bendrųjų dokumentų saugojimo terminų rodyklės patvirtinimo“, nustatyta tvarka</w:t>
                  </w:r>
                  <w:r>
                    <w:rPr>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c1d914846111efabdbb4a1fc8b0b63">
                    <w:r w:rsidRPr="00532B9F">
                      <w:rPr>
                        <w:rFonts w:ascii="Times New Roman" w:eastAsia="MS Mincho" w:hAnsi="Times New Roman"/>
                        <w:sz w:val="20"/>
                        <w:i/>
                        <w:iCs/>
                        <w:color w:val="0000FF" w:themeColor="hyperlink"/>
                        <w:u w:val="single"/>
                      </w:rPr>
                      <w:t>V-966</w:t>
                    </w:r>
                  </w:fldSimple>
                  <w:r>
                    <w:rPr>
                      <w:rFonts w:ascii="Times New Roman" w:eastAsia="MS Mincho" w:hAnsi="Times New Roman"/>
                      <w:sz w:val="20"/>
                      <w:i/>
                      <w:iCs/>
                    </w:rPr>
                    <w:t>,
2024-10-07,
paskelbta TAR 2024-10-07, i. k. 2024-17546            </w:t>
                  </w:r>
                </w:p>
                <w:p/>
              </w:sdtContent>
            </w:sdt>
            <w:sdt>
              <w:sdtPr>
                <w:alias w:val="13 pr. 27 p."/>
                <w:tag w:val="part_2c3677f1232d494983ffdf60d08d784b"/>
                <w:lock w:val="sdtLocked"/>
                <w:richText/>
              </w:sdtPr>
              <w:sdtContent>
                <w:p>
                  <w:pPr>
                    <w:widowControl w:val="0"/>
                    <w:suppressAutoHyphens/>
                    <w:ind w:firstLine="567"/>
                    <w:jc w:val="both"/>
                    <w:rPr>
                      <w:color w:val="000000"/>
                    </w:rPr>
                  </w:pPr>
                  <w:sdt>
                    <w:sdtPr>
                      <w:alias w:val="Numeris"/>
                      <w:tag w:val="nr_2c3677f1232d494983ffdf60d08d784b"/>
                      <w:lock w:val="sdtLocked"/>
                      <w:richText/>
                    </w:sdtPr>
                    <w:sdtContent>
                      <w:r>
                        <w:rPr>
                          <w:color w:val="000000"/>
                        </w:rPr>
                        <w:t>27</w:t>
                      </w:r>
                    </w:sdtContent>
                  </w:sdt>
                  <w:r>
                    <w:rPr>
                      <w:color w:val="000000"/>
                    </w:rPr>
                    <w:t>. Kiekvienas to paprašęs darbuotojas gali susipažinti su savo asmenine medicinine dokumentacija.</w:t>
                  </w:r>
                </w:p>
              </w:sdtContent>
            </w:sdt>
            <w:sdt>
              <w:sdtPr>
                <w:alias w:val="13 pr. 28 p."/>
                <w:tag w:val="part_90a81f93255b488390317978c46725a4"/>
                <w:lock w:val="sdtLocked"/>
                <w:richText/>
              </w:sdtPr>
              <w:sdtContent>
                <w:p>
                  <w:pPr>
                    <w:tabs>
                      <w:tab w:val="left" w:pos="0"/>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rPr>
                      <w:color w:val="000000"/>
                    </w:rPr>
                  </w:pPr>
                  <w:sdt>
                    <w:sdtPr>
                      <w:alias w:val="Numeris"/>
                      <w:tag w:val="nr_90a81f93255b488390317978c46725a4"/>
                      <w:lock w:val="sdtLocked"/>
                      <w:richText/>
                    </w:sdtPr>
                    <w:sdtContent>
                      <w:r>
                        <w:rPr>
                          <w:color w:val="000000"/>
                          <w:szCs w:val="24"/>
                        </w:rPr>
                        <w:t>28</w:t>
                      </w:r>
                    </w:sdtContent>
                  </w:sdt>
                  <w:r>
                    <w:rPr>
                      <w:color w:val="000000"/>
                      <w:szCs w:val="24"/>
                    </w:rPr>
                    <w:t>. Sveikatos tikrinimo ir jo dokumentacijos kontrolę gali vykdyti ASPĮ vadovai ar jų įgalioti asmenys. Formos Nr. 047/a (ar formos Nr. E047) ir formos Nr. 048/a (ar formos Nr. E048) įrašus turi teisę tikrinti darbdavys arba jo įgaliotas asmuo, Valstybinės darbo inspekcijos darbo inspektoriai, ASPĮ vadovai ar jų įgalioti asmenys.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c1d914846111efabdbb4a1fc8b0b63">
                    <w:r w:rsidRPr="00532B9F">
                      <w:rPr>
                        <w:rFonts w:ascii="Times New Roman" w:eastAsia="MS Mincho" w:hAnsi="Times New Roman"/>
                        <w:sz w:val="20"/>
                        <w:i/>
                        <w:iCs/>
                        <w:color w:val="0000FF" w:themeColor="hyperlink"/>
                        <w:u w:val="single"/>
                      </w:rPr>
                      <w:t>V-966</w:t>
                    </w:r>
                  </w:fldSimple>
                  <w:r>
                    <w:rPr>
                      <w:rFonts w:ascii="Times New Roman" w:eastAsia="MS Mincho" w:hAnsi="Times New Roman"/>
                      <w:sz w:val="20"/>
                      <w:i/>
                      <w:iCs/>
                    </w:rPr>
                    <w:t>,
2024-10-07,
paskelbta TAR 2024-10-07, i. k. 2024-17546            </w:t>
                  </w:r>
                </w:p>
                <w:p/>
              </w:sdtContent>
            </w:sdt>
            <w:sdt>
              <w:sdtPr>
                <w:alias w:val="13 pr. 29 p."/>
                <w:tag w:val="part_54cf3303a93442c69da2581b7bf3ad43"/>
                <w:lock w:val="sdtLocked"/>
                <w:richText/>
              </w:sdtPr>
              <w:sdtContent>
                <w:p>
                  <w:pPr>
                    <w:widowControl w:val="0"/>
                    <w:suppressAutoHyphens/>
                    <w:ind w:firstLine="567"/>
                    <w:jc w:val="both"/>
                    <w:rPr>
                      <w:color w:val="000000"/>
                    </w:rPr>
                  </w:pPr>
                  <w:sdt>
                    <w:sdtPr>
                      <w:alias w:val="Numeris"/>
                      <w:tag w:val="nr_54cf3303a93442c69da2581b7bf3ad43"/>
                      <w:lock w:val="sdtLocked"/>
                      <w:richText/>
                    </w:sdtPr>
                    <w:sdtContent>
                      <w:r>
                        <w:rPr>
                          <w:color w:val="000000"/>
                        </w:rPr>
                        <w:t>29</w:t>
                      </w:r>
                    </w:sdtContent>
                  </w:sdt>
                  <w:r>
                    <w:rPr>
                      <w:color w:val="000000"/>
                    </w:rPr>
                    <w:t>. Gydytojo įrašytos išvados yra privalomos darbdaviui atstovaujančiam ar jo įgaliotam asmeniui ir darbuotojui.</w:t>
                  </w:r>
                </w:p>
              </w:sdtContent>
            </w:sdt>
            <w:sdt>
              <w:sdtPr>
                <w:alias w:val="13 pr. 30 p."/>
                <w:tag w:val="part_45766f2e2e1f4880a4b0132b5970d7ed"/>
                <w:lock w:val="sdtLocked"/>
                <w:richText/>
              </w:sdtPr>
              <w:sdtContent>
                <w:p>
                  <w:pPr>
                    <w:ind w:firstLine="567"/>
                    <w:jc w:val="both"/>
                    <w:rPr>
                      <w:color w:val="000000"/>
                    </w:rPr>
                  </w:pPr>
                  <w:sdt>
                    <w:sdtPr>
                      <w:alias w:val="Numeris"/>
                      <w:tag w:val="nr_45766f2e2e1f4880a4b0132b5970d7ed"/>
                      <w:lock w:val="sdtLocked"/>
                      <w:richText/>
                    </w:sdtPr>
                    <w:sdtContent>
                      <w:r>
                        <w:rPr>
                          <w:color w:val="000000"/>
                          <w:szCs w:val="24"/>
                        </w:rPr>
                        <w:t>30</w:t>
                      </w:r>
                    </w:sdtContent>
                  </w:sdt>
                  <w:r>
                    <w:rPr>
                      <w:color w:val="000000"/>
                      <w:szCs w:val="24"/>
                    </w:rPr>
                    <w:t>. Įrašų apie sveikatos būklę informacija turi būti tęstinė. Jei darbuotojui buvo išduota forma Nr. 048/a, darbdaviui atstovaujantis ar jo įgaliotas asmuo, atleisdamas jį iš darbo, turi pasilikti formos Nr. 048/a patvirtintą kopiją, o formos Nr. 048/a originalą atiduoti darbuotojui, kuris įsidarbindamas pateikia jį naujam darbdaviui. Jei ESPBI IS buvo užpildyta forma Nr. E048 elektroniniu būdu, po paskutinio sveikatos patikrinimo įsidarbinantis asmuo naujam darbdaviui pateikia atspausdintą formos Nr. E048 kopiją arba ESPBI IS suformuoja peržiūros kodą.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c1d914846111efabdbb4a1fc8b0b63">
                    <w:r w:rsidRPr="00532B9F">
                      <w:rPr>
                        <w:rFonts w:ascii="Times New Roman" w:eastAsia="MS Mincho" w:hAnsi="Times New Roman"/>
                        <w:sz w:val="20"/>
                        <w:i/>
                        <w:iCs/>
                        <w:color w:val="0000FF" w:themeColor="hyperlink"/>
                        <w:u w:val="single"/>
                      </w:rPr>
                      <w:t>V-966</w:t>
                    </w:r>
                  </w:fldSimple>
                  <w:r>
                    <w:rPr>
                      <w:rFonts w:ascii="Times New Roman" w:eastAsia="MS Mincho" w:hAnsi="Times New Roman"/>
                      <w:sz w:val="20"/>
                      <w:i/>
                      <w:iCs/>
                    </w:rPr>
                    <w:t>,
2024-10-07,
paskelbta TAR 2024-10-07, i. k. 2024-17546            </w:t>
                  </w:r>
                </w:p>
                <w:p/>
              </w:sdtContent>
            </w:sdt>
            <w:sdt>
              <w:sdtPr>
                <w:alias w:val="13 pr. 31 p."/>
                <w:tag w:val="part_01bfcdd64dd74bc9b0c2893e6dc6c605"/>
                <w:lock w:val="sdtLocked"/>
                <w:richText/>
              </w:sdtPr>
              <w:sdtContent>
                <w:p>
                  <w:pPr>
                    <w:widowControl w:val="0"/>
                    <w:suppressAutoHyphens/>
                    <w:ind w:firstLine="567"/>
                    <w:jc w:val="both"/>
                    <w:rPr>
                      <w:color w:val="000000"/>
                    </w:rPr>
                  </w:pPr>
                  <w:sdt>
                    <w:sdtPr>
                      <w:alias w:val="Numeris"/>
                      <w:tag w:val="nr_01bfcdd64dd74bc9b0c2893e6dc6c605"/>
                      <w:lock w:val="sdtLocked"/>
                      <w:richText/>
                    </w:sdtPr>
                    <w:sdtContent>
                      <w:r>
                        <w:rPr>
                          <w:color w:val="000000"/>
                        </w:rPr>
                        <w:t>31</w:t>
                      </w:r>
                    </w:sdtContent>
                  </w:sdt>
                  <w:r>
                    <w:rPr>
                      <w:color w:val="000000"/>
                    </w:rPr>
                    <w:t>. Sudėtingais ir konfliktiniais (kai išvadai reikia priimti individualius sprendimus) atvejais, 10.4. punkte nurodyto gydytojo siuntimu, įvertinusi konkrečios profesinės kvalifikacijos gydytojo išvadą, apie tinkamumą dirbti sprendžia Gydytojų konsultacinė komisija.</w:t>
                  </w:r>
                </w:p>
              </w:sdtContent>
            </w:sdt>
            <w:sdt>
              <w:sdtPr>
                <w:alias w:val="13 pr. 32 p."/>
                <w:tag w:val="part_7861c5eb2fbb4d258dc58640112de86e"/>
                <w:lock w:val="sdtLocked"/>
                <w:richText/>
              </w:sdtPr>
              <w:sdtContent>
                <w:p>
                  <w:pPr>
                    <w:widowControl w:val="0"/>
                    <w:suppressAutoHyphens/>
                    <w:ind w:firstLine="567"/>
                    <w:jc w:val="both"/>
                    <w:rPr>
                      <w:color w:val="000000"/>
                    </w:rPr>
                  </w:pPr>
                  <w:sdt>
                    <w:sdtPr>
                      <w:alias w:val="Numeris"/>
                      <w:tag w:val="nr_7861c5eb2fbb4d258dc58640112de86e"/>
                      <w:lock w:val="sdtLocked"/>
                      <w:richText/>
                    </w:sdtPr>
                    <w:sdtContent>
                      <w:r>
                        <w:rPr>
                          <w:color w:val="000000"/>
                        </w:rPr>
                        <w:t>32</w:t>
                      </w:r>
                    </w:sdtContent>
                  </w:sdt>
                  <w:r>
                    <w:rPr>
                      <w:color w:val="000000"/>
                    </w:rPr>
                    <w:t xml:space="preserve">. Jei privalomo profilaktinio sveikatos tikrinimo metu asmeniui įtariama profesinė liga, apie ją pranešama, vadovaujantis Profesinių ligų tyrimo ir apskaitos nuostatais, patvirtintais Lietuvos Respublikos Vyriausybės 2004 m. balandžio 28 d. nutarimu Nr. 487 „Dėl profesinių ligų tyrimo ir apskaitos nuostatų patvirtinimo“ (Žin., 2004, Nr. </w:t>
                  </w:r>
                  <w:hyperlink r:id="rId68" w:tgtFrame="_blank" w:history="1">
                    <w:r>
                      <w:rPr>
                        <w:color w:val="0000FF" w:themeColor="hyperlink"/>
                        <w:u w:val="single"/>
                      </w:rPr>
                      <w:t>69-2398</w:t>
                    </w:r>
                  </w:hyperlink>
                  <w:r>
                    <w:rPr>
                      <w:color w:val="000000"/>
                    </w:rPr>
                    <w:t>).</w:t>
                  </w:r>
                </w:p>
              </w:sdtContent>
            </w:sdt>
            <w:sdt>
              <w:sdtPr>
                <w:alias w:val="13 pr. 33 p."/>
                <w:tag w:val="part_f68e0d66bc1d4b57a460d6ec957df00c"/>
                <w:lock w:val="sdtLocked"/>
                <w:richText/>
              </w:sdtPr>
              <w:sdtContent>
                <w:p>
                  <w:pPr>
                    <w:widowControl w:val="0"/>
                    <w:suppressAutoHyphens/>
                    <w:ind w:firstLine="567"/>
                    <w:jc w:val="both"/>
                    <w:rPr>
                      <w:color w:val="000000"/>
                    </w:rPr>
                  </w:pPr>
                  <w:sdt>
                    <w:sdtPr>
                      <w:alias w:val="Numeris"/>
                      <w:tag w:val="nr_f68e0d66bc1d4b57a460d6ec957df00c"/>
                      <w:lock w:val="sdtLocked"/>
                      <w:richText/>
                    </w:sdtPr>
                    <w:sdtContent>
                      <w:r>
                        <w:rPr>
                          <w:color w:val="000000"/>
                        </w:rPr>
                        <w:t>33</w:t>
                      </w:r>
                    </w:sdtContent>
                  </w:sdt>
                  <w:r>
                    <w:rPr>
                      <w:color w:val="000000"/>
                    </w:rPr>
                    <w:t xml:space="preserve">. Asmuo, kuris nesutinka su privalomo sveikatos tikrinimo išvadomis, gali jas apskųsti Lietuvos Respublikos pacientų teisių ir žalos sveikatai atlyginimo įstatyme (Žin., 1996, Nr. </w:t>
                  </w:r>
                  <w:hyperlink r:id="rId69" w:tgtFrame="_blank" w:history="1">
                    <w:r>
                      <w:rPr>
                        <w:color w:val="0000FF" w:themeColor="hyperlink"/>
                        <w:u w:val="single"/>
                      </w:rPr>
                      <w:t>102-2317</w:t>
                    </w:r>
                  </w:hyperlink>
                  <w:r>
                    <w:rPr>
                      <w:color w:val="000000"/>
                    </w:rPr>
                    <w:t>; 2004,Nr. 115-4284) numatyta tvarka.</w:t>
                  </w:r>
                </w:p>
                <w:p/>
                <w:p>
                  <w:pPr>
                    <w:jc w:val="center"/>
                  </w:pPr>
                  <w:r>
                    <w:t>_________________</w:t>
                  </w:r>
                </w:p>
              </w:sdtContent>
            </w:sdt>
            <w:sdt>
              <w:sdtPr>
                <w:alias w:val="lentele"/>
                <w:tag w:val="part_3499587077194d49878499fb7fc83cd6"/>
                <w:lock w:val="sdtLocked"/>
                <w:richText/>
              </w:sdtPr>
              <w:sdtContent>
                <w:p/>
                <w:p>
                  <w:pPr>
                    <w:sectPr>
                      <w:pgSz w:w="11907" w:h="16840" w:code="9"/>
                      <w:pgMar w:top="1134" w:right="1134" w:bottom="1134" w:left="1701" w:header="567" w:footer="284" w:gutter="0"/>
                      <w:pgNumType w:start="1"/>
                      <w:cols w:space="1296"/>
                      <w:titlePg/>
                      <w:docGrid w:linePitch="360"/>
                    </w:sectPr>
                  </w:pPr>
                </w:p>
                <w:p>
                  <w:pPr>
                    <w:tabs>
                      <w:tab w:val="left" w:pos="567"/>
                    </w:tabs>
                    <w:jc w:val="right"/>
                    <w:rPr>
                      <w:sz w:val="20"/>
                    </w:rPr>
                  </w:pPr>
                  <w:r>
                    <w:rPr>
                      <w:sz w:val="20"/>
                    </w:rPr>
                    <w:t>1 lentelė</w:t>
                  </w:r>
                </w:p>
                <w:p>
                  <w:pPr>
                    <w:tabs>
                      <w:tab w:val="left" w:pos="567"/>
                    </w:tabs>
                    <w:jc w:val="center"/>
                    <w:rPr>
                      <w:sz w:val="20"/>
                    </w:rPr>
                  </w:pPr>
                </w:p>
                <w:p>
                  <w:pPr>
                    <w:tabs>
                      <w:tab w:val="left" w:pos="567"/>
                    </w:tabs>
                    <w:jc w:val="center"/>
                    <w:rPr>
                      <w:b/>
                      <w:sz w:val="20"/>
                    </w:rPr>
                  </w:pPr>
                  <w:r>
                    <w:rPr>
                      <w:b/>
                      <w:sz w:val="20"/>
                    </w:rPr>
                    <w:t>DARBAI, ĮRAŠYTI Į PAVOJINGŲ DARBŲ SĄRAŠĄ, KURIUOS DIRBANT IR (AR) PRIIMANT Į DARBĄ PRIVALOMA TIKRINTIS SVEIKATĄ.</w:t>
                  </w:r>
                </w:p>
                <w:p>
                  <w:pPr>
                    <w:tabs>
                      <w:tab w:val="left" w:pos="567"/>
                    </w:tabs>
                    <w:jc w:val="center"/>
                    <w:rPr>
                      <w:b/>
                      <w:sz w:val="20"/>
                    </w:rPr>
                  </w:pPr>
                  <w:r>
                    <w:rPr>
                      <w:b/>
                      <w:sz w:val="20"/>
                    </w:rPr>
                    <w:t>TIKRINIMŲ PERIODIŠKUMAS IR MASTAS. PAPILDOMOS KONTRAINDIKACIJOS</w:t>
                  </w:r>
                </w:p>
                <w:p>
                  <w:pPr>
                    <w:tabs>
                      <w:tab w:val="left" w:pos="567"/>
                    </w:tabs>
                    <w:jc w:val="center"/>
                    <w:rPr>
                      <w:b/>
                      <w:sz w:val="20"/>
                    </w:rPr>
                  </w:pPr>
                </w:p>
                <w:tbl>
                  <w:tblPr>
                    <w:tblW w:w="1474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470"/>
                    <w:gridCol w:w="1167"/>
                    <w:gridCol w:w="1571"/>
                    <w:gridCol w:w="1397"/>
                    <w:gridCol w:w="1571"/>
                    <w:gridCol w:w="16"/>
                    <w:gridCol w:w="6548"/>
                  </w:tblGrid>
                  <w:tr>
                    <w:trPr>
                      <w:cantSplit/>
                      <w:trHeight w:val="20"/>
                      <w:tblHeader/>
                    </w:trPr>
                    <w:tc>
                      <w:tcPr>
                        <w:tcW w:w="2470" w:type="dxa"/>
                        <w:vMerge w:val="restart"/>
                      </w:tcPr>
                      <w:p>
                        <w:pPr>
                          <w:jc w:val="center"/>
                          <w:rPr>
                            <w:sz w:val="18"/>
                            <w:szCs w:val="18"/>
                          </w:rPr>
                        </w:pPr>
                        <w:r>
                          <w:rPr>
                            <w:sz w:val="18"/>
                            <w:szCs w:val="18"/>
                          </w:rPr>
                          <w:t>Darbai, įrašyti į pavojingų darbų sąrašą</w:t>
                        </w:r>
                      </w:p>
                    </w:tc>
                    <w:tc>
                      <w:tcPr>
                        <w:tcW w:w="1167" w:type="dxa"/>
                        <w:vMerge w:val="restart"/>
                      </w:tcPr>
                      <w:p>
                        <w:pPr>
                          <w:jc w:val="center"/>
                          <w:rPr>
                            <w:sz w:val="18"/>
                            <w:szCs w:val="18"/>
                          </w:rPr>
                        </w:pPr>
                        <w:r>
                          <w:rPr>
                            <w:sz w:val="18"/>
                            <w:szCs w:val="18"/>
                          </w:rPr>
                          <w:t>Tikrinimų periodiškumas</w:t>
                        </w:r>
                      </w:p>
                    </w:tc>
                    <w:tc>
                      <w:tcPr>
                        <w:tcW w:w="2968" w:type="dxa"/>
                        <w:gridSpan w:val="2"/>
                      </w:tcPr>
                      <w:p>
                        <w:pPr>
                          <w:jc w:val="center"/>
                          <w:rPr>
                            <w:sz w:val="18"/>
                            <w:szCs w:val="18"/>
                          </w:rPr>
                        </w:pPr>
                        <w:r>
                          <w:rPr>
                            <w:sz w:val="18"/>
                            <w:szCs w:val="18"/>
                          </w:rPr>
                          <w:t>Sveikatos tikrintojai</w:t>
                        </w:r>
                      </w:p>
                    </w:tc>
                    <w:tc>
                      <w:tcPr>
                        <w:tcW w:w="1587" w:type="dxa"/>
                        <w:gridSpan w:val="2"/>
                        <w:vMerge w:val="restart"/>
                      </w:tcPr>
                      <w:p>
                        <w:pPr>
                          <w:jc w:val="center"/>
                          <w:rPr>
                            <w:sz w:val="18"/>
                            <w:szCs w:val="18"/>
                          </w:rPr>
                        </w:pPr>
                        <w:r>
                          <w:rPr>
                            <w:sz w:val="18"/>
                            <w:szCs w:val="18"/>
                          </w:rPr>
                          <w:t>Privalomi tyrimai</w:t>
                        </w:r>
                      </w:p>
                    </w:tc>
                    <w:tc>
                      <w:tcPr>
                        <w:tcW w:w="6548" w:type="dxa"/>
                        <w:vMerge w:val="restart"/>
                      </w:tcPr>
                      <w:p>
                        <w:pPr>
                          <w:widowControl w:val="0"/>
                          <w:jc w:val="center"/>
                          <w:rPr>
                            <w:sz w:val="18"/>
                            <w:szCs w:val="18"/>
                            <w:lang w:val="en-AU"/>
                          </w:rPr>
                        </w:pPr>
                        <w:r>
                          <w:rPr>
                            <w:rFonts w:ascii="TimesLT" w:hAnsi="TimesLT"/>
                            <w:sz w:val="18"/>
                            <w:szCs w:val="18"/>
                            <w:lang w:val="en-AU"/>
                          </w:rPr>
                          <w:t>Papildomos kontraindikacijos</w:t>
                        </w:r>
                      </w:p>
                    </w:tc>
                  </w:tr>
                  <w:tr>
                    <w:trPr>
                      <w:cantSplit/>
                      <w:trHeight w:val="20"/>
                      <w:tblHeader/>
                    </w:trPr>
                    <w:tc>
                      <w:tcPr>
                        <w:tcW w:w="2470" w:type="dxa"/>
                        <w:vMerge/>
                      </w:tcPr>
                      <w:p>
                        <w:pPr>
                          <w:rPr>
                            <w:sz w:val="18"/>
                            <w:szCs w:val="18"/>
                          </w:rPr>
                        </w:pPr>
                      </w:p>
                    </w:tc>
                    <w:tc>
                      <w:tcPr>
                        <w:tcW w:w="1167" w:type="dxa"/>
                        <w:vMerge/>
                      </w:tcPr>
                      <w:p>
                        <w:pPr>
                          <w:jc w:val="both"/>
                          <w:rPr>
                            <w:sz w:val="18"/>
                            <w:szCs w:val="18"/>
                          </w:rPr>
                        </w:pPr>
                      </w:p>
                    </w:tc>
                    <w:tc>
                      <w:tcPr>
                        <w:tcW w:w="1571" w:type="dxa"/>
                      </w:tcPr>
                      <w:p>
                        <w:pPr>
                          <w:jc w:val="center"/>
                          <w:rPr>
                            <w:sz w:val="18"/>
                            <w:szCs w:val="18"/>
                          </w:rPr>
                        </w:pPr>
                      </w:p>
                    </w:tc>
                    <w:tc>
                      <w:tcPr>
                        <w:tcW w:w="1397" w:type="dxa"/>
                        <w:tcBorders>
                          <w:top w:val="nil"/>
                        </w:tcBorders>
                      </w:tcPr>
                      <w:p>
                        <w:pPr>
                          <w:jc w:val="center"/>
                          <w:rPr>
                            <w:sz w:val="18"/>
                            <w:szCs w:val="18"/>
                          </w:rPr>
                        </w:pPr>
                      </w:p>
                    </w:tc>
                    <w:tc>
                      <w:tcPr>
                        <w:tcW w:w="1587" w:type="dxa"/>
                        <w:gridSpan w:val="2"/>
                        <w:vMerge/>
                      </w:tcPr>
                      <w:p>
                        <w:pPr>
                          <w:rPr>
                            <w:sz w:val="18"/>
                            <w:szCs w:val="18"/>
                          </w:rPr>
                        </w:pPr>
                      </w:p>
                    </w:tc>
                    <w:tc>
                      <w:tcPr>
                        <w:tcW w:w="6548" w:type="dxa"/>
                        <w:vMerge/>
                      </w:tcPr>
                      <w:p>
                        <w:pPr>
                          <w:rPr>
                            <w:sz w:val="18"/>
                            <w:szCs w:val="18"/>
                          </w:rPr>
                        </w:pPr>
                      </w:p>
                    </w:tc>
                  </w:tr>
                  <w:tr>
                    <w:trPr>
                      <w:cantSplit/>
                      <w:trHeight w:val="20"/>
                      <w:tblHeader/>
                    </w:trPr>
                    <w:tc>
                      <w:tcPr>
                        <w:tcW w:w="2470" w:type="dxa"/>
                      </w:tcPr>
                      <w:p>
                        <w:pPr>
                          <w:jc w:val="center"/>
                          <w:rPr>
                            <w:sz w:val="18"/>
                            <w:szCs w:val="18"/>
                          </w:rPr>
                        </w:pPr>
                        <w:r>
                          <w:rPr>
                            <w:sz w:val="18"/>
                            <w:szCs w:val="18"/>
                          </w:rPr>
                          <w:t>1</w:t>
                        </w:r>
                      </w:p>
                    </w:tc>
                    <w:tc>
                      <w:tcPr>
                        <w:tcW w:w="1167" w:type="dxa"/>
                      </w:tcPr>
                      <w:p>
                        <w:pPr>
                          <w:jc w:val="center"/>
                          <w:rPr>
                            <w:sz w:val="18"/>
                            <w:szCs w:val="18"/>
                          </w:rPr>
                        </w:pPr>
                        <w:r>
                          <w:rPr>
                            <w:sz w:val="18"/>
                            <w:szCs w:val="18"/>
                          </w:rPr>
                          <w:t>2</w:t>
                        </w:r>
                      </w:p>
                    </w:tc>
                    <w:tc>
                      <w:tcPr>
                        <w:tcW w:w="1571" w:type="dxa"/>
                        <w:tcBorders>
                          <w:bottom w:val="single" w:sz="4" w:space="0" w:color="auto"/>
                        </w:tcBorders>
                      </w:tcPr>
                      <w:p>
                        <w:pPr>
                          <w:jc w:val="center"/>
                          <w:rPr>
                            <w:bCs/>
                            <w:sz w:val="18"/>
                            <w:szCs w:val="18"/>
                          </w:rPr>
                        </w:pPr>
                        <w:r>
                          <w:rPr>
                            <w:bCs/>
                            <w:sz w:val="18"/>
                            <w:szCs w:val="18"/>
                          </w:rPr>
                          <w:t>3</w:t>
                        </w:r>
                      </w:p>
                    </w:tc>
                    <w:tc>
                      <w:tcPr>
                        <w:tcW w:w="1397" w:type="dxa"/>
                      </w:tcPr>
                      <w:p>
                        <w:pPr>
                          <w:jc w:val="center"/>
                          <w:rPr>
                            <w:sz w:val="18"/>
                            <w:szCs w:val="18"/>
                          </w:rPr>
                        </w:pPr>
                        <w:r>
                          <w:rPr>
                            <w:sz w:val="18"/>
                            <w:szCs w:val="18"/>
                          </w:rPr>
                          <w:t>4</w:t>
                        </w:r>
                      </w:p>
                    </w:tc>
                    <w:tc>
                      <w:tcPr>
                        <w:tcW w:w="1587" w:type="dxa"/>
                        <w:gridSpan w:val="2"/>
                        <w:tcBorders>
                          <w:bottom w:val="single" w:sz="4" w:space="0" w:color="auto"/>
                        </w:tcBorders>
                      </w:tcPr>
                      <w:p>
                        <w:pPr>
                          <w:jc w:val="center"/>
                          <w:rPr>
                            <w:sz w:val="18"/>
                            <w:szCs w:val="18"/>
                          </w:rPr>
                        </w:pPr>
                        <w:r>
                          <w:rPr>
                            <w:sz w:val="18"/>
                            <w:szCs w:val="18"/>
                          </w:rPr>
                          <w:t>5</w:t>
                        </w:r>
                      </w:p>
                    </w:tc>
                    <w:tc>
                      <w:tcPr>
                        <w:tcW w:w="6548" w:type="dxa"/>
                        <w:tcBorders>
                          <w:bottom w:val="single" w:sz="4" w:space="0" w:color="auto"/>
                        </w:tcBorders>
                      </w:tcPr>
                      <w:p>
                        <w:pPr>
                          <w:jc w:val="center"/>
                          <w:rPr>
                            <w:sz w:val="18"/>
                            <w:szCs w:val="18"/>
                          </w:rPr>
                        </w:pPr>
                        <w:r>
                          <w:rPr>
                            <w:sz w:val="18"/>
                            <w:szCs w:val="18"/>
                          </w:rPr>
                          <w:t>6</w:t>
                        </w:r>
                      </w:p>
                    </w:tc>
                  </w:tr>
                  <w:tr>
                    <w:trPr>
                      <w:cantSplit/>
                      <w:trHeight w:val="20"/>
                    </w:trPr>
                    <w:tc>
                      <w:tcPr>
                        <w:tcW w:w="2470" w:type="dxa"/>
                      </w:tcPr>
                      <w:p>
                        <w:pPr>
                          <w:rPr>
                            <w:sz w:val="18"/>
                            <w:szCs w:val="18"/>
                          </w:rPr>
                        </w:pPr>
                        <w:r>
                          <w:rPr>
                            <w:sz w:val="18"/>
                            <w:szCs w:val="18"/>
                          </w:rPr>
                          <w:t>1. Darbas elektros įrenginiuose, įrengtuose lauke, elektros srovės pavojingumo atžvilgiu pavojingose ir labai pavojingose patalpose, taip pat veikiančių elektros įrenginių srovinių grandinių, skirtų didesnei kaip 10 A srovei ir esant aukštesnei kaip 50 V kintamosios srovės ir aukštesnei kaip 75 V nuolatinės srovės įtampai, remonto ir (ar) derinimo darbai</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 xml:space="preserve">oftalmologas, </w:t>
                        </w:r>
                      </w:p>
                      <w:p>
                        <w:pPr>
                          <w:rPr>
                            <w:sz w:val="18"/>
                            <w:szCs w:val="18"/>
                          </w:rPr>
                        </w:pPr>
                        <w:r>
                          <w:rPr>
                            <w:sz w:val="18"/>
                            <w:szCs w:val="18"/>
                          </w:rPr>
                          <w:t>otorinolaringologas,</w:t>
                        </w:r>
                      </w:p>
                      <w:p>
                        <w:pPr>
                          <w:rPr>
                            <w:sz w:val="18"/>
                            <w:szCs w:val="18"/>
                          </w:rPr>
                        </w:pPr>
                        <w:r>
                          <w:rPr>
                            <w:sz w:val="18"/>
                            <w:szCs w:val="18"/>
                          </w:rPr>
                          <w:t xml:space="preserve">esant indikacijų – </w:t>
                        </w:r>
                        <w:r>
                          <w:rPr>
                            <w:bCs/>
                            <w:sz w:val="18"/>
                            <w:szCs w:val="18"/>
                          </w:rPr>
                          <w:t>psichiatras ir kitų profesinių kvalifikacijų gydytojai</w:t>
                        </w:r>
                        <w:r>
                          <w:rPr>
                            <w:b/>
                            <w:bCs/>
                            <w:sz w:val="18"/>
                            <w:szCs w:val="18"/>
                          </w:rPr>
                          <w:t xml:space="preserve"> </w:t>
                        </w:r>
                      </w:p>
                    </w:tc>
                    <w:tc>
                      <w:tcPr>
                        <w:tcW w:w="1587" w:type="dxa"/>
                        <w:gridSpan w:val="2"/>
                      </w:tcPr>
                      <w:p>
                        <w:pPr>
                          <w:rPr>
                            <w:sz w:val="18"/>
                            <w:szCs w:val="18"/>
                          </w:rPr>
                        </w:pPr>
                        <w:r>
                          <w:rPr>
                            <w:sz w:val="18"/>
                            <w:szCs w:val="18"/>
                          </w:rPr>
                          <w:t>Regėjimo aštrumo ir regėjimo lauko ištyrimas, vestibulinės funkcijos ištyrimas,</w:t>
                        </w:r>
                      </w:p>
                      <w:p>
                        <w:pPr>
                          <w:rPr>
                            <w:sz w:val="18"/>
                            <w:szCs w:val="18"/>
                          </w:rPr>
                        </w:pPr>
                        <w:r>
                          <w:rPr>
                            <w:sz w:val="18"/>
                            <w:szCs w:val="18"/>
                          </w:rPr>
                          <w:t>esant indikacijų – audiograma</w:t>
                        </w:r>
                      </w:p>
                    </w:tc>
                    <w:tc>
                      <w:tcPr>
                        <w:tcW w:w="6548" w:type="dxa"/>
                      </w:tcPr>
                      <w:p>
                        <w:pPr>
                          <w:rPr>
                            <w:sz w:val="18"/>
                            <w:szCs w:val="18"/>
                          </w:rPr>
                        </w:pPr>
                        <w:r>
                          <w:rPr>
                            <w:sz w:val="18"/>
                            <w:szCs w:val="18"/>
                          </w:rPr>
                          <w:t>1. Regėjimo aštrumas su korekcija mažesnis kaip 0,5 viena ir 0,2 – kita akimi</w:t>
                        </w:r>
                      </w:p>
                      <w:p>
                        <w:pPr>
                          <w:rPr>
                            <w:sz w:val="18"/>
                            <w:szCs w:val="18"/>
                          </w:rPr>
                        </w:pPr>
                        <w:r>
                          <w:rPr>
                            <w:sz w:val="18"/>
                            <w:szCs w:val="18"/>
                          </w:rPr>
                          <w:t xml:space="preserve">2. Nuolatinis neišgydomas ašarojimas H04.2 </w:t>
                        </w:r>
                      </w:p>
                      <w:p>
                        <w:pPr>
                          <w:rPr>
                            <w:sz w:val="18"/>
                            <w:szCs w:val="18"/>
                          </w:rPr>
                        </w:pPr>
                        <w:r>
                          <w:rPr>
                            <w:sz w:val="18"/>
                            <w:szCs w:val="18"/>
                          </w:rPr>
                          <w:t>3. Akipločio defektai. Regėjimo lauko susiaurėjimas daugiau kaip 20</w:t>
                        </w:r>
                        <w:r>
                          <w:rPr>
                            <w:sz w:val="18"/>
                            <w:szCs w:val="18"/>
                            <w:vertAlign w:val="superscript"/>
                          </w:rPr>
                          <w:t xml:space="preserve">0  </w:t>
                        </w:r>
                        <w:r>
                          <w:rPr>
                            <w:sz w:val="18"/>
                            <w:szCs w:val="18"/>
                          </w:rPr>
                          <w:t>H53.4</w:t>
                        </w:r>
                      </w:p>
                      <w:p>
                        <w:pPr>
                          <w:tabs>
                            <w:tab w:val="center" w:pos="33"/>
                          </w:tabs>
                          <w:ind w:left="33" w:hanging="33"/>
                          <w:rPr>
                            <w:sz w:val="18"/>
                            <w:szCs w:val="18"/>
                          </w:rPr>
                        </w:pPr>
                        <w:r>
                          <w:rPr>
                            <w:sz w:val="18"/>
                            <w:szCs w:val="18"/>
                          </w:rPr>
                          <w:t>4. Įvairios etiologijos klausos susilpnėjimas viena arba abiem ausimis, kai šnabždesys girdimas mažesniu kaip 3 m atstumu H65.2; H65.3; H66.1; H66.2; H74.0, H74.1; H74.2; H74.3; H80; H83; H90; H91.0; H91.1; H91.3; H91.8; H91.9; H93.3; H94.</w:t>
                        </w:r>
                      </w:p>
                      <w:p>
                        <w:pPr>
                          <w:tabs>
                            <w:tab w:val="center" w:pos="33"/>
                          </w:tabs>
                          <w:ind w:left="33" w:hanging="33"/>
                          <w:rPr>
                            <w:sz w:val="18"/>
                            <w:szCs w:val="18"/>
                          </w:rPr>
                        </w:pPr>
                        <w:r>
                          <w:rPr>
                            <w:sz w:val="18"/>
                            <w:szCs w:val="18"/>
                          </w:rPr>
                          <w:t>Individualiu atveju dėl galimybės dirbti sprendžia gydytojas otorinolaringologas.</w:t>
                        </w:r>
                      </w:p>
                      <w:p>
                        <w:pPr>
                          <w:rPr>
                            <w:sz w:val="18"/>
                            <w:szCs w:val="18"/>
                          </w:rPr>
                        </w:pPr>
                        <w:r>
                          <w:rPr>
                            <w:sz w:val="18"/>
                            <w:szCs w:val="18"/>
                          </w:rPr>
                          <w:t xml:space="preserve">5. Vestibulinės funkcijos sutrikimai H81; H82 </w:t>
                        </w:r>
                      </w:p>
                      <w:p>
                        <w:pPr>
                          <w:tabs>
                            <w:tab w:val="center" w:pos="33"/>
                          </w:tabs>
                          <w:ind w:left="33" w:hanging="33"/>
                          <w:rPr>
                            <w:sz w:val="18"/>
                            <w:szCs w:val="18"/>
                          </w:rPr>
                        </w:pPr>
                        <w:r>
                          <w:rPr>
                            <w:sz w:val="18"/>
                            <w:szCs w:val="18"/>
                          </w:rPr>
                          <w:t>6. Alkoholizmas, narkomanija, toksikomanija F10–F19. Individualiu atveju dėl galimybės dirbti sprendžia gydytojas psichiatras.</w:t>
                        </w:r>
                      </w:p>
                      <w:p>
                        <w:pPr>
                          <w:rPr>
                            <w:sz w:val="18"/>
                            <w:szCs w:val="18"/>
                          </w:rPr>
                        </w:pPr>
                        <w:r>
                          <w:rPr>
                            <w:sz w:val="18"/>
                            <w:szCs w:val="18"/>
                          </w:rPr>
                          <w:t>7. Epilepsija G40</w:t>
                        </w:r>
                      </w:p>
                    </w:tc>
                  </w:tr>
                  <w:tr>
                    <w:trPr>
                      <w:cantSplit/>
                      <w:trHeight w:val="20"/>
                    </w:trPr>
                    <w:tc>
                      <w:tcPr>
                        <w:tcW w:w="2470" w:type="dxa"/>
                      </w:tcPr>
                      <w:p>
                        <w:pPr>
                          <w:rPr>
                            <w:sz w:val="18"/>
                            <w:szCs w:val="18"/>
                          </w:rPr>
                        </w:pPr>
                        <w:r>
                          <w:rPr>
                            <w:sz w:val="18"/>
                            <w:szCs w:val="18"/>
                          </w:rPr>
                          <w:t>2. Mechaninis medienos, metalų ir kitų medžiagų apdirbimas, kai naudojama nemechanizuota pastūma</w:t>
                        </w:r>
                      </w:p>
                    </w:tc>
                    <w:tc>
                      <w:tcPr>
                        <w:tcW w:w="1167" w:type="dxa"/>
                      </w:tcPr>
                      <w:p>
                        <w:pPr>
                          <w:rPr>
                            <w:sz w:val="18"/>
                            <w:szCs w:val="18"/>
                          </w:rPr>
                        </w:pPr>
                        <w:r>
                          <w:rPr>
                            <w:sz w:val="18"/>
                            <w:szCs w:val="18"/>
                          </w:rPr>
                          <w:t>1 kartą per 2 metus</w:t>
                        </w:r>
                      </w:p>
                    </w:tc>
                    <w:tc>
                      <w:tcPr>
                        <w:tcW w:w="1571" w:type="dxa"/>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oftalmologas,</w:t>
                        </w:r>
                      </w:p>
                      <w:p>
                        <w:pPr>
                          <w:rPr>
                            <w:sz w:val="18"/>
                            <w:szCs w:val="18"/>
                          </w:rPr>
                        </w:pPr>
                        <w:r>
                          <w:rPr>
                            <w:sz w:val="18"/>
                            <w:szCs w:val="18"/>
                          </w:rPr>
                          <w:t>otorinolaringologas</w:t>
                        </w:r>
                      </w:p>
                    </w:tc>
                    <w:tc>
                      <w:tcPr>
                        <w:tcW w:w="1587" w:type="dxa"/>
                        <w:gridSpan w:val="2"/>
                      </w:tcPr>
                      <w:p>
                        <w:pPr>
                          <w:rPr>
                            <w:sz w:val="18"/>
                            <w:szCs w:val="18"/>
                          </w:rPr>
                        </w:pPr>
                        <w:r>
                          <w:rPr>
                            <w:sz w:val="18"/>
                            <w:szCs w:val="18"/>
                          </w:rPr>
                          <w:t>Regėjimo aštrumo,</w:t>
                        </w:r>
                      </w:p>
                      <w:p>
                        <w:pPr>
                          <w:rPr>
                            <w:sz w:val="18"/>
                            <w:szCs w:val="18"/>
                          </w:rPr>
                        </w:pPr>
                        <w:r>
                          <w:rPr>
                            <w:sz w:val="18"/>
                            <w:szCs w:val="18"/>
                          </w:rPr>
                          <w:t>vestibulinės funkcijos ištyrimas</w:t>
                        </w:r>
                      </w:p>
                    </w:tc>
                    <w:tc>
                      <w:tcPr>
                        <w:tcW w:w="6548" w:type="dxa"/>
                      </w:tcPr>
                      <w:p>
                        <w:pPr>
                          <w:rPr>
                            <w:sz w:val="18"/>
                            <w:szCs w:val="18"/>
                          </w:rPr>
                        </w:pPr>
                        <w:r>
                          <w:rPr>
                            <w:sz w:val="18"/>
                            <w:szCs w:val="18"/>
                          </w:rPr>
                          <w:t>1. Regėjimas su korekcija silpnesnis kaip 0,5 viena ir 0,2 – kita akimi</w:t>
                        </w:r>
                      </w:p>
                      <w:p>
                        <w:pPr>
                          <w:rPr>
                            <w:sz w:val="18"/>
                            <w:szCs w:val="18"/>
                          </w:rPr>
                        </w:pPr>
                        <w:r>
                          <w:rPr>
                            <w:sz w:val="18"/>
                            <w:szCs w:val="18"/>
                          </w:rPr>
                          <w:t>2. Akipločio defektai. Regėjimo lauko susiaurėjimas daugiau kaip 20</w:t>
                        </w:r>
                        <w:r>
                          <w:rPr>
                            <w:sz w:val="18"/>
                            <w:szCs w:val="18"/>
                            <w:vertAlign w:val="superscript"/>
                          </w:rPr>
                          <w:t xml:space="preserve">0  </w:t>
                        </w:r>
                        <w:r>
                          <w:rPr>
                            <w:sz w:val="18"/>
                            <w:szCs w:val="18"/>
                          </w:rPr>
                          <w:t>H53.4</w:t>
                        </w:r>
                      </w:p>
                      <w:p>
                        <w:pPr>
                          <w:rPr>
                            <w:sz w:val="18"/>
                            <w:szCs w:val="18"/>
                          </w:rPr>
                        </w:pPr>
                        <w:r>
                          <w:rPr>
                            <w:sz w:val="18"/>
                            <w:szCs w:val="18"/>
                          </w:rPr>
                          <w:t xml:space="preserve">3. Vestibulinės funkcijos sutrikimai H81;  H82 </w:t>
                        </w:r>
                      </w:p>
                      <w:p>
                        <w:pPr>
                          <w:tabs>
                            <w:tab w:val="center" w:pos="33"/>
                          </w:tabs>
                          <w:ind w:left="33" w:hanging="33"/>
                          <w:rPr>
                            <w:sz w:val="18"/>
                            <w:szCs w:val="18"/>
                          </w:rPr>
                        </w:pPr>
                        <w:r>
                          <w:rPr>
                            <w:sz w:val="18"/>
                            <w:szCs w:val="18"/>
                          </w:rPr>
                          <w:t>3. Epilepsija G40</w:t>
                        </w:r>
                      </w:p>
                    </w:tc>
                  </w:tr>
                  <w:tr>
                    <w:trPr>
                      <w:cantSplit/>
                      <w:trHeight w:val="20"/>
                    </w:trPr>
                    <w:tc>
                      <w:tcPr>
                        <w:tcW w:w="2470" w:type="dxa"/>
                      </w:tcPr>
                      <w:p>
                        <w:pPr>
                          <w:rPr>
                            <w:strike/>
                            <w:sz w:val="18"/>
                            <w:szCs w:val="18"/>
                          </w:rPr>
                        </w:pPr>
                        <w:r>
                          <w:rPr>
                            <w:sz w:val="18"/>
                            <w:szCs w:val="18"/>
                          </w:rPr>
                          <w:t>3. Krovinių kėlimas mechaniniais, iš jų savaeigiais krautuvais, išskyrus potencialiai pavojingus įrenginius</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oftalmologas,</w:t>
                        </w:r>
                      </w:p>
                      <w:p>
                        <w:pPr>
                          <w:rPr>
                            <w:sz w:val="18"/>
                            <w:szCs w:val="18"/>
                          </w:rPr>
                        </w:pPr>
                        <w:r>
                          <w:rPr>
                            <w:sz w:val="18"/>
                            <w:szCs w:val="18"/>
                          </w:rPr>
                          <w:t>otorinolaringologas</w:t>
                        </w:r>
                      </w:p>
                    </w:tc>
                    <w:tc>
                      <w:tcPr>
                        <w:tcW w:w="1587" w:type="dxa"/>
                        <w:gridSpan w:val="2"/>
                        <w:tcBorders>
                          <w:bottom w:val="single" w:sz="4" w:space="0" w:color="auto"/>
                        </w:tcBorders>
                      </w:tcPr>
                      <w:p>
                        <w:pPr>
                          <w:rPr>
                            <w:sz w:val="18"/>
                            <w:szCs w:val="18"/>
                          </w:rPr>
                        </w:pPr>
                        <w:r>
                          <w:rPr>
                            <w:sz w:val="18"/>
                            <w:szCs w:val="18"/>
                          </w:rPr>
                          <w:t>Regėjimo aštrumo, akipločio, spalvinio jutimo (priimant į darbą), akispūdžio – asmenims nuo 40 m.,</w:t>
                        </w:r>
                      </w:p>
                      <w:p>
                        <w:pPr>
                          <w:rPr>
                            <w:sz w:val="18"/>
                            <w:szCs w:val="18"/>
                          </w:rPr>
                        </w:pPr>
                        <w:r>
                          <w:rPr>
                            <w:sz w:val="18"/>
                            <w:szCs w:val="18"/>
                          </w:rPr>
                          <w:t>vestibulinės funkcijos ištyrimas,</w:t>
                        </w:r>
                      </w:p>
                      <w:p>
                        <w:pPr>
                          <w:rPr>
                            <w:sz w:val="18"/>
                            <w:szCs w:val="18"/>
                          </w:rPr>
                        </w:pPr>
                        <w:r>
                          <w:rPr>
                            <w:sz w:val="18"/>
                            <w:szCs w:val="18"/>
                          </w:rPr>
                          <w:t>esant indikacijų – audiograma</w:t>
                        </w:r>
                      </w:p>
                    </w:tc>
                    <w:tc>
                      <w:tcPr>
                        <w:tcW w:w="6548" w:type="dxa"/>
                        <w:tcBorders>
                          <w:bottom w:val="single" w:sz="4" w:space="0" w:color="auto"/>
                        </w:tcBorders>
                      </w:tcPr>
                      <w:p>
                        <w:pPr>
                          <w:rPr>
                            <w:sz w:val="18"/>
                            <w:szCs w:val="18"/>
                          </w:rPr>
                        </w:pPr>
                        <w:r>
                          <w:rPr>
                            <w:sz w:val="18"/>
                            <w:szCs w:val="18"/>
                          </w:rPr>
                          <w:t>1. Regėjimo organų ligos:</w:t>
                        </w:r>
                      </w:p>
                      <w:p>
                        <w:pPr>
                          <w:rPr>
                            <w:sz w:val="18"/>
                            <w:szCs w:val="18"/>
                          </w:rPr>
                        </w:pPr>
                        <w:r>
                          <w:rPr>
                            <w:sz w:val="18"/>
                            <w:szCs w:val="18"/>
                          </w:rPr>
                          <w:t>1.1. Regėjimas su korekcija silpnesnis kaip 0,5 viena ir 0,2 – kita akimi</w:t>
                        </w:r>
                      </w:p>
                      <w:p>
                        <w:pPr>
                          <w:rPr>
                            <w:sz w:val="18"/>
                            <w:szCs w:val="18"/>
                          </w:rPr>
                        </w:pPr>
                        <w:r>
                          <w:rPr>
                            <w:sz w:val="18"/>
                            <w:szCs w:val="18"/>
                          </w:rPr>
                          <w:t xml:space="preserve">1.2. Nuolatinis neišgydomas ašarojimas H04.2 </w:t>
                        </w:r>
                      </w:p>
                      <w:p>
                        <w:pPr>
                          <w:rPr>
                            <w:sz w:val="18"/>
                            <w:szCs w:val="18"/>
                          </w:rPr>
                        </w:pPr>
                        <w:r>
                          <w:rPr>
                            <w:sz w:val="18"/>
                            <w:szCs w:val="18"/>
                          </w:rPr>
                          <w:t>1.3. Spalvų jutimo sutrikimai (tiems, kurie dirba su spalvota signalizacija) H53.5</w:t>
                        </w:r>
                      </w:p>
                      <w:p>
                        <w:pPr>
                          <w:rPr>
                            <w:sz w:val="18"/>
                            <w:szCs w:val="18"/>
                          </w:rPr>
                        </w:pPr>
                        <w:r>
                          <w:rPr>
                            <w:sz w:val="18"/>
                            <w:szCs w:val="18"/>
                          </w:rPr>
                          <w:t>1.4. Akipločio defektai. Regėjimo lauko susiaurėjimas daugiau kaip 20</w:t>
                        </w:r>
                        <w:r>
                          <w:rPr>
                            <w:sz w:val="18"/>
                            <w:szCs w:val="18"/>
                            <w:vertAlign w:val="superscript"/>
                          </w:rPr>
                          <w:t xml:space="preserve">0  </w:t>
                        </w:r>
                        <w:r>
                          <w:rPr>
                            <w:sz w:val="18"/>
                            <w:szCs w:val="18"/>
                          </w:rPr>
                          <w:t>H53.4</w:t>
                        </w:r>
                      </w:p>
                      <w:p>
                        <w:pPr>
                          <w:tabs>
                            <w:tab w:val="center" w:pos="33"/>
                          </w:tabs>
                          <w:ind w:left="33" w:hanging="33"/>
                          <w:rPr>
                            <w:sz w:val="18"/>
                            <w:szCs w:val="18"/>
                          </w:rPr>
                        </w:pPr>
                        <w:r>
                          <w:rPr>
                            <w:sz w:val="18"/>
                            <w:szCs w:val="18"/>
                          </w:rPr>
                          <w:t>2.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w:t>
                        </w:r>
                      </w:p>
                      <w:p>
                        <w:pPr>
                          <w:rPr>
                            <w:sz w:val="18"/>
                            <w:szCs w:val="18"/>
                          </w:rPr>
                        </w:pPr>
                        <w:r>
                          <w:rPr>
                            <w:sz w:val="18"/>
                            <w:szCs w:val="18"/>
                          </w:rPr>
                          <w:t>3. Vestibulinės funkcijos sutrikimai H81; H82</w:t>
                        </w:r>
                      </w:p>
                      <w:p>
                        <w:pPr>
                          <w:rPr>
                            <w:sz w:val="18"/>
                            <w:szCs w:val="18"/>
                          </w:rPr>
                        </w:pPr>
                        <w:r>
                          <w:rPr>
                            <w:sz w:val="18"/>
                            <w:szCs w:val="18"/>
                          </w:rPr>
                          <w:t>4. Epilepsija G40</w:t>
                        </w:r>
                      </w:p>
                    </w:tc>
                  </w:tr>
                  <w:tr>
                    <w:trPr>
                      <w:cantSplit/>
                      <w:trHeight w:val="20"/>
                    </w:trPr>
                    <w:tc>
                      <w:tcPr>
                        <w:tcW w:w="2470" w:type="dxa"/>
                      </w:tcPr>
                      <w:p>
                        <w:pPr>
                          <w:rPr>
                            <w:sz w:val="18"/>
                            <w:szCs w:val="18"/>
                          </w:rPr>
                        </w:pPr>
                        <w:r>
                          <w:rPr>
                            <w:sz w:val="18"/>
                            <w:szCs w:val="18"/>
                          </w:rPr>
                          <w:t>4. Darbai laivuose, iš jų žvejybos laivuose ir kituose plaukiojančiuose įrenginiuose</w:t>
                        </w:r>
                      </w:p>
                    </w:tc>
                    <w:tc>
                      <w:tcPr>
                        <w:tcW w:w="1167" w:type="dxa"/>
                      </w:tcPr>
                      <w:p>
                        <w:pPr>
                          <w:rPr>
                            <w:sz w:val="18"/>
                            <w:szCs w:val="18"/>
                          </w:rPr>
                        </w:pPr>
                      </w:p>
                    </w:tc>
                    <w:tc>
                      <w:tcPr>
                        <w:tcW w:w="1571" w:type="dxa"/>
                        <w:tcBorders>
                          <w:top w:val="single" w:sz="4" w:space="0" w:color="auto"/>
                        </w:tcBorders>
                      </w:tcPr>
                      <w:p>
                        <w:pPr>
                          <w:rPr>
                            <w:bCs/>
                            <w:sz w:val="18"/>
                            <w:szCs w:val="18"/>
                          </w:rPr>
                        </w:pPr>
                        <w:r>
                          <w:rPr>
                            <w:bCs/>
                            <w:sz w:val="18"/>
                            <w:szCs w:val="18"/>
                          </w:rPr>
                          <w:t xml:space="preserve">Vadovaujamasi Laivyno darbuotojų sveikatos tikrinimo tvarka (11 priedas), patvirtinta Lietuvos Respublikos sveikatos apsaugos ministro 2000 m. gegužės 31 d. įsakymu Nr. 301 „Dėl profilaktinių sveikatos tikrinimų sveikatos priežiūros įstaigose“ (Žin., 2000, Nr. </w:t>
                        </w:r>
                        <w:hyperlink r:id="rId70" w:tgtFrame="_blank" w:history="1">
                          <w:r>
                            <w:rPr>
                              <w:rStyle w:val="Hipersaitas"/>
                              <w:bCs/>
                              <w:sz w:val="18"/>
                              <w:szCs w:val="18"/>
                            </w:rPr>
                            <w:t>47-1365</w:t>
                          </w:r>
                        </w:hyperlink>
                        <w:r>
                          <w:rPr>
                            <w:bCs/>
                            <w:sz w:val="18"/>
                            <w:szCs w:val="18"/>
                          </w:rPr>
                          <w:t>)</w:t>
                        </w:r>
                      </w:p>
                    </w:tc>
                    <w:tc>
                      <w:tcPr>
                        <w:tcW w:w="1397" w:type="dxa"/>
                        <w:tcBorders>
                          <w:right w:val="single" w:sz="4" w:space="0" w:color="auto"/>
                        </w:tcBorders>
                      </w:tcPr>
                      <w:p>
                        <w:pPr>
                          <w:keepNext/>
                          <w:outlineLvl w:val="1"/>
                          <w:rPr>
                            <w:rFonts w:eastAsia="MS Mincho"/>
                            <w:b/>
                            <w:caps/>
                            <w:sz w:val="18"/>
                            <w:szCs w:val="18"/>
                          </w:rPr>
                        </w:pPr>
                      </w:p>
                    </w:tc>
                    <w:tc>
                      <w:tcPr>
                        <w:tcW w:w="1587" w:type="dxa"/>
                        <w:gridSpan w:val="2"/>
                        <w:tcBorders>
                          <w:top w:val="single" w:sz="4" w:space="0" w:color="auto"/>
                          <w:left w:val="single" w:sz="4" w:space="0" w:color="auto"/>
                          <w:bottom w:val="single" w:sz="4" w:space="0" w:color="auto"/>
                        </w:tcBorders>
                      </w:tcPr>
                      <w:p>
                        <w:pPr>
                          <w:rPr>
                            <w:sz w:val="18"/>
                            <w:szCs w:val="18"/>
                          </w:rPr>
                        </w:pPr>
                      </w:p>
                    </w:tc>
                    <w:tc>
                      <w:tcPr>
                        <w:tcW w:w="6548" w:type="dxa"/>
                        <w:tcBorders>
                          <w:top w:val="single" w:sz="4" w:space="0" w:color="auto"/>
                          <w:bottom w:val="single" w:sz="4" w:space="0" w:color="auto"/>
                          <w:right w:val="single" w:sz="4" w:space="0" w:color="auto"/>
                        </w:tcBorders>
                      </w:tcPr>
                      <w:p>
                        <w:pPr>
                          <w:rPr>
                            <w:sz w:val="18"/>
                            <w:szCs w:val="18"/>
                          </w:rPr>
                        </w:pPr>
                        <w:r>
                          <w:rPr>
                            <w:sz w:val="18"/>
                            <w:szCs w:val="18"/>
                          </w:rPr>
                          <w:t>Vadovaujamasi „Laivyno darbuotojų sveikatos tikrinimo tvarka“, patvirtinta Lietuvos Respublikos sveikatos apsaugos ministro 2000 m. gegužės 31 d. įsakymo Nr. 301 „Dėl profilaktinių sveikatos tikrinimų sveikatos priežiūros įstaigose“ 11 priedu.</w:t>
                        </w:r>
                      </w:p>
                    </w:tc>
                  </w:tr>
                  <w:tr>
                    <w:trPr>
                      <w:cantSplit/>
                      <w:trHeight w:val="20"/>
                    </w:trPr>
                    <w:tc>
                      <w:tcPr>
                        <w:tcW w:w="2470" w:type="dxa"/>
                      </w:tcPr>
                      <w:p>
                        <w:pPr>
                          <w:rPr>
                            <w:sz w:val="18"/>
                            <w:szCs w:val="18"/>
                          </w:rPr>
                        </w:pPr>
                        <w:r>
                          <w:rPr>
                            <w:sz w:val="18"/>
                            <w:szCs w:val="18"/>
                          </w:rPr>
                          <w:t xml:space="preserve">5. Darbai šuliniuose, iškasose, tuneliuose, kolektoriuose ir kituose požeminiuose įrenginiuose ir statiniuose (išskyrus požemines pėsčiųjų perėjas ir pervažas), uždarose bet kokių medžiagų talpyklose ir iš dalies uždarose ir ankštose patalpose ar iš dalies uždarose mašinų ir kitų įrenginių angose </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oftalmologas,</w:t>
                        </w:r>
                      </w:p>
                      <w:p>
                        <w:pPr>
                          <w:rPr>
                            <w:sz w:val="18"/>
                            <w:szCs w:val="18"/>
                          </w:rPr>
                        </w:pPr>
                        <w:r>
                          <w:rPr>
                            <w:sz w:val="18"/>
                            <w:szCs w:val="18"/>
                          </w:rPr>
                          <w:t>otorinolaringologas,</w:t>
                        </w:r>
                      </w:p>
                      <w:p>
                        <w:pPr>
                          <w:rPr>
                            <w:sz w:val="18"/>
                            <w:szCs w:val="18"/>
                          </w:rPr>
                        </w:pPr>
                        <w:r>
                          <w:rPr>
                            <w:sz w:val="18"/>
                            <w:szCs w:val="18"/>
                          </w:rPr>
                          <w:t xml:space="preserve">esant indikacijų – </w:t>
                        </w:r>
                        <w:r>
                          <w:rPr>
                            <w:bCs/>
                            <w:sz w:val="18"/>
                            <w:szCs w:val="18"/>
                          </w:rPr>
                          <w:t xml:space="preserve">kitų profesinių kvalifikacijų gydytojai </w:t>
                        </w:r>
                      </w:p>
                    </w:tc>
                    <w:tc>
                      <w:tcPr>
                        <w:tcW w:w="1587" w:type="dxa"/>
                        <w:gridSpan w:val="2"/>
                        <w:tcBorders>
                          <w:top w:val="single" w:sz="4" w:space="0" w:color="auto"/>
                        </w:tcBorders>
                      </w:tcPr>
                      <w:p>
                        <w:pPr>
                          <w:rPr>
                            <w:sz w:val="18"/>
                            <w:szCs w:val="18"/>
                          </w:rPr>
                        </w:pPr>
                        <w:r>
                          <w:rPr>
                            <w:sz w:val="18"/>
                            <w:szCs w:val="18"/>
                          </w:rPr>
                          <w:t>Regėjimo aštrumo,</w:t>
                        </w:r>
                      </w:p>
                      <w:p>
                        <w:pPr>
                          <w:rPr>
                            <w:sz w:val="18"/>
                            <w:szCs w:val="18"/>
                          </w:rPr>
                        </w:pPr>
                        <w:r>
                          <w:rPr>
                            <w:sz w:val="18"/>
                            <w:szCs w:val="18"/>
                          </w:rPr>
                          <w:t>vestibulinės funkcijos ištyrimas,</w:t>
                        </w:r>
                      </w:p>
                      <w:p>
                        <w:pPr>
                          <w:rPr>
                            <w:sz w:val="18"/>
                            <w:szCs w:val="18"/>
                          </w:rPr>
                        </w:pPr>
                        <w:r>
                          <w:rPr>
                            <w:sz w:val="18"/>
                            <w:szCs w:val="18"/>
                          </w:rPr>
                          <w:t xml:space="preserve">esant indikacijų – audiograma, EKG </w:t>
                        </w:r>
                      </w:p>
                    </w:tc>
                    <w:tc>
                      <w:tcPr>
                        <w:tcW w:w="6548" w:type="dxa"/>
                        <w:tcBorders>
                          <w:top w:val="single" w:sz="4" w:space="0" w:color="auto"/>
                        </w:tcBorders>
                      </w:tcPr>
                      <w:p>
                        <w:pPr>
                          <w:rPr>
                            <w:sz w:val="18"/>
                            <w:szCs w:val="18"/>
                          </w:rPr>
                        </w:pPr>
                        <w:r>
                          <w:rPr>
                            <w:sz w:val="18"/>
                            <w:szCs w:val="18"/>
                          </w:rPr>
                          <w:t>1. Regėjimo aštrumas su korekcija mažesnis nei 0,5 viena ir 0,2 – kita akimi</w:t>
                        </w:r>
                      </w:p>
                      <w:p>
                        <w:pPr>
                          <w:rPr>
                            <w:sz w:val="18"/>
                            <w:szCs w:val="18"/>
                          </w:rPr>
                        </w:pPr>
                        <w:r>
                          <w:rPr>
                            <w:sz w:val="18"/>
                            <w:szCs w:val="18"/>
                          </w:rPr>
                          <w:t>2. Nuolatinis neišgydomas ašarojimas H04.2</w:t>
                        </w:r>
                      </w:p>
                      <w:p>
                        <w:pPr>
                          <w:tabs>
                            <w:tab w:val="center" w:pos="33"/>
                          </w:tabs>
                          <w:ind w:left="33" w:firstLine="17"/>
                          <w:rPr>
                            <w:sz w:val="18"/>
                            <w:szCs w:val="18"/>
                          </w:rPr>
                        </w:pPr>
                        <w:r>
                          <w:rPr>
                            <w:sz w:val="18"/>
                            <w:szCs w:val="18"/>
                          </w:rPr>
                          <w:t xml:space="preserve">3.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w:t>
                        </w:r>
                      </w:p>
                      <w:p>
                        <w:pPr>
                          <w:rPr>
                            <w:sz w:val="18"/>
                            <w:szCs w:val="18"/>
                          </w:rPr>
                        </w:pPr>
                        <w:r>
                          <w:rPr>
                            <w:sz w:val="18"/>
                            <w:szCs w:val="18"/>
                          </w:rPr>
                          <w:t>4. Vestibulinės funkcijos sutrikimai H81; H82</w:t>
                        </w:r>
                      </w:p>
                      <w:p>
                        <w:pPr>
                          <w:rPr>
                            <w:sz w:val="18"/>
                            <w:szCs w:val="18"/>
                          </w:rPr>
                        </w:pPr>
                        <w:r>
                          <w:rPr>
                            <w:sz w:val="18"/>
                            <w:szCs w:val="18"/>
                          </w:rPr>
                          <w:t>5. Obliteruojantis endarteritas, žymus venų išsiplėtimas, hemorojus su dažnais paūmėjimais, komplikacijomis I77.6, I83.0, I83.1, I83.2</w:t>
                        </w:r>
                      </w:p>
                      <w:p>
                        <w:pPr>
                          <w:rPr>
                            <w:sz w:val="18"/>
                            <w:szCs w:val="18"/>
                          </w:rPr>
                        </w:pPr>
                        <w:r>
                          <w:rPr>
                            <w:sz w:val="18"/>
                            <w:szCs w:val="18"/>
                          </w:rPr>
                          <w:t>6. Išvaržos ir galinčios įstrigti išvaržos K40–K46, tiesiosios žarnos iškritimas K62.3</w:t>
                        </w:r>
                      </w:p>
                      <w:p>
                        <w:pPr>
                          <w:rPr>
                            <w:sz w:val="18"/>
                            <w:szCs w:val="18"/>
                          </w:rPr>
                        </w:pPr>
                        <w:r>
                          <w:rPr>
                            <w:sz w:val="18"/>
                            <w:szCs w:val="18"/>
                          </w:rPr>
                          <w:t>7. Išplitę subatrofiniai viršutinių kvėpavimo takų gleivinės pakitimai J30; J31; J37–J39; uodimo sutrikimai R43,0; R43,1; R43,8; uodžiamojo nervo ligos G 52,0</w:t>
                        </w:r>
                      </w:p>
                      <w:p>
                        <w:pPr>
                          <w:rPr>
                            <w:sz w:val="18"/>
                            <w:szCs w:val="18"/>
                          </w:rPr>
                        </w:pPr>
                        <w:r>
                          <w:rPr>
                            <w:sz w:val="18"/>
                            <w:szCs w:val="18"/>
                          </w:rPr>
                          <w:t>8. Astma J45</w:t>
                        </w:r>
                      </w:p>
                      <w:p>
                        <w:pPr>
                          <w:rPr>
                            <w:sz w:val="18"/>
                            <w:szCs w:val="18"/>
                          </w:rPr>
                        </w:pPr>
                        <w:r>
                          <w:rPr>
                            <w:sz w:val="18"/>
                            <w:szCs w:val="18"/>
                          </w:rPr>
                          <w:t>9. Lėtiniai sąnarių uždegimai su ženkliu funkcijos sutrikimu M15</w:t>
                        </w:r>
                      </w:p>
                      <w:p>
                        <w:pPr>
                          <w:rPr>
                            <w:sz w:val="18"/>
                            <w:szCs w:val="18"/>
                          </w:rPr>
                        </w:pPr>
                        <w:r>
                          <w:rPr>
                            <w:sz w:val="18"/>
                            <w:szCs w:val="18"/>
                          </w:rPr>
                          <w:t>10. Cukrinis diabetas E10-E14</w:t>
                        </w:r>
                      </w:p>
                      <w:p>
                        <w:pPr>
                          <w:rPr>
                            <w:sz w:val="18"/>
                            <w:szCs w:val="18"/>
                          </w:rPr>
                        </w:pPr>
                        <w:r>
                          <w:rPr>
                            <w:sz w:val="18"/>
                            <w:szCs w:val="18"/>
                          </w:rPr>
                          <w:t>11. Epilepsija G40</w:t>
                        </w:r>
                      </w:p>
                    </w:tc>
                  </w:tr>
                  <w:tr>
                    <w:trPr>
                      <w:cantSplit/>
                      <w:trHeight w:val="20"/>
                    </w:trPr>
                    <w:tc>
                      <w:tcPr>
                        <w:tcW w:w="2470" w:type="dxa"/>
                      </w:tcPr>
                      <w:p>
                        <w:pPr>
                          <w:rPr>
                            <w:sz w:val="18"/>
                            <w:szCs w:val="18"/>
                          </w:rPr>
                        </w:pPr>
                        <w:r>
                          <w:rPr>
                            <w:sz w:val="18"/>
                            <w:szCs w:val="18"/>
                          </w:rPr>
                          <w:t>6. Darbai atliekami aukščiau kaip 5 metrai nuo žemės paviršiaus ar grunto, perdengimo, pastolių ar grindų paviršiaus, kai pagrindinė apsaugos nuo kritimo priemonė yra apraišai (apsaugos nuo kritimo diržai)</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oftalmologas,</w:t>
                        </w:r>
                      </w:p>
                      <w:p>
                        <w:pPr>
                          <w:rPr>
                            <w:sz w:val="18"/>
                            <w:szCs w:val="18"/>
                          </w:rPr>
                        </w:pPr>
                        <w:r>
                          <w:rPr>
                            <w:sz w:val="18"/>
                            <w:szCs w:val="18"/>
                          </w:rPr>
                          <w:t>otorinolaringologas</w:t>
                        </w:r>
                      </w:p>
                    </w:tc>
                    <w:tc>
                      <w:tcPr>
                        <w:tcW w:w="1587" w:type="dxa"/>
                        <w:gridSpan w:val="2"/>
                      </w:tcPr>
                      <w:p>
                        <w:pPr>
                          <w:rPr>
                            <w:sz w:val="18"/>
                            <w:szCs w:val="18"/>
                          </w:rPr>
                        </w:pPr>
                        <w:r>
                          <w:rPr>
                            <w:sz w:val="18"/>
                            <w:szCs w:val="18"/>
                          </w:rPr>
                          <w:t>Regėjimo aštrumo, akipločio, spalvinio jutimo (priimant į darbą) ištyrimas,</w:t>
                        </w:r>
                      </w:p>
                      <w:p>
                        <w:pPr>
                          <w:rPr>
                            <w:sz w:val="18"/>
                            <w:szCs w:val="18"/>
                          </w:rPr>
                        </w:pPr>
                        <w:r>
                          <w:rPr>
                            <w:sz w:val="18"/>
                            <w:szCs w:val="18"/>
                          </w:rPr>
                          <w:t xml:space="preserve">EKG, </w:t>
                        </w:r>
                      </w:p>
                      <w:p>
                        <w:pPr>
                          <w:rPr>
                            <w:sz w:val="18"/>
                            <w:szCs w:val="18"/>
                          </w:rPr>
                        </w:pPr>
                        <w:r>
                          <w:rPr>
                            <w:sz w:val="18"/>
                            <w:szCs w:val="18"/>
                          </w:rPr>
                          <w:t>vestibulinės funkcijos ištyrimas,</w:t>
                        </w:r>
                      </w:p>
                      <w:p>
                        <w:pPr>
                          <w:rPr>
                            <w:sz w:val="18"/>
                            <w:szCs w:val="18"/>
                          </w:rPr>
                        </w:pPr>
                        <w:r>
                          <w:rPr>
                            <w:sz w:val="18"/>
                            <w:szCs w:val="18"/>
                          </w:rPr>
                          <w:t>esant indikacijų – audiograma</w:t>
                        </w:r>
                      </w:p>
                    </w:tc>
                    <w:tc>
                      <w:tcPr>
                        <w:tcW w:w="6548" w:type="dxa"/>
                      </w:tcPr>
                      <w:p>
                        <w:pPr>
                          <w:tabs>
                            <w:tab w:val="center" w:pos="33"/>
                          </w:tabs>
                          <w:ind w:left="33" w:hanging="33"/>
                          <w:rPr>
                            <w:sz w:val="18"/>
                            <w:szCs w:val="18"/>
                          </w:rPr>
                        </w:pPr>
                        <w:r>
                          <w:rPr>
                            <w:sz w:val="18"/>
                            <w:szCs w:val="18"/>
                          </w:rPr>
                          <w:t>1.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w:t>
                        </w:r>
                      </w:p>
                      <w:p>
                        <w:pPr>
                          <w:rPr>
                            <w:sz w:val="18"/>
                            <w:szCs w:val="18"/>
                          </w:rPr>
                        </w:pPr>
                        <w:r>
                          <w:rPr>
                            <w:sz w:val="18"/>
                            <w:szCs w:val="18"/>
                          </w:rPr>
                          <w:t>2. Vestibulinės funkcijos sutrikimai H81; H82</w:t>
                        </w:r>
                      </w:p>
                      <w:p>
                        <w:pPr>
                          <w:rPr>
                            <w:sz w:val="18"/>
                            <w:szCs w:val="18"/>
                          </w:rPr>
                        </w:pPr>
                        <w:r>
                          <w:rPr>
                            <w:sz w:val="18"/>
                            <w:szCs w:val="18"/>
                          </w:rPr>
                          <w:t>3. Regėjimo aštrumas su korekcija mažesnis nei 0,5 viena ir 0,2 kita akimi</w:t>
                        </w:r>
                      </w:p>
                      <w:p>
                        <w:pPr>
                          <w:rPr>
                            <w:i/>
                            <w:sz w:val="18"/>
                            <w:szCs w:val="18"/>
                          </w:rPr>
                        </w:pPr>
                        <w:r>
                          <w:rPr>
                            <w:sz w:val="18"/>
                            <w:szCs w:val="18"/>
                          </w:rPr>
                          <w:t>4. Epilepsija G40</w:t>
                        </w:r>
                      </w:p>
                    </w:tc>
                  </w:tr>
                  <w:tr>
                    <w:trPr>
                      <w:cantSplit/>
                      <w:trHeight w:val="20"/>
                    </w:trPr>
                    <w:tc>
                      <w:tcPr>
                        <w:tcW w:w="2470" w:type="dxa"/>
                      </w:tcPr>
                      <w:p>
                        <w:pPr>
                          <w:rPr>
                            <w:sz w:val="18"/>
                            <w:szCs w:val="18"/>
                            <w:lang w:val="pt-BR"/>
                          </w:rPr>
                        </w:pPr>
                        <w:r>
                          <w:rPr>
                            <w:sz w:val="18"/>
                            <w:szCs w:val="18"/>
                          </w:rPr>
                          <w:t xml:space="preserve">7. Darbai </w:t>
                        </w:r>
                        <w:r>
                          <w:rPr>
                            <w:sz w:val="18"/>
                            <w:szCs w:val="18"/>
                            <w:lang w:val="pt-BR"/>
                          </w:rPr>
                          <w:t>su plėšriaisiais ir kitais pavojingais gyvūnais</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oftalmologas,</w:t>
                        </w:r>
                      </w:p>
                      <w:p>
                        <w:pPr>
                          <w:rPr>
                            <w:sz w:val="18"/>
                            <w:szCs w:val="18"/>
                          </w:rPr>
                        </w:pPr>
                        <w:r>
                          <w:rPr>
                            <w:sz w:val="18"/>
                            <w:szCs w:val="18"/>
                          </w:rPr>
                          <w:t>otorinolaringologas</w:t>
                        </w:r>
                      </w:p>
                    </w:tc>
                    <w:tc>
                      <w:tcPr>
                        <w:tcW w:w="1587" w:type="dxa"/>
                        <w:gridSpan w:val="2"/>
                      </w:tcPr>
                      <w:p>
                        <w:pPr>
                          <w:rPr>
                            <w:sz w:val="18"/>
                            <w:szCs w:val="18"/>
                          </w:rPr>
                        </w:pPr>
                        <w:r>
                          <w:rPr>
                            <w:sz w:val="18"/>
                            <w:szCs w:val="18"/>
                          </w:rPr>
                          <w:t>Vestibulinės funkcijos ištyrimas,</w:t>
                        </w:r>
                      </w:p>
                      <w:p>
                        <w:pPr>
                          <w:rPr>
                            <w:i/>
                            <w:sz w:val="18"/>
                            <w:szCs w:val="18"/>
                          </w:rPr>
                        </w:pPr>
                        <w:r>
                          <w:rPr>
                            <w:sz w:val="18"/>
                            <w:szCs w:val="18"/>
                          </w:rPr>
                          <w:t>esant indikacijų – audiograma</w:t>
                        </w:r>
                      </w:p>
                    </w:tc>
                    <w:tc>
                      <w:tcPr>
                        <w:tcW w:w="6548" w:type="dxa"/>
                      </w:tcPr>
                      <w:p>
                        <w:pPr>
                          <w:rPr>
                            <w:sz w:val="18"/>
                            <w:szCs w:val="18"/>
                          </w:rPr>
                        </w:pPr>
                        <w:r>
                          <w:rPr>
                            <w:sz w:val="18"/>
                            <w:szCs w:val="18"/>
                          </w:rPr>
                          <w:t>1. Vestibulinės funkcijos sutrikimai H81; H82</w:t>
                        </w:r>
                      </w:p>
                      <w:p>
                        <w:pPr>
                          <w:tabs>
                            <w:tab w:val="center" w:pos="33"/>
                          </w:tabs>
                          <w:ind w:left="33" w:hanging="33"/>
                          <w:rPr>
                            <w:sz w:val="18"/>
                            <w:szCs w:val="18"/>
                          </w:rPr>
                        </w:pPr>
                        <w:r>
                          <w:rPr>
                            <w:sz w:val="18"/>
                            <w:szCs w:val="18"/>
                          </w:rPr>
                          <w:t xml:space="preserve">2.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 </w:t>
                        </w:r>
                      </w:p>
                      <w:p>
                        <w:pPr>
                          <w:tabs>
                            <w:tab w:val="center" w:pos="33"/>
                          </w:tabs>
                          <w:ind w:left="33" w:hanging="33"/>
                          <w:rPr>
                            <w:sz w:val="18"/>
                            <w:szCs w:val="18"/>
                          </w:rPr>
                        </w:pPr>
                        <w:r>
                          <w:rPr>
                            <w:sz w:val="18"/>
                            <w:szCs w:val="18"/>
                          </w:rPr>
                          <w:t>3. Degeneracinė trumparegystė H44.2</w:t>
                        </w:r>
                      </w:p>
                      <w:p>
                        <w:pPr>
                          <w:tabs>
                            <w:tab w:val="center" w:pos="33"/>
                          </w:tabs>
                          <w:ind w:left="33" w:hanging="33"/>
                          <w:rPr>
                            <w:sz w:val="18"/>
                            <w:szCs w:val="18"/>
                          </w:rPr>
                        </w:pPr>
                        <w:r>
                          <w:rPr>
                            <w:sz w:val="18"/>
                            <w:szCs w:val="18"/>
                          </w:rPr>
                          <w:t>4. Paveldimos tinklainės distrofijos H35.5</w:t>
                        </w:r>
                      </w:p>
                      <w:p>
                        <w:pPr>
                          <w:rPr>
                            <w:sz w:val="18"/>
                            <w:szCs w:val="18"/>
                          </w:rPr>
                        </w:pPr>
                        <w:r>
                          <w:rPr>
                            <w:sz w:val="18"/>
                            <w:szCs w:val="18"/>
                          </w:rPr>
                          <w:t>5. Epilepsija G40</w:t>
                        </w:r>
                      </w:p>
                    </w:tc>
                  </w:tr>
                  <w:tr>
                    <w:trPr>
                      <w:cantSplit/>
                      <w:trHeight w:val="20"/>
                    </w:trPr>
                    <w:tc>
                      <w:tcPr>
                        <w:tcW w:w="2470" w:type="dxa"/>
                      </w:tcPr>
                      <w:p>
                        <w:pPr>
                          <w:rPr>
                            <w:sz w:val="18"/>
                            <w:szCs w:val="18"/>
                          </w:rPr>
                        </w:pPr>
                        <w:r>
                          <w:rPr>
                            <w:sz w:val="18"/>
                            <w:szCs w:val="18"/>
                          </w:rPr>
                          <w:t>8. Hidroelektrinių, hidrotechninių įrenginių konstrukcijų, kurių patvankos aukštis didesnis kaip 3 metrai, rekonstravimas ir kapitalinis remontas</w:t>
                        </w:r>
                      </w:p>
                    </w:tc>
                    <w:tc>
                      <w:tcPr>
                        <w:tcW w:w="1167" w:type="dxa"/>
                      </w:tcPr>
                      <w:p>
                        <w:pPr>
                          <w:rPr>
                            <w:sz w:val="18"/>
                            <w:szCs w:val="18"/>
                          </w:rPr>
                        </w:pPr>
                        <w:r>
                          <w:rPr>
                            <w:sz w:val="18"/>
                            <w:szCs w:val="18"/>
                          </w:rPr>
                          <w:t>1 kartą per 2 metus</w:t>
                        </w:r>
                      </w:p>
                    </w:tc>
                    <w:tc>
                      <w:tcPr>
                        <w:tcW w:w="1571" w:type="dxa"/>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oftalmologas,</w:t>
                        </w:r>
                      </w:p>
                      <w:p>
                        <w:pPr>
                          <w:rPr>
                            <w:sz w:val="18"/>
                            <w:szCs w:val="18"/>
                          </w:rPr>
                        </w:pPr>
                        <w:r>
                          <w:rPr>
                            <w:sz w:val="18"/>
                            <w:szCs w:val="18"/>
                          </w:rPr>
                          <w:t>otorinolaringologas</w:t>
                        </w:r>
                      </w:p>
                    </w:tc>
                    <w:tc>
                      <w:tcPr>
                        <w:tcW w:w="1571" w:type="dxa"/>
                      </w:tcPr>
                      <w:p>
                        <w:pPr>
                          <w:rPr>
                            <w:sz w:val="18"/>
                            <w:szCs w:val="18"/>
                          </w:rPr>
                        </w:pPr>
                        <w:r>
                          <w:rPr>
                            <w:sz w:val="18"/>
                            <w:szCs w:val="18"/>
                          </w:rPr>
                          <w:t>Vestibulinės funkcijos ištyrimas,</w:t>
                        </w:r>
                      </w:p>
                      <w:p>
                        <w:pPr>
                          <w:rPr>
                            <w:sz w:val="18"/>
                            <w:szCs w:val="18"/>
                          </w:rPr>
                        </w:pPr>
                        <w:r>
                          <w:rPr>
                            <w:sz w:val="18"/>
                            <w:szCs w:val="18"/>
                          </w:rPr>
                          <w:t>esant indikacijų – audiograma</w:t>
                        </w:r>
                      </w:p>
                    </w:tc>
                    <w:tc>
                      <w:tcPr>
                        <w:tcW w:w="6564" w:type="dxa"/>
                        <w:gridSpan w:val="2"/>
                      </w:tcPr>
                      <w:p>
                        <w:pPr>
                          <w:rPr>
                            <w:sz w:val="18"/>
                            <w:szCs w:val="18"/>
                          </w:rPr>
                        </w:pPr>
                        <w:r>
                          <w:rPr>
                            <w:sz w:val="18"/>
                            <w:szCs w:val="18"/>
                          </w:rPr>
                          <w:t xml:space="preserve">1. Vestibulinės funkcijos sutrikimai H81;  H82</w:t>
                        </w:r>
                      </w:p>
                      <w:p>
                        <w:pPr>
                          <w:tabs>
                            <w:tab w:val="center" w:pos="33"/>
                          </w:tabs>
                          <w:ind w:left="33" w:hanging="33"/>
                          <w:rPr>
                            <w:sz w:val="18"/>
                            <w:szCs w:val="18"/>
                          </w:rPr>
                        </w:pPr>
                        <w:r>
                          <w:rPr>
                            <w:sz w:val="18"/>
                            <w:szCs w:val="18"/>
                          </w:rPr>
                          <w:t xml:space="preserve">2.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w:t>
                        </w:r>
                      </w:p>
                      <w:p>
                        <w:pPr>
                          <w:tabs>
                            <w:tab w:val="center" w:pos="33"/>
                          </w:tabs>
                          <w:ind w:left="33" w:hanging="33"/>
                          <w:rPr>
                            <w:sz w:val="18"/>
                            <w:szCs w:val="18"/>
                          </w:rPr>
                        </w:pPr>
                        <w:r>
                          <w:rPr>
                            <w:sz w:val="18"/>
                            <w:szCs w:val="18"/>
                          </w:rPr>
                          <w:t>3. Regėjimo aštrumas su korekcija mažesnis kaip 0,5 viena ir 0,2 – kita akimi</w:t>
                        </w:r>
                      </w:p>
                      <w:p>
                        <w:pPr>
                          <w:tabs>
                            <w:tab w:val="center" w:pos="33"/>
                          </w:tabs>
                          <w:ind w:left="33" w:hanging="33"/>
                          <w:rPr>
                            <w:sz w:val="18"/>
                            <w:szCs w:val="18"/>
                          </w:rPr>
                        </w:pPr>
                        <w:r>
                          <w:rPr>
                            <w:sz w:val="18"/>
                            <w:szCs w:val="18"/>
                          </w:rPr>
                          <w:t>4. Epilepsija G40</w:t>
                        </w:r>
                      </w:p>
                    </w:tc>
                  </w:tr>
                  <w:tr>
                    <w:trPr>
                      <w:cantSplit/>
                      <w:trHeight w:val="20"/>
                    </w:trPr>
                    <w:tc>
                      <w:tcPr>
                        <w:tcW w:w="2470" w:type="dxa"/>
                      </w:tcPr>
                      <w:p>
                        <w:pPr>
                          <w:rPr>
                            <w:sz w:val="18"/>
                            <w:szCs w:val="18"/>
                          </w:rPr>
                        </w:pPr>
                        <w:r>
                          <w:rPr>
                            <w:sz w:val="18"/>
                            <w:szCs w:val="18"/>
                            <w:lang w:val="en-AU"/>
                          </w:rPr>
                          <w:t>9. Darbai cirke</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Neurologas,</w:t>
                        </w:r>
                      </w:p>
                      <w:p>
                        <w:pPr>
                          <w:rPr>
                            <w:sz w:val="18"/>
                            <w:szCs w:val="18"/>
                          </w:rPr>
                        </w:pPr>
                        <w:r>
                          <w:rPr>
                            <w:bCs/>
                            <w:sz w:val="18"/>
                            <w:szCs w:val="18"/>
                          </w:rPr>
                          <w:t>otorinolaringologas</w:t>
                        </w:r>
                      </w:p>
                    </w:tc>
                    <w:tc>
                      <w:tcPr>
                        <w:tcW w:w="1587" w:type="dxa"/>
                        <w:gridSpan w:val="2"/>
                      </w:tcPr>
                      <w:p>
                        <w:pPr>
                          <w:rPr>
                            <w:sz w:val="18"/>
                            <w:szCs w:val="18"/>
                          </w:rPr>
                        </w:pPr>
                        <w:r>
                          <w:rPr>
                            <w:sz w:val="18"/>
                            <w:szCs w:val="18"/>
                          </w:rPr>
                          <w:t>Vestibulinės funkcijos ištyrimas</w:t>
                        </w:r>
                      </w:p>
                    </w:tc>
                    <w:tc>
                      <w:tcPr>
                        <w:tcW w:w="6548" w:type="dxa"/>
                      </w:tcPr>
                      <w:p>
                        <w:pPr>
                          <w:ind w:left="56"/>
                          <w:rPr>
                            <w:sz w:val="18"/>
                            <w:szCs w:val="18"/>
                          </w:rPr>
                        </w:pPr>
                        <w:r>
                          <w:rPr>
                            <w:sz w:val="18"/>
                            <w:szCs w:val="18"/>
                          </w:rPr>
                          <w:t>1. Vestibulinės funkcijos sutrikimai H81; H82</w:t>
                        </w:r>
                      </w:p>
                      <w:p>
                        <w:pPr>
                          <w:ind w:left="56"/>
                          <w:rPr>
                            <w:sz w:val="18"/>
                            <w:szCs w:val="18"/>
                          </w:rPr>
                        </w:pPr>
                        <w:r>
                          <w:rPr>
                            <w:sz w:val="18"/>
                            <w:szCs w:val="18"/>
                          </w:rPr>
                          <w:t>2. Epilepsija G40</w:t>
                        </w:r>
                      </w:p>
                      <w:p>
                        <w:pPr>
                          <w:ind w:firstLine="56"/>
                          <w:rPr>
                            <w:sz w:val="18"/>
                            <w:szCs w:val="18"/>
                          </w:rPr>
                        </w:pPr>
                        <w:r>
                          <w:rPr>
                            <w:sz w:val="18"/>
                            <w:szCs w:val="18"/>
                          </w:rPr>
                          <w:t>3. Pagal konkrečius profesinės rizikos veiksnius</w:t>
                        </w:r>
                      </w:p>
                    </w:tc>
                  </w:tr>
                  <w:tr>
                    <w:trPr>
                      <w:cantSplit/>
                      <w:trHeight w:val="20"/>
                    </w:trPr>
                    <w:tc>
                      <w:tcPr>
                        <w:tcW w:w="2470" w:type="dxa"/>
                      </w:tcPr>
                      <w:p>
                        <w:pPr>
                          <w:rPr>
                            <w:sz w:val="18"/>
                            <w:szCs w:val="18"/>
                            <w:lang w:val="en-AU"/>
                          </w:rPr>
                        </w:pPr>
                        <w:r>
                          <w:rPr>
                            <w:sz w:val="18"/>
                            <w:szCs w:val="18"/>
                          </w:rPr>
                          <w:t>10. Darbai skraidančiuose orlaiviuose</w:t>
                        </w:r>
                      </w:p>
                    </w:tc>
                    <w:tc>
                      <w:tcPr>
                        <w:tcW w:w="1167" w:type="dxa"/>
                      </w:tcPr>
                      <w:p>
                        <w:pPr>
                          <w:rPr>
                            <w:sz w:val="18"/>
                            <w:szCs w:val="18"/>
                          </w:rPr>
                        </w:pP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p>
                    </w:tc>
                    <w:tc>
                      <w:tcPr>
                        <w:tcW w:w="1587" w:type="dxa"/>
                        <w:gridSpan w:val="2"/>
                      </w:tcPr>
                      <w:p>
                        <w:pPr>
                          <w:rPr>
                            <w:sz w:val="18"/>
                            <w:szCs w:val="18"/>
                          </w:rPr>
                        </w:pPr>
                      </w:p>
                    </w:tc>
                    <w:tc>
                      <w:tcPr>
                        <w:tcW w:w="6548" w:type="dxa"/>
                      </w:tcPr>
                      <w:p>
                        <w:pPr>
                          <w:ind w:left="56"/>
                          <w:rPr>
                            <w:sz w:val="18"/>
                            <w:szCs w:val="18"/>
                          </w:rPr>
                        </w:pPr>
                        <w:r>
                          <w:rPr>
                            <w:sz w:val="18"/>
                            <w:szCs w:val="18"/>
                          </w:rPr>
                          <w:t xml:space="preserve">Vadovaujamasi Licencijuojamų civilinės aviacijos specialistų sveikatos būklės tikrinimo tvarkos aprašu, patvirtintu Lietuvos Respublikos sveikatos apsaugos ministro 2000 m. gegužės 31 d. įsakymu Nr. 301 „Dėl profilaktinių sveikatos tikrinimų sveikatos priežiūros įstaigose“ (Žin., 2000, Nr. </w:t>
                        </w:r>
                        <w:hyperlink r:id="rId71" w:tgtFrame="_blank" w:history="1">
                          <w:r>
                            <w:rPr>
                              <w:color w:val="0000FF" w:themeColor="hyperlink"/>
                              <w:sz w:val="18"/>
                              <w:szCs w:val="18"/>
                              <w:u w:val="single"/>
                            </w:rPr>
                            <w:t>47-1365</w:t>
                          </w:r>
                        </w:hyperlink>
                        <w:r>
                          <w:rPr>
                            <w:sz w:val="18"/>
                            <w:szCs w:val="18"/>
                          </w:rPr>
                          <w:t xml:space="preserve">; 2005, Nr. </w:t>
                        </w:r>
                        <w:hyperlink r:id="rId72" w:tgtFrame="_blank" w:history="1">
                          <w:r>
                            <w:rPr>
                              <w:color w:val="0000FF" w:themeColor="hyperlink"/>
                              <w:sz w:val="18"/>
                              <w:szCs w:val="18"/>
                              <w:u w:val="single"/>
                            </w:rPr>
                            <w:t>128-4637</w:t>
                          </w:r>
                        </w:hyperlink>
                        <w:r>
                          <w:rPr>
                            <w:sz w:val="18"/>
                            <w:szCs w:val="18"/>
                          </w:rPr>
                          <w:t xml:space="preserve">; 2008, Nr. </w:t>
                        </w:r>
                        <w:hyperlink r:id="rId73" w:tgtFrame="_blank" w:history="1">
                          <w:r>
                            <w:rPr>
                              <w:color w:val="0000FF" w:themeColor="hyperlink"/>
                              <w:sz w:val="18"/>
                              <w:szCs w:val="18"/>
                              <w:u w:val="single"/>
                            </w:rPr>
                            <w:t>76-3030</w:t>
                          </w:r>
                        </w:hyperlink>
                        <w:r>
                          <w:rPr>
                            <w:sz w:val="18"/>
                            <w:szCs w:val="18"/>
                          </w:rPr>
                          <w:t>).</w:t>
                        </w:r>
                      </w:p>
                    </w:tc>
                  </w:tr>
                  <w:tr>
                    <w:trPr>
                      <w:cantSplit/>
                      <w:trHeight w:val="20"/>
                    </w:trPr>
                    <w:tc>
                      <w:tcPr>
                        <w:tcW w:w="2470" w:type="dxa"/>
                      </w:tcPr>
                      <w:p>
                        <w:pPr>
                          <w:rPr>
                            <w:sz w:val="18"/>
                            <w:szCs w:val="18"/>
                          </w:rPr>
                        </w:pPr>
                        <w:r>
                          <w:rPr>
                            <w:sz w:val="18"/>
                            <w:szCs w:val="18"/>
                          </w:rPr>
                          <w:t>11. Miško ruošos darbai (stačiojo miško kirtimas, vėjavartų, vėjalaužų likvidavimas)</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Oftalmologas</w:t>
                        </w:r>
                      </w:p>
                      <w:p>
                        <w:pPr>
                          <w:rPr>
                            <w:sz w:val="18"/>
                            <w:szCs w:val="18"/>
                          </w:rPr>
                        </w:pPr>
                        <w:r>
                          <w:rPr>
                            <w:sz w:val="18"/>
                            <w:szCs w:val="18"/>
                          </w:rPr>
                          <w:t>otorinolaringeologas,</w:t>
                        </w:r>
                      </w:p>
                      <w:p>
                        <w:pPr>
                          <w:rPr>
                            <w:sz w:val="18"/>
                            <w:szCs w:val="18"/>
                          </w:rPr>
                        </w:pPr>
                        <w:r>
                          <w:rPr>
                            <w:sz w:val="18"/>
                            <w:szCs w:val="18"/>
                          </w:rPr>
                          <w:t>neurologas</w:t>
                        </w:r>
                      </w:p>
                    </w:tc>
                    <w:tc>
                      <w:tcPr>
                        <w:tcW w:w="1587" w:type="dxa"/>
                        <w:gridSpan w:val="2"/>
                      </w:tcPr>
                      <w:p>
                        <w:pPr>
                          <w:rPr>
                            <w:sz w:val="18"/>
                            <w:szCs w:val="18"/>
                          </w:rPr>
                        </w:pPr>
                        <w:r>
                          <w:rPr>
                            <w:sz w:val="18"/>
                            <w:szCs w:val="18"/>
                          </w:rPr>
                          <w:t>Regėjimo aštrumo, vestibulinės funkcijos ištyrimas,</w:t>
                        </w:r>
                      </w:p>
                      <w:p>
                        <w:pPr>
                          <w:rPr>
                            <w:sz w:val="18"/>
                            <w:szCs w:val="18"/>
                          </w:rPr>
                        </w:pPr>
                        <w:r>
                          <w:rPr>
                            <w:sz w:val="18"/>
                            <w:szCs w:val="18"/>
                            <w:lang w:val="en-AU"/>
                          </w:rPr>
                          <w:t>esant indikacijų – audiograma</w:t>
                        </w:r>
                        <w:r>
                          <w:rPr>
                            <w:sz w:val="18"/>
                            <w:szCs w:val="18"/>
                          </w:rPr>
                          <w:t xml:space="preserve"> </w:t>
                        </w:r>
                      </w:p>
                    </w:tc>
                    <w:tc>
                      <w:tcPr>
                        <w:tcW w:w="6548" w:type="dxa"/>
                      </w:tcPr>
                      <w:p>
                        <w:pPr>
                          <w:rPr>
                            <w:sz w:val="18"/>
                            <w:szCs w:val="18"/>
                          </w:rPr>
                        </w:pPr>
                        <w:r>
                          <w:rPr>
                            <w:sz w:val="18"/>
                            <w:szCs w:val="18"/>
                          </w:rPr>
                          <w:t xml:space="preserve">1. Regėjimo aštrumas su korekcija mažesnis kaip 0,5 viena ir 0,2 – kita akimi </w:t>
                        </w:r>
                      </w:p>
                      <w:p>
                        <w:pPr>
                          <w:rPr>
                            <w:sz w:val="18"/>
                            <w:szCs w:val="18"/>
                          </w:rPr>
                        </w:pPr>
                        <w:r>
                          <w:rPr>
                            <w:sz w:val="18"/>
                            <w:szCs w:val="18"/>
                          </w:rPr>
                          <w:t>2. Akipločio defektai. Regėjimo lauko susiaurėjimas daugiau kaip 20</w:t>
                        </w:r>
                        <w:r>
                          <w:rPr>
                            <w:sz w:val="18"/>
                            <w:szCs w:val="18"/>
                            <w:vertAlign w:val="superscript"/>
                          </w:rPr>
                          <w:t xml:space="preserve">0  </w:t>
                        </w:r>
                        <w:r>
                          <w:rPr>
                            <w:sz w:val="18"/>
                            <w:szCs w:val="18"/>
                          </w:rPr>
                          <w:t>H53.4</w:t>
                        </w:r>
                      </w:p>
                      <w:p>
                        <w:pPr>
                          <w:tabs>
                            <w:tab w:val="center" w:pos="33"/>
                          </w:tabs>
                          <w:ind w:hanging="33"/>
                          <w:rPr>
                            <w:sz w:val="18"/>
                            <w:szCs w:val="18"/>
                          </w:rPr>
                        </w:pPr>
                        <w:r>
                          <w:rPr>
                            <w:sz w:val="18"/>
                            <w:szCs w:val="18"/>
                          </w:rPr>
                          <w:t>3.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w:t>
                        </w:r>
                      </w:p>
                      <w:p>
                        <w:pPr>
                          <w:tabs>
                            <w:tab w:val="center" w:pos="33"/>
                          </w:tabs>
                          <w:ind w:hanging="33"/>
                          <w:rPr>
                            <w:sz w:val="18"/>
                            <w:szCs w:val="18"/>
                          </w:rPr>
                        </w:pPr>
                        <w:r>
                          <w:rPr>
                            <w:sz w:val="18"/>
                            <w:szCs w:val="18"/>
                          </w:rPr>
                          <w:t>4. Vestibulinės funkcijos sutrikimai H81; H82</w:t>
                        </w:r>
                      </w:p>
                      <w:p>
                        <w:pPr>
                          <w:rPr>
                            <w:sz w:val="18"/>
                            <w:szCs w:val="18"/>
                          </w:rPr>
                        </w:pPr>
                        <w:r>
                          <w:rPr>
                            <w:sz w:val="18"/>
                            <w:szCs w:val="18"/>
                          </w:rPr>
                          <w:t>5. Venų ligos: žymus ar komplikuotas kojų venų išsiplėtimas, hemorojus su dažnais paūmėjimais ar komplikacijomis (kraujavimu, tromboze) I83.0, I83.1, I83.2, I84</w:t>
                        </w:r>
                      </w:p>
                      <w:p>
                        <w:pPr>
                          <w:rPr>
                            <w:sz w:val="18"/>
                            <w:szCs w:val="18"/>
                          </w:rPr>
                        </w:pPr>
                        <w:r>
                          <w:rPr>
                            <w:sz w:val="18"/>
                            <w:szCs w:val="18"/>
                          </w:rPr>
                          <w:t>6. Obliteruojantis endarteritas su komplikacijomis I77.6.</w:t>
                        </w:r>
                      </w:p>
                      <w:p>
                        <w:pPr>
                          <w:rPr>
                            <w:sz w:val="18"/>
                            <w:szCs w:val="18"/>
                          </w:rPr>
                        </w:pPr>
                        <w:r>
                          <w:rPr>
                            <w:sz w:val="18"/>
                            <w:szCs w:val="18"/>
                          </w:rPr>
                          <w:t xml:space="preserve">7. Jungiamojo audinio ir skeleto–raumenų ligos su funkcijos, tarp jų plaštakos, sutrikimu (stuburo pakenkimai – darbui, susijusiam su jo apkrovimu) </w:t>
                        </w:r>
                      </w:p>
                      <w:p>
                        <w:pPr>
                          <w:rPr>
                            <w:sz w:val="18"/>
                            <w:szCs w:val="18"/>
                          </w:rPr>
                        </w:pPr>
                        <w:r>
                          <w:rPr>
                            <w:sz w:val="18"/>
                            <w:szCs w:val="18"/>
                          </w:rPr>
                          <w:t>8. Išvaržos K40–K46</w:t>
                        </w:r>
                      </w:p>
                      <w:p>
                        <w:pPr>
                          <w:rPr>
                            <w:sz w:val="18"/>
                            <w:szCs w:val="18"/>
                          </w:rPr>
                        </w:pPr>
                        <w:r>
                          <w:rPr>
                            <w:sz w:val="18"/>
                            <w:szCs w:val="18"/>
                          </w:rPr>
                          <w:t>9. Cukrinis diabetas E10–E14</w:t>
                        </w:r>
                      </w:p>
                    </w:tc>
                  </w:tr>
                  <w:tr>
                    <w:trPr>
                      <w:cantSplit/>
                      <w:trHeight w:val="20"/>
                    </w:trPr>
                    <w:tc>
                      <w:tcPr>
                        <w:tcW w:w="2470" w:type="dxa"/>
                      </w:tcPr>
                      <w:p>
                        <w:pPr>
                          <w:rPr>
                            <w:sz w:val="18"/>
                            <w:szCs w:val="18"/>
                          </w:rPr>
                        </w:pPr>
                        <w:r>
                          <w:rPr>
                            <w:sz w:val="18"/>
                            <w:szCs w:val="18"/>
                          </w:rPr>
                          <w:t>12. Gręžimo darbai, išgaunant naudingąsias iškasenas</w:t>
                        </w:r>
                      </w:p>
                    </w:tc>
                    <w:tc>
                      <w:tcPr>
                        <w:tcW w:w="1167" w:type="dxa"/>
                      </w:tcPr>
                      <w:p>
                        <w:pPr>
                          <w:rPr>
                            <w:sz w:val="18"/>
                            <w:szCs w:val="18"/>
                          </w:rPr>
                        </w:pPr>
                        <w:r>
                          <w:rPr>
                            <w:sz w:val="18"/>
                            <w:szCs w:val="18"/>
                          </w:rPr>
                          <w:t>1 kartą per 2 metus</w:t>
                        </w:r>
                      </w:p>
                    </w:tc>
                    <w:tc>
                      <w:tcPr>
                        <w:tcW w:w="1571" w:type="dxa"/>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Oftalmologas,</w:t>
                        </w:r>
                      </w:p>
                      <w:p>
                        <w:pPr>
                          <w:rPr>
                            <w:sz w:val="18"/>
                            <w:szCs w:val="18"/>
                          </w:rPr>
                        </w:pPr>
                        <w:r>
                          <w:rPr>
                            <w:sz w:val="18"/>
                            <w:szCs w:val="18"/>
                          </w:rPr>
                          <w:t>otorinolaringologas</w:t>
                        </w:r>
                      </w:p>
                    </w:tc>
                    <w:tc>
                      <w:tcPr>
                        <w:tcW w:w="1571" w:type="dxa"/>
                      </w:tcPr>
                      <w:p>
                        <w:pPr>
                          <w:rPr>
                            <w:sz w:val="18"/>
                            <w:szCs w:val="18"/>
                          </w:rPr>
                        </w:pPr>
                        <w:r>
                          <w:rPr>
                            <w:sz w:val="18"/>
                            <w:szCs w:val="18"/>
                          </w:rPr>
                          <w:t>Regėjimo aštrumo, vestibulinės funkcijos ištyrimas,</w:t>
                        </w:r>
                      </w:p>
                      <w:p>
                        <w:pPr>
                          <w:rPr>
                            <w:sz w:val="18"/>
                            <w:szCs w:val="18"/>
                          </w:rPr>
                        </w:pPr>
                        <w:r>
                          <w:rPr>
                            <w:sz w:val="18"/>
                            <w:szCs w:val="18"/>
                          </w:rPr>
                          <w:t xml:space="preserve">esant indikacijų – audiograma </w:t>
                        </w:r>
                      </w:p>
                    </w:tc>
                    <w:tc>
                      <w:tcPr>
                        <w:tcW w:w="6564" w:type="dxa"/>
                        <w:gridSpan w:val="2"/>
                      </w:tcPr>
                      <w:p>
                        <w:pPr>
                          <w:tabs>
                            <w:tab w:val="center" w:pos="33"/>
                          </w:tabs>
                          <w:ind w:left="33" w:hanging="33"/>
                          <w:rPr>
                            <w:sz w:val="18"/>
                            <w:szCs w:val="18"/>
                          </w:rPr>
                        </w:pPr>
                        <w:r>
                          <w:rPr>
                            <w:sz w:val="18"/>
                            <w:szCs w:val="18"/>
                          </w:rPr>
                          <w:t xml:space="preserve">1.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w:t>
                        </w:r>
                      </w:p>
                      <w:p>
                        <w:pPr>
                          <w:tabs>
                            <w:tab w:val="center" w:pos="33"/>
                          </w:tabs>
                          <w:ind w:left="33" w:hanging="33"/>
                          <w:rPr>
                            <w:sz w:val="18"/>
                            <w:szCs w:val="18"/>
                          </w:rPr>
                        </w:pPr>
                        <w:r>
                          <w:rPr>
                            <w:sz w:val="18"/>
                            <w:szCs w:val="18"/>
                          </w:rPr>
                          <w:t xml:space="preserve">2. Vestibulinės funkcijos sutrikimai H81; H82 </w:t>
                        </w:r>
                      </w:p>
                      <w:p>
                        <w:pPr>
                          <w:rPr>
                            <w:i/>
                            <w:sz w:val="18"/>
                            <w:szCs w:val="18"/>
                          </w:rPr>
                        </w:pPr>
                        <w:r>
                          <w:rPr>
                            <w:sz w:val="18"/>
                            <w:szCs w:val="18"/>
                          </w:rPr>
                          <w:t>3. Regėjimo aštrumas su korekcija mažesnis kaip 0,5 viena ir 0,2 kita akimi</w:t>
                        </w:r>
                      </w:p>
                    </w:tc>
                  </w:tr>
                  <w:tr>
                    <w:trPr>
                      <w:cantSplit/>
                      <w:trHeight w:val="20"/>
                    </w:trPr>
                    <w:tc>
                      <w:tcPr>
                        <w:tcW w:w="2470" w:type="dxa"/>
                      </w:tcPr>
                      <w:p>
                        <w:pPr>
                          <w:rPr>
                            <w:sz w:val="18"/>
                            <w:szCs w:val="18"/>
                          </w:rPr>
                        </w:pPr>
                        <w:r>
                          <w:rPr>
                            <w:sz w:val="18"/>
                            <w:szCs w:val="18"/>
                          </w:rPr>
                          <w:t>13. Elektros, ryšių bei laidinio radijo oro ir požeminių linijų, dujotiekių, naftotiekių ar kitų produktotiekių vamzdynų įrengimo, išmontavimo darbai</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otorinolaringologas</w:t>
                        </w:r>
                      </w:p>
                    </w:tc>
                    <w:tc>
                      <w:tcPr>
                        <w:tcW w:w="1587" w:type="dxa"/>
                        <w:gridSpan w:val="2"/>
                      </w:tcPr>
                      <w:p>
                        <w:pPr>
                          <w:rPr>
                            <w:sz w:val="18"/>
                            <w:szCs w:val="18"/>
                          </w:rPr>
                        </w:pPr>
                        <w:r>
                          <w:rPr>
                            <w:sz w:val="18"/>
                            <w:szCs w:val="18"/>
                          </w:rPr>
                          <w:t>Vestibulinės funkcijos ištyrimas,</w:t>
                        </w:r>
                      </w:p>
                      <w:p>
                        <w:pPr>
                          <w:rPr>
                            <w:sz w:val="18"/>
                            <w:szCs w:val="18"/>
                          </w:rPr>
                        </w:pPr>
                        <w:r>
                          <w:rPr>
                            <w:sz w:val="18"/>
                            <w:szCs w:val="18"/>
                          </w:rPr>
                          <w:t xml:space="preserve">esant indikacijų – audiograma </w:t>
                        </w:r>
                      </w:p>
                    </w:tc>
                    <w:tc>
                      <w:tcPr>
                        <w:tcW w:w="6548" w:type="dxa"/>
                      </w:tcPr>
                      <w:p>
                        <w:pPr>
                          <w:tabs>
                            <w:tab w:val="center" w:pos="33"/>
                          </w:tabs>
                          <w:ind w:left="33" w:hanging="33"/>
                          <w:rPr>
                            <w:sz w:val="18"/>
                            <w:szCs w:val="18"/>
                          </w:rPr>
                        </w:pPr>
                        <w:r>
                          <w:rPr>
                            <w:sz w:val="18"/>
                            <w:szCs w:val="18"/>
                          </w:rPr>
                          <w:t>1.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w:t>
                        </w:r>
                      </w:p>
                      <w:p>
                        <w:pPr>
                          <w:rPr>
                            <w:sz w:val="18"/>
                            <w:szCs w:val="18"/>
                          </w:rPr>
                        </w:pPr>
                        <w:r>
                          <w:rPr>
                            <w:sz w:val="18"/>
                            <w:szCs w:val="18"/>
                          </w:rPr>
                          <w:t xml:space="preserve">2. Vestibulinės funkcijos sutrikimai H81; H82 3. </w:t>
                        </w:r>
                      </w:p>
                      <w:p>
                        <w:pPr>
                          <w:rPr>
                            <w:sz w:val="18"/>
                            <w:szCs w:val="18"/>
                          </w:rPr>
                        </w:pPr>
                        <w:r>
                          <w:rPr>
                            <w:sz w:val="18"/>
                            <w:szCs w:val="18"/>
                          </w:rPr>
                          <w:t>3. Epilepsija G40</w:t>
                        </w:r>
                      </w:p>
                      <w:p>
                        <w:pPr>
                          <w:rPr>
                            <w:sz w:val="18"/>
                            <w:szCs w:val="18"/>
                          </w:rPr>
                        </w:pPr>
                        <w:r>
                          <w:rPr>
                            <w:sz w:val="18"/>
                            <w:szCs w:val="18"/>
                          </w:rPr>
                          <w:t xml:space="preserve">4. Pagal konkrečius profesinės rizikos veiksnius </w:t>
                        </w:r>
                      </w:p>
                    </w:tc>
                  </w:tr>
                  <w:tr>
                    <w:trPr>
                      <w:cantSplit/>
                      <w:trHeight w:val="20"/>
                    </w:trPr>
                    <w:tc>
                      <w:tcPr>
                        <w:tcW w:w="2470" w:type="dxa"/>
                      </w:tcPr>
                      <w:p>
                        <w:pPr>
                          <w:rPr>
                            <w:sz w:val="18"/>
                            <w:szCs w:val="18"/>
                          </w:rPr>
                        </w:pPr>
                        <w:r>
                          <w:rPr>
                            <w:sz w:val="18"/>
                            <w:szCs w:val="18"/>
                          </w:rPr>
                          <w:t>14. Grunto kasyba ir tvirtinimas, kiti darbai prie aukštesnių kaip 1,5 metro šlaitų ir gilesnėse kaip 1,5 metro iškasose</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otorinolaringologas</w:t>
                        </w:r>
                      </w:p>
                    </w:tc>
                    <w:tc>
                      <w:tcPr>
                        <w:tcW w:w="1587" w:type="dxa"/>
                        <w:gridSpan w:val="2"/>
                      </w:tcPr>
                      <w:p>
                        <w:pPr>
                          <w:rPr>
                            <w:sz w:val="18"/>
                            <w:szCs w:val="18"/>
                          </w:rPr>
                        </w:pPr>
                        <w:r>
                          <w:rPr>
                            <w:sz w:val="18"/>
                            <w:szCs w:val="18"/>
                          </w:rPr>
                          <w:t>Vestibulinės funkcijos ištyrimas</w:t>
                        </w:r>
                      </w:p>
                    </w:tc>
                    <w:tc>
                      <w:tcPr>
                        <w:tcW w:w="6548" w:type="dxa"/>
                      </w:tcPr>
                      <w:p>
                        <w:pPr>
                          <w:rPr>
                            <w:sz w:val="18"/>
                            <w:szCs w:val="18"/>
                          </w:rPr>
                        </w:pPr>
                        <w:r>
                          <w:rPr>
                            <w:sz w:val="18"/>
                            <w:szCs w:val="18"/>
                          </w:rPr>
                          <w:t>1. Vestibulinės funkcijos sutrikimai H81; H82</w:t>
                        </w:r>
                      </w:p>
                      <w:p>
                        <w:pPr>
                          <w:rPr>
                            <w:sz w:val="18"/>
                            <w:szCs w:val="18"/>
                          </w:rPr>
                        </w:pPr>
                        <w:r>
                          <w:rPr>
                            <w:sz w:val="18"/>
                            <w:szCs w:val="18"/>
                          </w:rPr>
                          <w:t>2. Epilepsija G40</w:t>
                        </w:r>
                      </w:p>
                      <w:p>
                        <w:pPr>
                          <w:rPr>
                            <w:sz w:val="18"/>
                            <w:szCs w:val="18"/>
                          </w:rPr>
                        </w:pPr>
                        <w:r>
                          <w:rPr>
                            <w:sz w:val="18"/>
                            <w:szCs w:val="18"/>
                          </w:rPr>
                          <w:t>3. Obliteruojantis endarteritas su komplikacijomis I70.</w:t>
                        </w:r>
                      </w:p>
                      <w:p>
                        <w:pPr>
                          <w:rPr>
                            <w:sz w:val="18"/>
                            <w:szCs w:val="18"/>
                          </w:rPr>
                        </w:pPr>
                        <w:r>
                          <w:rPr>
                            <w:sz w:val="18"/>
                            <w:szCs w:val="18"/>
                          </w:rPr>
                          <w:t xml:space="preserve">4. Jungiamojo audinio ir skeleto-raumenų ligos su funkcijos, tarp jų plaštakos, sutrikimu (stuburo pakenkimai – darbui, susijusiam su jo apkrovimu) </w:t>
                        </w:r>
                      </w:p>
                      <w:p>
                        <w:pPr>
                          <w:rPr>
                            <w:sz w:val="18"/>
                            <w:szCs w:val="18"/>
                          </w:rPr>
                        </w:pPr>
                        <w:r>
                          <w:rPr>
                            <w:sz w:val="18"/>
                            <w:szCs w:val="18"/>
                          </w:rPr>
                          <w:t>5. Išvarža K40–K46</w:t>
                        </w:r>
                      </w:p>
                      <w:p>
                        <w:pPr>
                          <w:rPr>
                            <w:sz w:val="18"/>
                            <w:szCs w:val="18"/>
                          </w:rPr>
                        </w:pPr>
                        <w:r>
                          <w:rPr>
                            <w:sz w:val="18"/>
                            <w:szCs w:val="18"/>
                          </w:rPr>
                          <w:t>6. Cukrinis diabetas E10–E14</w:t>
                        </w:r>
                      </w:p>
                    </w:tc>
                  </w:tr>
                  <w:tr>
                    <w:trPr>
                      <w:cantSplit/>
                      <w:trHeight w:val="20"/>
                    </w:trPr>
                    <w:tc>
                      <w:tcPr>
                        <w:tcW w:w="2470" w:type="dxa"/>
                      </w:tcPr>
                      <w:p>
                        <w:pPr>
                          <w:rPr>
                            <w:sz w:val="18"/>
                            <w:szCs w:val="18"/>
                          </w:rPr>
                        </w:pPr>
                        <w:r>
                          <w:rPr>
                            <w:sz w:val="18"/>
                            <w:szCs w:val="18"/>
                          </w:rPr>
                          <w:t>15. Žemės darbai patogeniškai užterštame dirvožemyje, požeminių elektros tinklų, dujotiekio ir kitų požeminių komunikacijų (13 punktas) apsauginėse zonose</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bCs/>
                            <w:sz w:val="18"/>
                            <w:szCs w:val="18"/>
                          </w:rPr>
                          <w:t>Otorinolaringologas</w:t>
                        </w:r>
                      </w:p>
                    </w:tc>
                    <w:tc>
                      <w:tcPr>
                        <w:tcW w:w="1587" w:type="dxa"/>
                        <w:gridSpan w:val="2"/>
                      </w:tcPr>
                      <w:p>
                        <w:pPr>
                          <w:rPr>
                            <w:sz w:val="18"/>
                            <w:szCs w:val="18"/>
                          </w:rPr>
                        </w:pPr>
                        <w:r>
                          <w:rPr>
                            <w:sz w:val="18"/>
                            <w:szCs w:val="18"/>
                          </w:rPr>
                          <w:t>Vestibulinės funkcijos ištyrimas</w:t>
                        </w:r>
                      </w:p>
                    </w:tc>
                    <w:tc>
                      <w:tcPr>
                        <w:tcW w:w="6548" w:type="dxa"/>
                      </w:tcPr>
                      <w:p>
                        <w:pPr>
                          <w:rPr>
                            <w:sz w:val="18"/>
                            <w:szCs w:val="18"/>
                          </w:rPr>
                        </w:pPr>
                        <w:r>
                          <w:rPr>
                            <w:sz w:val="18"/>
                            <w:szCs w:val="18"/>
                          </w:rPr>
                          <w:t>1. Vestibulinės funkcijos sutrikimai H81; H82</w:t>
                        </w:r>
                      </w:p>
                      <w:p>
                        <w:pPr>
                          <w:rPr>
                            <w:sz w:val="18"/>
                            <w:szCs w:val="18"/>
                          </w:rPr>
                        </w:pPr>
                      </w:p>
                    </w:tc>
                  </w:tr>
                  <w:tr>
                    <w:trPr>
                      <w:cantSplit/>
                      <w:trHeight w:val="20"/>
                    </w:trPr>
                    <w:tc>
                      <w:tcPr>
                        <w:tcW w:w="2470" w:type="dxa"/>
                      </w:tcPr>
                      <w:p>
                        <w:pPr>
                          <w:rPr>
                            <w:sz w:val="18"/>
                            <w:szCs w:val="18"/>
                          </w:rPr>
                        </w:pPr>
                        <w:r>
                          <w:rPr>
                            <w:sz w:val="18"/>
                            <w:szCs w:val="18"/>
                          </w:rPr>
                          <w:t>16. Darbai potencialiai sprogioje aplinkoje</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Oftalmologas</w:t>
                        </w:r>
                      </w:p>
                      <w:p>
                        <w:pPr>
                          <w:rPr>
                            <w:sz w:val="18"/>
                            <w:szCs w:val="18"/>
                          </w:rPr>
                        </w:pPr>
                        <w:r>
                          <w:rPr>
                            <w:sz w:val="18"/>
                            <w:szCs w:val="18"/>
                          </w:rPr>
                          <w:t>otorinolaringologas,</w:t>
                        </w:r>
                        <w:r>
                          <w:rPr>
                            <w:bCs/>
                            <w:sz w:val="18"/>
                            <w:szCs w:val="18"/>
                          </w:rPr>
                          <w:t xml:space="preserve"> psichiatras</w:t>
                        </w:r>
                      </w:p>
                    </w:tc>
                    <w:tc>
                      <w:tcPr>
                        <w:tcW w:w="1587" w:type="dxa"/>
                        <w:gridSpan w:val="2"/>
                      </w:tcPr>
                      <w:p>
                        <w:pPr>
                          <w:rPr>
                            <w:sz w:val="18"/>
                            <w:szCs w:val="18"/>
                          </w:rPr>
                        </w:pPr>
                        <w:r>
                          <w:rPr>
                            <w:sz w:val="18"/>
                            <w:szCs w:val="18"/>
                          </w:rPr>
                          <w:t>Regėjimo aštrumo ištyrimas, audiograma</w:t>
                        </w:r>
                      </w:p>
                    </w:tc>
                    <w:tc>
                      <w:tcPr>
                        <w:tcW w:w="6548" w:type="dxa"/>
                      </w:tcPr>
                      <w:p>
                        <w:pPr>
                          <w:rPr>
                            <w:sz w:val="18"/>
                            <w:szCs w:val="18"/>
                          </w:rPr>
                        </w:pPr>
                        <w:r>
                          <w:rPr>
                            <w:sz w:val="18"/>
                            <w:szCs w:val="18"/>
                          </w:rPr>
                          <w:t>1. Regėjimas su korekcija mažesnis nei 0,5 viena ir 0,2 – kita akimi</w:t>
                        </w:r>
                      </w:p>
                      <w:p>
                        <w:pPr>
                          <w:rPr>
                            <w:sz w:val="18"/>
                            <w:szCs w:val="18"/>
                          </w:rPr>
                        </w:pPr>
                        <w:r>
                          <w:rPr>
                            <w:sz w:val="18"/>
                            <w:szCs w:val="18"/>
                          </w:rPr>
                          <w:t>2. Nuolatinis neišgydomas ašarojimas H04.2</w:t>
                        </w:r>
                      </w:p>
                      <w:p>
                        <w:pPr>
                          <w:rPr>
                            <w:sz w:val="18"/>
                            <w:szCs w:val="18"/>
                          </w:rPr>
                        </w:pPr>
                        <w:r>
                          <w:rPr>
                            <w:sz w:val="18"/>
                            <w:szCs w:val="18"/>
                          </w:rPr>
                          <w:t>3. Akipločio defektai. Regėjimo lauko susiaurėjimas daugiau kaip 20</w:t>
                        </w:r>
                        <w:r>
                          <w:rPr>
                            <w:sz w:val="18"/>
                            <w:szCs w:val="18"/>
                            <w:vertAlign w:val="superscript"/>
                          </w:rPr>
                          <w:t xml:space="preserve">0  </w:t>
                        </w:r>
                        <w:r>
                          <w:rPr>
                            <w:sz w:val="18"/>
                            <w:szCs w:val="18"/>
                          </w:rPr>
                          <w:t>H53.4</w:t>
                        </w:r>
                      </w:p>
                      <w:p>
                        <w:pPr>
                          <w:tabs>
                            <w:tab w:val="center" w:pos="33"/>
                          </w:tabs>
                          <w:ind w:left="33" w:hanging="33"/>
                          <w:rPr>
                            <w:sz w:val="18"/>
                            <w:szCs w:val="18"/>
                          </w:rPr>
                        </w:pPr>
                        <w:r>
                          <w:rPr>
                            <w:sz w:val="18"/>
                            <w:szCs w:val="18"/>
                          </w:rPr>
                          <w:t>4. Įvairios etiologijos klausos susilpnėjimas viena arba abiem ausimis, kai šnabždesys girdimas mažesniu kaip 3 m atstumu: H65.2; H65.3; H66.1; H66.2; H74.0, H74.1; H74.2; H74.3; H80; H83; H90; H91.0; H91.1; H91.3; H91.8; H91.9; H93.3; H94. Individualiu atveju dėl galimybės dirbti sprendžia gydytojas otorinolaringologas.</w:t>
                        </w:r>
                      </w:p>
                      <w:p>
                        <w:pPr>
                          <w:rPr>
                            <w:sz w:val="18"/>
                            <w:szCs w:val="18"/>
                          </w:rPr>
                        </w:pPr>
                        <w:r>
                          <w:rPr>
                            <w:sz w:val="18"/>
                            <w:szCs w:val="18"/>
                          </w:rPr>
                          <w:t>5. Alkoholizmas, narkomanija, toksikomanija F10–F19. Individualiu atveju dėl galimybės dirbti sprendžia gydytojas psichiatras.</w:t>
                        </w:r>
                      </w:p>
                    </w:tc>
                  </w:tr>
                  <w:tr>
                    <w:trPr>
                      <w:cantSplit/>
                      <w:trHeight w:val="20"/>
                    </w:trPr>
                    <w:tc>
                      <w:tcPr>
                        <w:tcW w:w="2470" w:type="dxa"/>
                      </w:tcPr>
                      <w:p>
                        <w:pPr>
                          <w:rPr>
                            <w:sz w:val="18"/>
                            <w:szCs w:val="18"/>
                          </w:rPr>
                        </w:pPr>
                        <w:r>
                          <w:rPr>
                            <w:sz w:val="18"/>
                            <w:szCs w:val="18"/>
                            <w:lang w:val="pt-BR"/>
                          </w:rPr>
                          <w:t>17. Remonto ar demontavimo darbai avariniuose statiniuose</w:t>
                        </w:r>
                      </w:p>
                    </w:tc>
                    <w:tc>
                      <w:tcPr>
                        <w:tcW w:w="1167" w:type="dxa"/>
                      </w:tcPr>
                      <w:p>
                        <w:pPr>
                          <w:rPr>
                            <w:sz w:val="18"/>
                            <w:szCs w:val="18"/>
                          </w:rPr>
                        </w:pPr>
                        <w:r>
                          <w:rPr>
                            <w:sz w:val="18"/>
                            <w:szCs w:val="18"/>
                          </w:rPr>
                          <w:t>1 kartą per 2 metus</w:t>
                        </w:r>
                      </w:p>
                    </w:tc>
                    <w:tc>
                      <w:tcPr>
                        <w:tcW w:w="1571" w:type="dxa"/>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bCs/>
                            <w:sz w:val="18"/>
                            <w:szCs w:val="18"/>
                          </w:rPr>
                          <w:t>Otorinolaringologas</w:t>
                        </w:r>
                      </w:p>
                    </w:tc>
                    <w:tc>
                      <w:tcPr>
                        <w:tcW w:w="1571" w:type="dxa"/>
                      </w:tcPr>
                      <w:p>
                        <w:pPr>
                          <w:rPr>
                            <w:sz w:val="18"/>
                            <w:szCs w:val="18"/>
                          </w:rPr>
                        </w:pPr>
                        <w:r>
                          <w:rPr>
                            <w:sz w:val="18"/>
                            <w:szCs w:val="18"/>
                          </w:rPr>
                          <w:t>Vestibulinės funkcijos ištyrimas,</w:t>
                        </w:r>
                      </w:p>
                      <w:p>
                        <w:pPr>
                          <w:rPr>
                            <w:sz w:val="18"/>
                            <w:szCs w:val="18"/>
                          </w:rPr>
                        </w:pPr>
                        <w:r>
                          <w:rPr>
                            <w:sz w:val="18"/>
                            <w:szCs w:val="18"/>
                          </w:rPr>
                          <w:t>audiograma</w:t>
                        </w:r>
                      </w:p>
                    </w:tc>
                    <w:tc>
                      <w:tcPr>
                        <w:tcW w:w="6564" w:type="dxa"/>
                        <w:gridSpan w:val="2"/>
                      </w:tcPr>
                      <w:p>
                        <w:pPr>
                          <w:rPr>
                            <w:sz w:val="18"/>
                            <w:szCs w:val="18"/>
                          </w:rPr>
                        </w:pPr>
                        <w:r>
                          <w:rPr>
                            <w:sz w:val="18"/>
                            <w:szCs w:val="18"/>
                          </w:rPr>
                          <w:t>1. Vestibulinės funkcijos sutrikimai H81; H82</w:t>
                        </w:r>
                      </w:p>
                      <w:p>
                        <w:pPr>
                          <w:tabs>
                            <w:tab w:val="center" w:pos="33"/>
                          </w:tabs>
                          <w:ind w:left="33" w:hanging="33"/>
                          <w:rPr>
                            <w:bCs/>
                            <w:sz w:val="18"/>
                            <w:szCs w:val="18"/>
                          </w:rPr>
                        </w:pPr>
                        <w:r>
                          <w:rPr>
                            <w:sz w:val="18"/>
                            <w:szCs w:val="18"/>
                          </w:rPr>
                          <w:t>2. Įvairios etiologijos klausos susilpnėjimas viena arba abiem ausimis, kai šnabždesys girdimas mažesniu kaip 3 m atstumu: H65.2; H65.3; H66.1; H66.2; H74.0, H74.1; H74.2; H74.3; H80; H83; H90; H91.0; H91.1; H91.3; H91.8; H91.9; H93.3; H94. Individualiu atveju dėl galimybės dirbti sprendžia gydytojas otorinolaringologas.</w:t>
                        </w:r>
                      </w:p>
                    </w:tc>
                  </w:tr>
                  <w:tr>
                    <w:trPr>
                      <w:cantSplit/>
                      <w:trHeight w:val="20"/>
                    </w:trPr>
                    <w:tc>
                      <w:tcPr>
                        <w:tcW w:w="2470" w:type="dxa"/>
                      </w:tcPr>
                      <w:p>
                        <w:pPr>
                          <w:rPr>
                            <w:sz w:val="18"/>
                            <w:szCs w:val="18"/>
                          </w:rPr>
                        </w:pPr>
                        <w:r>
                          <w:rPr>
                            <w:sz w:val="18"/>
                            <w:szCs w:val="18"/>
                          </w:rPr>
                          <w:t>18. Traukinių sąstatų formavimas (išformavimas), traukinių techninė apžiūra jų stovėjimo vietose ir darbai eksploatuojamuose geležinkelio ruožuose, automobilių kelių važiuojamosiose juostose</w:t>
                        </w:r>
                      </w:p>
                    </w:tc>
                    <w:tc>
                      <w:tcPr>
                        <w:tcW w:w="1167" w:type="dxa"/>
                      </w:tcPr>
                      <w:p>
                        <w:pPr>
                          <w:rPr>
                            <w:sz w:val="18"/>
                            <w:szCs w:val="18"/>
                          </w:rPr>
                        </w:pP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p>
                    </w:tc>
                    <w:tc>
                      <w:tcPr>
                        <w:tcW w:w="1587" w:type="dxa"/>
                        <w:gridSpan w:val="2"/>
                      </w:tcPr>
                      <w:p>
                        <w:pPr>
                          <w:rPr>
                            <w:bCs/>
                            <w:sz w:val="18"/>
                            <w:szCs w:val="18"/>
                          </w:rPr>
                        </w:pPr>
                      </w:p>
                    </w:tc>
                    <w:tc>
                      <w:tcPr>
                        <w:tcW w:w="6548" w:type="dxa"/>
                      </w:tcPr>
                      <w:p>
                        <w:pPr>
                          <w:rPr>
                            <w:sz w:val="18"/>
                            <w:szCs w:val="18"/>
                          </w:rPr>
                        </w:pPr>
                        <w:r>
                          <w:rPr>
                            <w:sz w:val="18"/>
                            <w:szCs w:val="18"/>
                          </w:rPr>
                          <w:t xml:space="preserve">Vadovaujamasi Geležinkelio darbuotojų sveikatos tikrinimo tvarka, patvirtinta Lietuvos Respublikos sveikatos apsaugos ministro 2000 m. gegužės 31 d. įsakymu Nr. 301 „Dėl profilaktinių sveikatos tikrinimų sveikatos priežiūros įstaigose“ (Žin., 2000, Nr. </w:t>
                        </w:r>
                        <w:hyperlink r:id="rId74" w:tgtFrame="_blank" w:history="1">
                          <w:r>
                            <w:rPr>
                              <w:color w:val="0000FF" w:themeColor="hyperlink"/>
                              <w:sz w:val="18"/>
                              <w:szCs w:val="18"/>
                              <w:u w:val="single"/>
                            </w:rPr>
                            <w:t>47-1365</w:t>
                          </w:r>
                        </w:hyperlink>
                        <w:r>
                          <w:rPr>
                            <w:sz w:val="18"/>
                            <w:szCs w:val="18"/>
                          </w:rPr>
                          <w:t xml:space="preserve">; 2005, Nr. </w:t>
                        </w:r>
                        <w:hyperlink r:id="rId75" w:tgtFrame="_blank" w:history="1">
                          <w:r>
                            <w:rPr>
                              <w:color w:val="0000FF" w:themeColor="hyperlink"/>
                              <w:sz w:val="18"/>
                              <w:szCs w:val="18"/>
                              <w:u w:val="single"/>
                            </w:rPr>
                            <w:t>128-4637</w:t>
                          </w:r>
                        </w:hyperlink>
                        <w:r>
                          <w:rPr>
                            <w:sz w:val="18"/>
                            <w:szCs w:val="18"/>
                          </w:rPr>
                          <w:t xml:space="preserve">; 2008, Nr. </w:t>
                        </w:r>
                        <w:hyperlink r:id="rId76" w:tgtFrame="_blank" w:history="1">
                          <w:r>
                            <w:rPr>
                              <w:color w:val="0000FF" w:themeColor="hyperlink"/>
                              <w:sz w:val="18"/>
                              <w:szCs w:val="18"/>
                              <w:u w:val="single"/>
                            </w:rPr>
                            <w:t>76-3030</w:t>
                          </w:r>
                        </w:hyperlink>
                        <w:r>
                          <w:rPr>
                            <w:sz w:val="18"/>
                            <w:szCs w:val="18"/>
                          </w:rPr>
                          <w:t>).</w:t>
                        </w:r>
                      </w:p>
                    </w:tc>
                  </w:tr>
                  <w:tr>
                    <w:trPr>
                      <w:cantSplit/>
                      <w:trHeight w:val="20"/>
                    </w:trPr>
                    <w:tc>
                      <w:tcPr>
                        <w:tcW w:w="2470" w:type="dxa"/>
                      </w:tcPr>
                      <w:p>
                        <w:pPr>
                          <w:rPr>
                            <w:sz w:val="18"/>
                            <w:szCs w:val="18"/>
                          </w:rPr>
                        </w:pPr>
                        <w:r>
                          <w:rPr>
                            <w:sz w:val="18"/>
                            <w:szCs w:val="18"/>
                          </w:rPr>
                          <w:t>19. Psichikos ligonių gydymas ir priežiūra</w:t>
                        </w:r>
                      </w:p>
                    </w:tc>
                    <w:tc>
                      <w:tcPr>
                        <w:tcW w:w="1167" w:type="dxa"/>
                      </w:tcPr>
                      <w:p>
                        <w:pPr>
                          <w:rPr>
                            <w:sz w:val="18"/>
                            <w:szCs w:val="18"/>
                          </w:rPr>
                        </w:pPr>
                        <w:r>
                          <w:rPr>
                            <w:sz w:val="18"/>
                            <w:szCs w:val="18"/>
                          </w:rPr>
                          <w:t>1 kartą per 2 metus</w:t>
                        </w:r>
                      </w:p>
                    </w:tc>
                    <w:tc>
                      <w:tcPr>
                        <w:tcW w:w="1571" w:type="dxa"/>
                      </w:tcPr>
                      <w:p>
                        <w:pPr>
                          <w:rPr>
                            <w:bCs/>
                            <w:sz w:val="18"/>
                            <w:szCs w:val="18"/>
                          </w:rPr>
                        </w:pPr>
                        <w:r>
                          <w:rPr>
                            <w:bCs/>
                            <w:sz w:val="18"/>
                            <w:szCs w:val="18"/>
                          </w:rPr>
                          <w:t>Šeimos medicinos paslaugas teikiantys gydytojai arba darbo medicinos gydytojas</w:t>
                        </w:r>
                      </w:p>
                    </w:tc>
                    <w:tc>
                      <w:tcPr>
                        <w:tcW w:w="1397" w:type="dxa"/>
                      </w:tcPr>
                      <w:p>
                        <w:pPr>
                          <w:rPr>
                            <w:bCs/>
                            <w:sz w:val="18"/>
                            <w:szCs w:val="18"/>
                          </w:rPr>
                        </w:pPr>
                        <w:r>
                          <w:rPr>
                            <w:bCs/>
                            <w:sz w:val="18"/>
                            <w:szCs w:val="18"/>
                          </w:rPr>
                          <w:t>Otorinolaringologas</w:t>
                        </w:r>
                      </w:p>
                    </w:tc>
                    <w:tc>
                      <w:tcPr>
                        <w:tcW w:w="1571" w:type="dxa"/>
                      </w:tcPr>
                      <w:p>
                        <w:pPr>
                          <w:rPr>
                            <w:sz w:val="18"/>
                            <w:szCs w:val="18"/>
                          </w:rPr>
                        </w:pPr>
                        <w:r>
                          <w:rPr>
                            <w:sz w:val="18"/>
                            <w:szCs w:val="18"/>
                          </w:rPr>
                          <w:t>Vestibulinės funkcijos ištyrimas,</w:t>
                        </w:r>
                      </w:p>
                      <w:p>
                        <w:pPr>
                          <w:rPr>
                            <w:sz w:val="18"/>
                            <w:szCs w:val="18"/>
                          </w:rPr>
                        </w:pPr>
                        <w:r>
                          <w:rPr>
                            <w:sz w:val="18"/>
                            <w:szCs w:val="18"/>
                          </w:rPr>
                          <w:t>esant indikacijų – audiograma.</w:t>
                        </w:r>
                      </w:p>
                    </w:tc>
                    <w:tc>
                      <w:tcPr>
                        <w:tcW w:w="6564" w:type="dxa"/>
                        <w:gridSpan w:val="2"/>
                      </w:tcPr>
                      <w:p>
                        <w:pPr>
                          <w:tabs>
                            <w:tab w:val="center" w:pos="33"/>
                          </w:tabs>
                          <w:ind w:left="33" w:hanging="33"/>
                          <w:rPr>
                            <w:sz w:val="18"/>
                            <w:szCs w:val="18"/>
                          </w:rPr>
                        </w:pPr>
                        <w:r>
                          <w:rPr>
                            <w:sz w:val="18"/>
                            <w:szCs w:val="18"/>
                          </w:rPr>
                          <w:t xml:space="preserve">1. Kurčnebylumas, neklasifikuojamas kitur H91.3 </w:t>
                        </w:r>
                      </w:p>
                      <w:p>
                        <w:pPr>
                          <w:tabs>
                            <w:tab w:val="center" w:pos="33"/>
                          </w:tabs>
                          <w:ind w:left="33" w:hanging="33"/>
                          <w:rPr>
                            <w:bCs/>
                            <w:sz w:val="18"/>
                            <w:szCs w:val="18"/>
                          </w:rPr>
                        </w:pPr>
                        <w:r>
                          <w:rPr>
                            <w:sz w:val="18"/>
                            <w:szCs w:val="18"/>
                          </w:rPr>
                          <w:t>2. Vestibulinės funkcijos sutrikimai: H81; H82</w:t>
                        </w:r>
                      </w:p>
                    </w:tc>
                  </w:tr>
                  <w:tr>
                    <w:trPr>
                      <w:cantSplit/>
                      <w:trHeight w:val="20"/>
                    </w:trPr>
                    <w:tc>
                      <w:tcPr>
                        <w:tcW w:w="2470" w:type="dxa"/>
                      </w:tcPr>
                      <w:p>
                        <w:pPr>
                          <w:rPr>
                            <w:sz w:val="18"/>
                            <w:szCs w:val="18"/>
                          </w:rPr>
                        </w:pPr>
                        <w:r>
                          <w:rPr>
                            <w:sz w:val="18"/>
                            <w:szCs w:val="18"/>
                          </w:rPr>
                          <w:t>20. Valstybinių veterinarijos inspektorių pareigų vykdymas, veterinarijos gydytojų bei felčerių paslaugos</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Oftalmologas, </w:t>
                        </w:r>
                      </w:p>
                      <w:p>
                        <w:pPr>
                          <w:rPr>
                            <w:sz w:val="18"/>
                            <w:szCs w:val="18"/>
                          </w:rPr>
                        </w:pPr>
                        <w:r>
                          <w:rPr>
                            <w:sz w:val="18"/>
                            <w:szCs w:val="18"/>
                          </w:rPr>
                          <w:t>otorinolaringologas</w:t>
                        </w:r>
                      </w:p>
                    </w:tc>
                    <w:tc>
                      <w:tcPr>
                        <w:tcW w:w="1587" w:type="dxa"/>
                        <w:gridSpan w:val="2"/>
                      </w:tcPr>
                      <w:p>
                        <w:pPr>
                          <w:rPr>
                            <w:sz w:val="18"/>
                            <w:szCs w:val="18"/>
                          </w:rPr>
                        </w:pPr>
                        <w:r>
                          <w:rPr>
                            <w:sz w:val="18"/>
                            <w:szCs w:val="18"/>
                          </w:rPr>
                          <w:t xml:space="preserve">Esant indikacijų – audiograma </w:t>
                        </w:r>
                      </w:p>
                    </w:tc>
                    <w:tc>
                      <w:tcPr>
                        <w:tcW w:w="6548" w:type="dxa"/>
                      </w:tcPr>
                      <w:p>
                        <w:pPr>
                          <w:tabs>
                            <w:tab w:val="center" w:pos="33"/>
                          </w:tabs>
                          <w:ind w:left="33" w:hanging="33"/>
                          <w:rPr>
                            <w:sz w:val="18"/>
                            <w:szCs w:val="18"/>
                          </w:rPr>
                        </w:pPr>
                        <w:r>
                          <w:rPr>
                            <w:sz w:val="18"/>
                            <w:szCs w:val="18"/>
                          </w:rPr>
                          <w:t xml:space="preserve">1. Kurčnebylumas, neklasifikuojamas kitur H91.3 </w:t>
                        </w:r>
                      </w:p>
                      <w:p>
                        <w:pPr>
                          <w:tabs>
                            <w:tab w:val="center" w:pos="33"/>
                          </w:tabs>
                          <w:ind w:left="33" w:hanging="33"/>
                          <w:rPr>
                            <w:sz w:val="18"/>
                            <w:szCs w:val="18"/>
                          </w:rPr>
                        </w:pPr>
                        <w:r>
                          <w:rPr>
                            <w:sz w:val="18"/>
                            <w:szCs w:val="18"/>
                          </w:rPr>
                          <w:t>2. Aklumas H53.0</w:t>
                        </w:r>
                      </w:p>
                    </w:tc>
                  </w:tr>
                  <w:tr>
                    <w:trPr>
                      <w:cantSplit/>
                      <w:trHeight w:val="20"/>
                    </w:trPr>
                    <w:tc>
                      <w:tcPr>
                        <w:tcW w:w="2470" w:type="dxa"/>
                      </w:tcPr>
                      <w:p>
                        <w:pPr>
                          <w:rPr>
                            <w:sz w:val="18"/>
                            <w:szCs w:val="18"/>
                          </w:rPr>
                        </w:pPr>
                        <w:r>
                          <w:rPr>
                            <w:sz w:val="18"/>
                            <w:szCs w:val="18"/>
                          </w:rPr>
                          <w:t>21. Potencialiai pavojingų įrenginių montavimo darbai, potencialiai pavojingų įrenginių naudojimas</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Neurologas,</w:t>
                        </w:r>
                      </w:p>
                      <w:p>
                        <w:pPr>
                          <w:rPr>
                            <w:sz w:val="18"/>
                            <w:szCs w:val="18"/>
                          </w:rPr>
                        </w:pPr>
                        <w:r>
                          <w:rPr>
                            <w:sz w:val="18"/>
                            <w:szCs w:val="18"/>
                          </w:rPr>
                          <w:t>oftalmologas,</w:t>
                        </w:r>
                      </w:p>
                      <w:p>
                        <w:pPr>
                          <w:rPr>
                            <w:sz w:val="18"/>
                            <w:szCs w:val="18"/>
                          </w:rPr>
                        </w:pPr>
                        <w:r>
                          <w:rPr>
                            <w:sz w:val="18"/>
                            <w:szCs w:val="18"/>
                          </w:rPr>
                          <w:t>otorinolaringologas</w:t>
                        </w:r>
                      </w:p>
                    </w:tc>
                    <w:tc>
                      <w:tcPr>
                        <w:tcW w:w="1587" w:type="dxa"/>
                        <w:gridSpan w:val="2"/>
                      </w:tcPr>
                      <w:p>
                        <w:pPr>
                          <w:rPr>
                            <w:sz w:val="18"/>
                            <w:szCs w:val="18"/>
                          </w:rPr>
                        </w:pPr>
                        <w:r>
                          <w:rPr>
                            <w:sz w:val="18"/>
                            <w:szCs w:val="18"/>
                          </w:rPr>
                          <w:t xml:space="preserve">Regėjimo aštrumo ir regėjimo lauko tyrimas </w:t>
                        </w:r>
                      </w:p>
                      <w:p>
                        <w:pPr>
                          <w:rPr>
                            <w:sz w:val="18"/>
                            <w:szCs w:val="18"/>
                          </w:rPr>
                        </w:pPr>
                        <w:r>
                          <w:rPr>
                            <w:sz w:val="18"/>
                            <w:szCs w:val="18"/>
                          </w:rPr>
                          <w:t xml:space="preserve">vestibulinės funkcijos ištyrimas, esant indikacijų – audiograma </w:t>
                        </w:r>
                      </w:p>
                    </w:tc>
                    <w:tc>
                      <w:tcPr>
                        <w:tcW w:w="6548" w:type="dxa"/>
                      </w:tcPr>
                      <w:p>
                        <w:pPr>
                          <w:rPr>
                            <w:sz w:val="18"/>
                            <w:szCs w:val="18"/>
                          </w:rPr>
                        </w:pPr>
                        <w:r>
                          <w:rPr>
                            <w:sz w:val="18"/>
                            <w:szCs w:val="18"/>
                          </w:rPr>
                          <w:t>1. Regėjimo aštrumas su korekcija mažesnis nei 0,5 viena ir 0,2 – kita akimi</w:t>
                        </w:r>
                      </w:p>
                      <w:p>
                        <w:pPr>
                          <w:rPr>
                            <w:sz w:val="18"/>
                            <w:szCs w:val="18"/>
                          </w:rPr>
                        </w:pPr>
                        <w:r>
                          <w:rPr>
                            <w:sz w:val="18"/>
                            <w:szCs w:val="18"/>
                          </w:rPr>
                          <w:t>2. Nuolatinis neišgydomas ašarojimas H04.2</w:t>
                        </w:r>
                      </w:p>
                      <w:p>
                        <w:pPr>
                          <w:rPr>
                            <w:sz w:val="18"/>
                            <w:szCs w:val="18"/>
                          </w:rPr>
                        </w:pPr>
                        <w:r>
                          <w:rPr>
                            <w:sz w:val="18"/>
                            <w:szCs w:val="18"/>
                          </w:rPr>
                          <w:t>3. Akipločio defektai. Regėjimo lauko susiaurėjimas daugiau kaip 20</w:t>
                        </w:r>
                        <w:r>
                          <w:rPr>
                            <w:sz w:val="18"/>
                            <w:szCs w:val="18"/>
                            <w:vertAlign w:val="superscript"/>
                          </w:rPr>
                          <w:t xml:space="preserve">0  </w:t>
                        </w:r>
                        <w:r>
                          <w:rPr>
                            <w:sz w:val="18"/>
                            <w:szCs w:val="18"/>
                          </w:rPr>
                          <w:t>H53.4</w:t>
                        </w:r>
                      </w:p>
                      <w:p>
                        <w:pPr>
                          <w:rPr>
                            <w:sz w:val="18"/>
                            <w:szCs w:val="18"/>
                          </w:rPr>
                        </w:pPr>
                        <w:r>
                          <w:rPr>
                            <w:sz w:val="18"/>
                            <w:szCs w:val="18"/>
                          </w:rPr>
                          <w:t>4. Vestibulinės funkcijos sutrikimai: H81; H82</w:t>
                        </w:r>
                      </w:p>
                      <w:p>
                        <w:pPr>
                          <w:rPr>
                            <w:sz w:val="18"/>
                            <w:szCs w:val="18"/>
                          </w:rPr>
                        </w:pPr>
                        <w:r>
                          <w:rPr>
                            <w:sz w:val="18"/>
                            <w:szCs w:val="18"/>
                          </w:rPr>
                          <w:t xml:space="preserve">5. Įvairios etiologijos klausos susilpnėjimas viena arba abiem ausimis, kai šnabždesys girdimas mažesniu kaip 3 m atstumu: H65.2; H65.3; H66.1; H66.2; H74.0, H74.1; H74.2; H74.3; H80; H83; H90; H91.0; H91.1; H91.3; H91.8; H91.9; H93.3; H94. Individualiu atveju dėl galimybės  dirbti sprendžia gydytojas otorinolaringologas </w:t>
                        </w:r>
                      </w:p>
                      <w:p>
                        <w:pPr>
                          <w:rPr>
                            <w:sz w:val="18"/>
                            <w:szCs w:val="18"/>
                          </w:rPr>
                        </w:pPr>
                        <w:r>
                          <w:rPr>
                            <w:sz w:val="18"/>
                            <w:szCs w:val="18"/>
                          </w:rPr>
                          <w:t>6. Epilepsija G40</w:t>
                        </w:r>
                      </w:p>
                    </w:tc>
                  </w:tr>
                  <w:tr>
                    <w:trPr>
                      <w:cantSplit/>
                      <w:trHeight w:val="20"/>
                    </w:trPr>
                    <w:tc>
                      <w:tcPr>
                        <w:tcW w:w="2470" w:type="dxa"/>
                      </w:tcPr>
                      <w:p>
                        <w:pPr>
                          <w:tabs>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spacing w:beforeLines="20" w:before="48" w:afterLines="20" w:after="48"/>
                          <w:rPr>
                            <w:sz w:val="18"/>
                            <w:szCs w:val="18"/>
                          </w:rPr>
                        </w:pPr>
                        <w:r>
                          <w:rPr>
                            <w:sz w:val="18"/>
                            <w:szCs w:val="18"/>
                            <w:lang w:eastAsia="lt-LT"/>
                          </w:rPr>
                          <w:t>22. Inkasatorių, apsaugos darbuotojų, apsaugininkų, apsaugos vadovų ar budėtojų, saugančių pastatus, patalpas ar kitus objektus, darbas</w:t>
                        </w:r>
                      </w:p>
                    </w:tc>
                    <w:tc>
                      <w:tcPr>
                        <w:tcW w:w="1167" w:type="dxa"/>
                      </w:tcPr>
                      <w:p>
                        <w:pPr>
                          <w:tabs>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spacing w:beforeLines="20" w:before="48" w:afterLines="20" w:after="48"/>
                          <w:rPr>
                            <w:sz w:val="18"/>
                            <w:szCs w:val="18"/>
                          </w:rPr>
                        </w:pPr>
                        <w:r>
                          <w:rPr>
                            <w:sz w:val="18"/>
                            <w:szCs w:val="18"/>
                            <w:lang w:eastAsia="lt-LT"/>
                          </w:rPr>
                          <w:t>1 kartą per 2 metus</w:t>
                        </w:r>
                      </w:p>
                    </w:tc>
                    <w:tc>
                      <w:tcPr>
                        <w:tcW w:w="1571" w:type="dxa"/>
                        <w:tcBorders>
                          <w:top w:val="single" w:sz="4" w:space="0" w:color="auto"/>
                        </w:tcBorders>
                      </w:tcPr>
                      <w:p>
                        <w:pPr>
                          <w:tabs>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spacing w:beforeLines="20" w:before="48" w:afterLines="20" w:after="48"/>
                          <w:rPr>
                            <w:sz w:val="18"/>
                            <w:szCs w:val="18"/>
                          </w:rPr>
                        </w:pPr>
                        <w:r>
                          <w:rPr>
                            <w:sz w:val="18"/>
                            <w:szCs w:val="18"/>
                            <w:lang w:eastAsia="lt-LT"/>
                          </w:rPr>
                          <w:t>Šeimos medicinos paslaugas teikiantys gydytojai arba darbo medicinos gydytojas</w:t>
                        </w:r>
                      </w:p>
                    </w:tc>
                    <w:tc>
                      <w:tcPr>
                        <w:tcW w:w="1397" w:type="dxa"/>
                      </w:tcPr>
                      <w:p>
                        <w:pPr>
                          <w:rPr>
                            <w:sz w:val="18"/>
                            <w:szCs w:val="18"/>
                            <w:lang w:eastAsia="lt-LT"/>
                          </w:rPr>
                        </w:pPr>
                        <w:r>
                          <w:rPr>
                            <w:sz w:val="18"/>
                            <w:szCs w:val="18"/>
                            <w:lang w:eastAsia="lt-LT"/>
                          </w:rPr>
                          <w:t>Oftalmologas,</w:t>
                        </w:r>
                      </w:p>
                      <w:p>
                        <w:pPr>
                          <w:rPr>
                            <w:sz w:val="18"/>
                            <w:szCs w:val="18"/>
                            <w:lang w:eastAsia="lt-LT"/>
                          </w:rPr>
                        </w:pPr>
                        <w:r>
                          <w:rPr>
                            <w:sz w:val="18"/>
                            <w:szCs w:val="18"/>
                            <w:lang w:eastAsia="lt-LT"/>
                          </w:rPr>
                          <w:t>neurologas,</w:t>
                        </w:r>
                      </w:p>
                      <w:p>
                        <w:pPr>
                          <w:rPr>
                            <w:sz w:val="18"/>
                            <w:szCs w:val="18"/>
                            <w:lang w:eastAsia="lt-LT"/>
                          </w:rPr>
                        </w:pPr>
                        <w:r>
                          <w:rPr>
                            <w:sz w:val="18"/>
                            <w:szCs w:val="18"/>
                            <w:lang w:eastAsia="lt-LT"/>
                          </w:rPr>
                          <w:t>otorinolaringologas,</w:t>
                        </w:r>
                      </w:p>
                      <w:p>
                        <w:pPr>
                          <w:rPr>
                            <w:sz w:val="18"/>
                            <w:szCs w:val="18"/>
                            <w:lang w:eastAsia="lt-LT"/>
                          </w:rPr>
                        </w:pPr>
                        <w:r>
                          <w:rPr>
                            <w:sz w:val="18"/>
                            <w:szCs w:val="18"/>
                            <w:lang w:eastAsia="lt-LT"/>
                          </w:rPr>
                          <w:t xml:space="preserve">psichiatras, </w:t>
                        </w:r>
                      </w:p>
                      <w:p>
                        <w:pPr>
                          <w:rPr>
                            <w:sz w:val="18"/>
                            <w:szCs w:val="18"/>
                          </w:rPr>
                        </w:pPr>
                        <w:r>
                          <w:rPr>
                            <w:sz w:val="18"/>
                            <w:szCs w:val="18"/>
                            <w:lang w:eastAsia="lt-LT"/>
                          </w:rPr>
                          <w:t>esant indikacijų – kitų profesinių kvalifikacijų gydytojai</w:t>
                        </w:r>
                      </w:p>
                    </w:tc>
                    <w:tc>
                      <w:tcPr>
                        <w:tcW w:w="1587" w:type="dxa"/>
                        <w:gridSpan w:val="2"/>
                      </w:tcPr>
                      <w:p>
                        <w:pPr>
                          <w:rPr>
                            <w:sz w:val="18"/>
                            <w:szCs w:val="18"/>
                            <w:lang w:eastAsia="lt-LT"/>
                          </w:rPr>
                        </w:pPr>
                        <w:r>
                          <w:rPr>
                            <w:sz w:val="18"/>
                            <w:szCs w:val="18"/>
                            <w:lang w:eastAsia="lt-LT"/>
                          </w:rPr>
                          <w:t xml:space="preserve">Regėjimo aštrumo, refrakcijos, </w:t>
                        </w:r>
                      </w:p>
                      <w:p>
                        <w:pPr>
                          <w:rPr>
                            <w:sz w:val="18"/>
                            <w:szCs w:val="18"/>
                            <w:lang w:eastAsia="lt-LT"/>
                          </w:rPr>
                        </w:pPr>
                        <w:r>
                          <w:rPr>
                            <w:sz w:val="18"/>
                            <w:szCs w:val="18"/>
                            <w:lang w:eastAsia="lt-LT"/>
                          </w:rPr>
                          <w:t xml:space="preserve">vestibulinės funkcijos ištyrimas, </w:t>
                        </w:r>
                      </w:p>
                      <w:p>
                        <w:pPr>
                          <w:rPr>
                            <w:sz w:val="18"/>
                            <w:szCs w:val="18"/>
                          </w:rPr>
                        </w:pPr>
                        <w:r>
                          <w:rPr>
                            <w:sz w:val="18"/>
                            <w:szCs w:val="18"/>
                            <w:lang w:eastAsia="lt-LT"/>
                          </w:rPr>
                          <w:t>esant indikacijų – audiograma</w:t>
                        </w:r>
                      </w:p>
                    </w:tc>
                    <w:tc>
                      <w:tcPr>
                        <w:tcW w:w="6548" w:type="dxa"/>
                      </w:tcPr>
                      <w:p>
                        <w:pPr>
                          <w:rPr>
                            <w:sz w:val="18"/>
                            <w:szCs w:val="18"/>
                            <w:lang w:eastAsia="lt-LT"/>
                          </w:rPr>
                        </w:pPr>
                        <w:r>
                          <w:rPr>
                            <w:sz w:val="18"/>
                            <w:szCs w:val="18"/>
                            <w:lang w:eastAsia="lt-LT"/>
                          </w:rPr>
                          <w:t>1. Regėjimas su korekcija silpnesnis nei 0,8 viena ir 0,5 – kita akimi.</w:t>
                        </w:r>
                      </w:p>
                      <w:p>
                        <w:pPr>
                          <w:rPr>
                            <w:sz w:val="18"/>
                            <w:szCs w:val="18"/>
                            <w:lang w:eastAsia="lt-LT"/>
                          </w:rPr>
                        </w:pPr>
                        <w:r>
                          <w:rPr>
                            <w:sz w:val="18"/>
                            <w:szCs w:val="18"/>
                            <w:lang w:eastAsia="lt-LT"/>
                          </w:rPr>
                          <w:t>2. Refrakcijos anomalijos: trumparegiškumas</w:t>
                        </w:r>
                      </w:p>
                      <w:p>
                        <w:pPr>
                          <w:rPr>
                            <w:sz w:val="18"/>
                            <w:szCs w:val="18"/>
                            <w:lang w:eastAsia="lt-LT"/>
                          </w:rPr>
                        </w:pPr>
                        <w:r>
                          <w:rPr>
                            <w:sz w:val="18"/>
                            <w:szCs w:val="18"/>
                            <w:lang w:eastAsia="lt-LT"/>
                          </w:rPr>
                          <w:t>(daugiau kaip 4,0D), progresuojantis trumparegiškumas su pakitimais akių dugne, hipermetropija – daugiau kaip 4,0D, hipermetropinis astigmatizmas – daugiau kaip 1,0D, miopinis astigmatizmas – daugiau kaip 1D.</w:t>
                        </w:r>
                      </w:p>
                      <w:p>
                        <w:pPr>
                          <w:rPr>
                            <w:sz w:val="18"/>
                            <w:szCs w:val="18"/>
                            <w:lang w:eastAsia="lt-LT"/>
                          </w:rPr>
                        </w:pPr>
                        <w:r>
                          <w:rPr>
                            <w:sz w:val="18"/>
                            <w:szCs w:val="18"/>
                            <w:lang w:eastAsia="lt-LT"/>
                          </w:rPr>
                          <w:t>3. Vestibulinės funkcijos sutrikimai: H81; H82.</w:t>
                        </w:r>
                      </w:p>
                      <w:p>
                        <w:pPr>
                          <w:ind w:left="33" w:hanging="33"/>
                          <w:rPr>
                            <w:sz w:val="18"/>
                            <w:szCs w:val="18"/>
                            <w:lang w:eastAsia="lt-LT"/>
                          </w:rPr>
                        </w:pPr>
                        <w:r>
                          <w:rPr>
                            <w:sz w:val="18"/>
                            <w:szCs w:val="18"/>
                            <w:lang w:eastAsia="lt-LT"/>
                          </w:rPr>
                          <w:t>4.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w:t>
                        </w:r>
                      </w:p>
                      <w:p>
                        <w:pPr>
                          <w:rPr>
                            <w:sz w:val="18"/>
                            <w:szCs w:val="18"/>
                            <w:lang w:eastAsia="lt-LT"/>
                          </w:rPr>
                        </w:pPr>
                        <w:r>
                          <w:rPr>
                            <w:sz w:val="18"/>
                            <w:szCs w:val="18"/>
                            <w:lang w:eastAsia="lt-LT"/>
                          </w:rPr>
                          <w:t>5. Galūnės, plaštakos, pėdos trūkumas.</w:t>
                        </w:r>
                      </w:p>
                      <w:p>
                        <w:pPr>
                          <w:rPr>
                            <w:sz w:val="18"/>
                            <w:szCs w:val="18"/>
                            <w:lang w:eastAsia="lt-LT"/>
                          </w:rPr>
                        </w:pPr>
                        <w:r>
                          <w:rPr>
                            <w:sz w:val="18"/>
                            <w:szCs w:val="18"/>
                            <w:lang w:eastAsia="lt-LT"/>
                          </w:rPr>
                          <w:t>6. Periferinių kraujagyslių ligos (obliteruojantis endarteritas, Raynaud sindromas, varikozinis venų išsiplėtimas ir kitos): I70-I73.0, I77.6, I83.0, I83.1, I83.2.</w:t>
                        </w:r>
                      </w:p>
                      <w:p>
                        <w:pPr>
                          <w:ind w:left="33" w:hanging="33"/>
                          <w:rPr>
                            <w:sz w:val="18"/>
                            <w:szCs w:val="18"/>
                            <w:lang w:eastAsia="lt-LT"/>
                          </w:rPr>
                        </w:pPr>
                        <w:r>
                          <w:rPr>
                            <w:sz w:val="18"/>
                            <w:szCs w:val="18"/>
                            <w:lang w:eastAsia="lt-LT"/>
                          </w:rPr>
                          <w:t>7. Lėtinės, dažnai paūmėjančios, odos ligos: L23-L24, L50, L53. Individualiu atveju dėl galimybės dirbti sprendžia gydytojas dermatovenerologas.</w:t>
                        </w:r>
                      </w:p>
                      <w:p>
                        <w:pPr>
                          <w:rPr>
                            <w:sz w:val="18"/>
                            <w:szCs w:val="18"/>
                            <w:lang w:eastAsia="lt-LT"/>
                          </w:rPr>
                        </w:pPr>
                        <w:r>
                          <w:rPr>
                            <w:sz w:val="18"/>
                            <w:szCs w:val="18"/>
                            <w:lang w:eastAsia="lt-LT"/>
                          </w:rPr>
                          <w:t>8. Epilepsija: G40.</w:t>
                        </w:r>
                      </w:p>
                      <w:p>
                        <w:pPr>
                          <w:tabs>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spacing w:beforeLines="20" w:before="48" w:afterLines="20" w:after="48"/>
                          <w:rPr>
                            <w:sz w:val="18"/>
                            <w:szCs w:val="18"/>
                          </w:rPr>
                        </w:pPr>
                        <w:r>
                          <w:rPr>
                            <w:sz w:val="18"/>
                            <w:szCs w:val="18"/>
                            <w:lang w:eastAsia="lt-LT"/>
                          </w:rPr>
                          <w:t>9. Alkoholizmas, narkomanija, toksikomanija: F10–F19. Individualiu atveju dėl galimybės dirbti sprendžia gydytojas psichiatras.</w:t>
                        </w:r>
                      </w:p>
                    </w:tc>
                  </w:tr>
                  <w:tr>
                    <w:trPr>
                      <w:cantSplit/>
                      <w:trHeight w:val="20"/>
                    </w:trPr>
                    <w:tc>
                      <w:tcPr>
                        <w:tcW w:w="2470" w:type="dxa"/>
                      </w:tcPr>
                      <w:p>
                        <w:pPr>
                          <w:rPr>
                            <w:strike/>
                            <w:sz w:val="18"/>
                            <w:szCs w:val="18"/>
                          </w:rPr>
                        </w:pPr>
                        <w:r>
                          <w:rPr>
                            <w:sz w:val="18"/>
                            <w:szCs w:val="18"/>
                          </w:rPr>
                          <w:t>23. Gaisrų gesinimas, gelbėjimo darbai pramoninių ir transporto avarijų vietose, gaivalinių nelaimių padarinių, cheminių ir radiacinių incidentų likvidavimas</w:t>
                        </w:r>
                      </w:p>
                    </w:tc>
                    <w:tc>
                      <w:tcPr>
                        <w:tcW w:w="1167" w:type="dxa"/>
                      </w:tcPr>
                      <w:p>
                        <w:pPr>
                          <w:rPr>
                            <w:sz w:val="18"/>
                            <w:szCs w:val="18"/>
                          </w:rPr>
                        </w:pPr>
                        <w:r>
                          <w:rPr>
                            <w:sz w:val="18"/>
                            <w:szCs w:val="18"/>
                          </w:rPr>
                          <w:t>1 kartą per 2 metus</w:t>
                        </w:r>
                      </w:p>
                    </w:tc>
                    <w:tc>
                      <w:tcPr>
                        <w:tcW w:w="1571" w:type="dxa"/>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Neurologas,</w:t>
                        </w:r>
                      </w:p>
                      <w:p>
                        <w:pPr>
                          <w:rPr>
                            <w:sz w:val="18"/>
                            <w:szCs w:val="18"/>
                          </w:rPr>
                        </w:pPr>
                        <w:r>
                          <w:rPr>
                            <w:sz w:val="18"/>
                            <w:szCs w:val="18"/>
                          </w:rPr>
                          <w:t>oftalmologas,</w:t>
                        </w:r>
                      </w:p>
                      <w:p>
                        <w:pPr>
                          <w:rPr>
                            <w:sz w:val="18"/>
                            <w:szCs w:val="18"/>
                          </w:rPr>
                        </w:pPr>
                        <w:r>
                          <w:rPr>
                            <w:sz w:val="18"/>
                            <w:szCs w:val="18"/>
                          </w:rPr>
                          <w:t>otorinolaringologas.</w:t>
                        </w:r>
                      </w:p>
                      <w:p>
                        <w:pPr>
                          <w:rPr>
                            <w:sz w:val="18"/>
                            <w:szCs w:val="18"/>
                          </w:rPr>
                        </w:pPr>
                        <w:r>
                          <w:rPr>
                            <w:sz w:val="18"/>
                            <w:szCs w:val="18"/>
                          </w:rPr>
                          <w:t xml:space="preserve">Esant indikacijų – </w:t>
                        </w:r>
                        <w:r>
                          <w:rPr>
                            <w:bCs/>
                            <w:sz w:val="18"/>
                            <w:szCs w:val="18"/>
                          </w:rPr>
                          <w:t>kitų profesinių kvalifikacijų gydytojai</w:t>
                        </w:r>
                      </w:p>
                    </w:tc>
                    <w:tc>
                      <w:tcPr>
                        <w:tcW w:w="1587" w:type="dxa"/>
                        <w:gridSpan w:val="2"/>
                      </w:tcPr>
                      <w:p>
                        <w:pPr>
                          <w:ind w:left="-5" w:right="-108"/>
                          <w:rPr>
                            <w:sz w:val="18"/>
                            <w:szCs w:val="18"/>
                          </w:rPr>
                        </w:pPr>
                        <w:r>
                          <w:rPr>
                            <w:sz w:val="18"/>
                            <w:szCs w:val="18"/>
                          </w:rPr>
                          <w:t>Regėjimo aštrumo,</w:t>
                        </w:r>
                      </w:p>
                      <w:p>
                        <w:pPr>
                          <w:ind w:left="-5" w:right="-108"/>
                          <w:rPr>
                            <w:sz w:val="18"/>
                            <w:szCs w:val="18"/>
                          </w:rPr>
                        </w:pPr>
                        <w:r>
                          <w:rPr>
                            <w:sz w:val="18"/>
                            <w:szCs w:val="18"/>
                          </w:rPr>
                          <w:t>akipločio,</w:t>
                        </w:r>
                      </w:p>
                      <w:p>
                        <w:pPr>
                          <w:ind w:left="-5" w:right="-108"/>
                          <w:rPr>
                            <w:sz w:val="18"/>
                            <w:szCs w:val="18"/>
                          </w:rPr>
                        </w:pPr>
                        <w:r>
                          <w:rPr>
                            <w:sz w:val="18"/>
                            <w:szCs w:val="18"/>
                          </w:rPr>
                          <w:t xml:space="preserve">vestibulinės funkcijos ištyrimas, </w:t>
                        </w:r>
                      </w:p>
                      <w:p>
                        <w:pPr>
                          <w:ind w:left="-5" w:right="-108"/>
                          <w:rPr>
                            <w:sz w:val="18"/>
                            <w:szCs w:val="18"/>
                          </w:rPr>
                        </w:pPr>
                        <w:r>
                          <w:rPr>
                            <w:sz w:val="18"/>
                            <w:szCs w:val="18"/>
                          </w:rPr>
                          <w:t>KLR1,</w:t>
                        </w:r>
                      </w:p>
                      <w:p>
                        <w:pPr>
                          <w:ind w:left="-5" w:right="-108"/>
                          <w:rPr>
                            <w:sz w:val="18"/>
                            <w:szCs w:val="18"/>
                          </w:rPr>
                        </w:pPr>
                        <w:r>
                          <w:rPr>
                            <w:sz w:val="18"/>
                            <w:szCs w:val="18"/>
                          </w:rPr>
                          <w:t>EKG1,</w:t>
                        </w:r>
                      </w:p>
                      <w:p>
                        <w:pPr>
                          <w:ind w:left="-5" w:right="-108"/>
                          <w:rPr>
                            <w:sz w:val="18"/>
                            <w:szCs w:val="18"/>
                          </w:rPr>
                        </w:pPr>
                        <w:r>
                          <w:rPr>
                            <w:sz w:val="18"/>
                            <w:szCs w:val="18"/>
                          </w:rPr>
                          <w:t>esant indikacijų – audiograma</w:t>
                        </w:r>
                      </w:p>
                    </w:tc>
                    <w:tc>
                      <w:tcPr>
                        <w:tcW w:w="6548" w:type="dxa"/>
                      </w:tcPr>
                      <w:p>
                        <w:pPr>
                          <w:rPr>
                            <w:sz w:val="18"/>
                            <w:szCs w:val="18"/>
                          </w:rPr>
                        </w:pPr>
                        <w:r>
                          <w:rPr>
                            <w:sz w:val="18"/>
                            <w:szCs w:val="18"/>
                          </w:rPr>
                          <w:t>1. Regėjimo organų ligos:</w:t>
                        </w:r>
                      </w:p>
                      <w:p>
                        <w:pPr>
                          <w:rPr>
                            <w:sz w:val="18"/>
                            <w:szCs w:val="18"/>
                          </w:rPr>
                        </w:pPr>
                        <w:r>
                          <w:rPr>
                            <w:sz w:val="18"/>
                            <w:szCs w:val="18"/>
                          </w:rPr>
                          <w:t>1.1. Regėjimo aštrumo susilpnėjimas. Regėjimas silpnesnis kaip 0,8 viena ir 0,5 – kita akimi (be korekcijos)</w:t>
                        </w:r>
                      </w:p>
                      <w:p>
                        <w:pPr>
                          <w:rPr>
                            <w:sz w:val="18"/>
                            <w:szCs w:val="18"/>
                          </w:rPr>
                        </w:pPr>
                        <w:r>
                          <w:rPr>
                            <w:sz w:val="18"/>
                            <w:szCs w:val="18"/>
                          </w:rPr>
                          <w:t>1.2. Lėtinės ašarų takų, vokų ligos, organiniai vokų trūkumai H02, H04.2–H04.3</w:t>
                        </w:r>
                      </w:p>
                      <w:p>
                        <w:pPr>
                          <w:rPr>
                            <w:sz w:val="18"/>
                            <w:szCs w:val="18"/>
                          </w:rPr>
                        </w:pPr>
                        <w:r>
                          <w:rPr>
                            <w:sz w:val="18"/>
                            <w:szCs w:val="18"/>
                          </w:rPr>
                          <w:t>1.3. Akipločio defektai. Regėjimo lauko susiaurėjimas daugiau kaip 10</w:t>
                        </w:r>
                        <w:r>
                          <w:rPr>
                            <w:sz w:val="18"/>
                            <w:szCs w:val="18"/>
                            <w:vertAlign w:val="superscript"/>
                          </w:rPr>
                          <w:t xml:space="preserve">0  </w:t>
                        </w:r>
                        <w:r>
                          <w:rPr>
                            <w:sz w:val="18"/>
                            <w:szCs w:val="18"/>
                          </w:rPr>
                          <w:t>H53.4</w:t>
                        </w:r>
                      </w:p>
                      <w:p>
                        <w:pPr>
                          <w:rPr>
                            <w:sz w:val="18"/>
                            <w:szCs w:val="18"/>
                          </w:rPr>
                        </w:pPr>
                        <w:r>
                          <w:rPr>
                            <w:sz w:val="18"/>
                            <w:szCs w:val="18"/>
                          </w:rPr>
                          <w:t>2. Vestibulinės funkcijos sutrikimai H81; H82</w:t>
                        </w:r>
                      </w:p>
                      <w:p>
                        <w:pPr>
                          <w:rPr>
                            <w:sz w:val="18"/>
                            <w:szCs w:val="18"/>
                          </w:rPr>
                        </w:pPr>
                        <w:r>
                          <w:rPr>
                            <w:sz w:val="18"/>
                            <w:szCs w:val="18"/>
                          </w:rPr>
                          <w:t xml:space="preserve">3. Įvairios etiologijos klausos susilpnėjimas viena arba abiem ausimis, kai šnabždesys girdimas mažesniu kaip 3 m. atstumu H65.2; H65.3; H66.1; H66.2; H74.0, H74.1; H74.2; H74.3; H80; H83; H90; H91.0; H91.1; H91.3; H91.8; H91.9; H93.3; H94. Individualiu atveju dėl galimybės  dirbti  sprendžia gydytojas otorinolaringologas.</w:t>
                        </w:r>
                      </w:p>
                      <w:p>
                        <w:pPr>
                          <w:rPr>
                            <w:sz w:val="18"/>
                            <w:szCs w:val="18"/>
                          </w:rPr>
                        </w:pPr>
                        <w:r>
                          <w:rPr>
                            <w:sz w:val="18"/>
                            <w:szCs w:val="18"/>
                          </w:rPr>
                          <w:t xml:space="preserve">4. Lėtinės periferinės nervų sistemos ligos G62–G64 </w:t>
                        </w:r>
                      </w:p>
                      <w:p>
                        <w:pPr>
                          <w:rPr>
                            <w:sz w:val="18"/>
                            <w:szCs w:val="18"/>
                          </w:rPr>
                        </w:pPr>
                        <w:r>
                          <w:rPr>
                            <w:sz w:val="18"/>
                            <w:szCs w:val="18"/>
                          </w:rPr>
                          <w:t>5. Širdies ir kraujagyslių sistemos ligos (ir esant kompensacijai) I05–I09, I10–I15, I20–I28, I30–I52</w:t>
                        </w:r>
                      </w:p>
                      <w:p>
                        <w:pPr>
                          <w:rPr>
                            <w:sz w:val="18"/>
                            <w:szCs w:val="18"/>
                          </w:rPr>
                        </w:pPr>
                        <w:r>
                          <w:rPr>
                            <w:sz w:val="18"/>
                            <w:szCs w:val="18"/>
                          </w:rPr>
                          <w:t>6. Lėtinės kvėpavimo organų ligos su funkcijos sutrikimu J44–J47, J45, J96.1</w:t>
                        </w:r>
                      </w:p>
                      <w:p>
                        <w:pPr>
                          <w:rPr>
                            <w:sz w:val="18"/>
                            <w:szCs w:val="18"/>
                          </w:rPr>
                        </w:pPr>
                        <w:r>
                          <w:rPr>
                            <w:sz w:val="18"/>
                            <w:szCs w:val="18"/>
                          </w:rPr>
                          <w:t>7. Burnos ertmės ir dantų ligos, dantų nebuvimas, jeigu tai trukdo naudotis kvėpavimo aparatais, uždedamų protezų turėjimas, alveolinė piorėja, stomatitas, periodontitas, apatinio žandikaulio kontraktūra ir ankilozė, artritas K05.1, K05.3, K12</w:t>
                        </w:r>
                      </w:p>
                      <w:p>
                        <w:pPr>
                          <w:rPr>
                            <w:sz w:val="18"/>
                            <w:szCs w:val="18"/>
                          </w:rPr>
                        </w:pPr>
                        <w:r>
                          <w:rPr>
                            <w:sz w:val="18"/>
                            <w:szCs w:val="18"/>
                          </w:rPr>
                          <w:t>8. Krūtinės ląstos deformacija, trikdanti kvėpavimą ir apsunkinanti darbą su dujokauke</w:t>
                        </w:r>
                      </w:p>
                      <w:p>
                        <w:pPr>
                          <w:rPr>
                            <w:sz w:val="18"/>
                            <w:szCs w:val="18"/>
                          </w:rPr>
                        </w:pPr>
                        <w:r>
                          <w:rPr>
                            <w:sz w:val="18"/>
                            <w:szCs w:val="18"/>
                          </w:rPr>
                          <w:t>9. Gerybiniai navikai, trukdantys dirbti su dujokauke</w:t>
                        </w:r>
                      </w:p>
                      <w:p>
                        <w:pPr>
                          <w:rPr>
                            <w:sz w:val="18"/>
                            <w:szCs w:val="18"/>
                          </w:rPr>
                        </w:pPr>
                        <w:r>
                          <w:rPr>
                            <w:sz w:val="18"/>
                            <w:szCs w:val="18"/>
                          </w:rPr>
                          <w:t>10. Visų rūšių išvaržos K40–K46</w:t>
                        </w:r>
                      </w:p>
                      <w:p>
                        <w:pPr>
                          <w:rPr>
                            <w:sz w:val="18"/>
                            <w:szCs w:val="18"/>
                          </w:rPr>
                        </w:pPr>
                        <w:r>
                          <w:rPr>
                            <w:sz w:val="18"/>
                            <w:szCs w:val="18"/>
                          </w:rPr>
                          <w:t>11. Obliteruojantis endarteritas, kojų venų varikozinis išsiplėtimas, trofinės opos, tromboflebitas, hemorojus I70, I77.6, I83.0, I83.1, I83.2. I84</w:t>
                        </w:r>
                      </w:p>
                      <w:p>
                        <w:pPr>
                          <w:rPr>
                            <w:sz w:val="18"/>
                            <w:szCs w:val="18"/>
                          </w:rPr>
                        </w:pPr>
                        <w:r>
                          <w:rPr>
                            <w:sz w:val="18"/>
                            <w:szCs w:val="18"/>
                          </w:rPr>
                          <w:t>12. Nosies polipai, pertvaros iškrypimai, žymiai trikdantys kvėpavimą pro nosį J33; J34,2</w:t>
                        </w:r>
                      </w:p>
                      <w:p>
                        <w:pPr>
                          <w:rPr>
                            <w:sz w:val="18"/>
                            <w:szCs w:val="18"/>
                          </w:rPr>
                        </w:pPr>
                        <w:r>
                          <w:rPr>
                            <w:sz w:val="18"/>
                            <w:szCs w:val="18"/>
                          </w:rPr>
                          <w:t>13. Išplitę viršutinių kvėpavimo takų atrofiniai ar hipertrofiniai pakitimai J30; J31; J37; J38; J39</w:t>
                        </w:r>
                      </w:p>
                      <w:p>
                        <w:pPr>
                          <w:rPr>
                            <w:sz w:val="18"/>
                            <w:szCs w:val="18"/>
                          </w:rPr>
                        </w:pPr>
                        <w:r>
                          <w:rPr>
                            <w:sz w:val="18"/>
                            <w:szCs w:val="18"/>
                          </w:rPr>
                          <w:t>14. Cukrinis diabetas E10–E14</w:t>
                        </w:r>
                      </w:p>
                      <w:p>
                        <w:pPr>
                          <w:rPr>
                            <w:sz w:val="18"/>
                            <w:szCs w:val="18"/>
                          </w:rPr>
                        </w:pPr>
                        <w:r>
                          <w:rPr>
                            <w:sz w:val="18"/>
                            <w:szCs w:val="18"/>
                          </w:rPr>
                          <w:t>15. Epilepsija G40</w:t>
                        </w:r>
                      </w:p>
                    </w:tc>
                  </w:tr>
                  <w:tr>
                    <w:trPr>
                      <w:cantSplit/>
                      <w:trHeight w:val="20"/>
                    </w:trPr>
                    <w:tc>
                      <w:tcPr>
                        <w:tcW w:w="2470" w:type="dxa"/>
                      </w:tcPr>
                      <w:p>
                        <w:pPr>
                          <w:rPr>
                            <w:sz w:val="18"/>
                            <w:szCs w:val="18"/>
                          </w:rPr>
                        </w:pPr>
                        <w:r>
                          <w:rPr>
                            <w:sz w:val="18"/>
                            <w:szCs w:val="18"/>
                          </w:rPr>
                          <w:t>24. Savivaldybių seniūnijų, savivaldybių administracijos vaiko teisių apsaugos, socialinės paramos padalinių darbuotojų, socialinių paslaugų įstaigų socialinių darbuotojų, socialinių pedagogų, socialinių darbuotojų padėjėjų, dirbančių su socialinės rizikos šeimomis, socialinės rizikos asmenimis ar asmenimis, turinčiais psichinių sutrikimų, darbas</w:t>
                        </w:r>
                      </w:p>
                    </w:tc>
                    <w:tc>
                      <w:tcPr>
                        <w:tcW w:w="1167" w:type="dxa"/>
                      </w:tcPr>
                      <w:p>
                        <w:pPr>
                          <w:rPr>
                            <w:sz w:val="18"/>
                            <w:szCs w:val="18"/>
                          </w:rPr>
                        </w:pPr>
                        <w:r>
                          <w:rPr>
                            <w:sz w:val="18"/>
                            <w:szCs w:val="18"/>
                          </w:rPr>
                          <w:t>1 kartą per 2 metus</w:t>
                        </w:r>
                      </w:p>
                    </w:tc>
                    <w:tc>
                      <w:tcPr>
                        <w:tcW w:w="1571" w:type="dxa"/>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p>
                    </w:tc>
                    <w:tc>
                      <w:tcPr>
                        <w:tcW w:w="1571" w:type="dxa"/>
                      </w:tcPr>
                      <w:p>
                        <w:pPr>
                          <w:rPr>
                            <w:sz w:val="18"/>
                            <w:szCs w:val="18"/>
                          </w:rPr>
                        </w:pPr>
                      </w:p>
                    </w:tc>
                    <w:tc>
                      <w:tcPr>
                        <w:tcW w:w="6564" w:type="dxa"/>
                        <w:gridSpan w:val="2"/>
                      </w:tcPr>
                      <w:p>
                        <w:pPr>
                          <w:rPr>
                            <w:sz w:val="18"/>
                            <w:szCs w:val="18"/>
                          </w:rPr>
                        </w:pPr>
                        <w:r>
                          <w:rPr>
                            <w:sz w:val="18"/>
                            <w:szCs w:val="18"/>
                          </w:rPr>
                          <w:t>Tyrimai ir konsultacijos – atliekama vadovaujantis Darbuotojų, kuriems leidžiama dirbti tik iš anksto pasitikrinusiems ir vėliau periodiškai besitikrinantiems, ar neserga užkrečiamosiomis ligomis, sveikatos tikrinimosi tvarka, patvirtinta Lietuvos Respublikos Vyriausybės 2002 m. liepos 16 d. nutarimu Nr. 1145 „Dėl darbų ir veiklos sričių, kuriose leidžiama dirbti darbuotojams, tik iš anksto pasitikrinusiems ir vėliau periodiškai besitikrinantiems, ar neserga užkrečiamosiomis ligomis, sąrašo ir šių darbuotojų sveikatos tikrinimosi tvarkos patvirtinimo“ (Žin., 2002, Nr. 73-3127)</w:t>
                        </w:r>
                      </w:p>
                    </w:tc>
                  </w:tr>
                  <w:tr>
                    <w:trPr>
                      <w:cantSplit/>
                      <w:trHeight w:val="20"/>
                    </w:trPr>
                    <w:tc>
                      <w:tcPr>
                        <w:tcW w:w="2470" w:type="dxa"/>
                      </w:tcPr>
                      <w:p>
                        <w:pPr>
                          <w:rPr>
                            <w:sz w:val="18"/>
                            <w:szCs w:val="18"/>
                          </w:rPr>
                        </w:pPr>
                        <w:r>
                          <w:rPr>
                            <w:sz w:val="18"/>
                            <w:szCs w:val="18"/>
                          </w:rPr>
                          <w:t>25. Kiti darbai, atliekami pavojingų darbų atlikimo vietose (zonose), išskyrus nurodytus 22 punkte.</w:t>
                        </w:r>
                      </w:p>
                    </w:tc>
                    <w:tc>
                      <w:tcPr>
                        <w:tcW w:w="1167" w:type="dxa"/>
                      </w:tcPr>
                      <w:p>
                        <w:pPr>
                          <w:rPr>
                            <w:sz w:val="18"/>
                            <w:szCs w:val="18"/>
                          </w:rPr>
                        </w:pPr>
                        <w:r>
                          <w:rPr>
                            <w:sz w:val="18"/>
                            <w:szCs w:val="18"/>
                          </w:rPr>
                          <w:t>1 kartą per 2 metus</w:t>
                        </w:r>
                      </w:p>
                    </w:tc>
                    <w:tc>
                      <w:tcPr>
                        <w:tcW w:w="1571" w:type="dxa"/>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p>
                    </w:tc>
                    <w:tc>
                      <w:tcPr>
                        <w:tcW w:w="1571" w:type="dxa"/>
                      </w:tcPr>
                      <w:p>
                        <w:pPr>
                          <w:rPr>
                            <w:sz w:val="18"/>
                            <w:szCs w:val="18"/>
                          </w:rPr>
                        </w:pPr>
                      </w:p>
                    </w:tc>
                    <w:tc>
                      <w:tcPr>
                        <w:tcW w:w="6564" w:type="dxa"/>
                        <w:gridSpan w:val="2"/>
                      </w:tcPr>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960" w:hanging="888"/>
                          <w:rPr>
                            <w:sz w:val="18"/>
                            <w:szCs w:val="18"/>
                          </w:rPr>
                        </w:pPr>
                        <w:r>
                          <w:rPr>
                            <w:sz w:val="18"/>
                            <w:szCs w:val="18"/>
                          </w:rPr>
                          <w:t>Pagal konkrečius profesines rizikos veiksnius</w:t>
                        </w:r>
                      </w:p>
                    </w:tc>
                  </w:tr>
                </w:tbl>
                <w:p>
                  <w:pPr>
                    <w:jc w:val="center"/>
                    <w:rPr>
                      <w:b/>
                      <w:sz w:val="20"/>
                    </w:rPr>
                  </w:pPr>
                </w:p>
                <w:p>
                  <w:pPr>
                    <w:jc w:val="center"/>
                    <w:rPr>
                      <w:b/>
                      <w:sz w:val="20"/>
                    </w:rPr>
                  </w:pPr>
                  <w:r>
                    <w:rPr>
                      <w:b/>
                      <w:sz w:val="20"/>
                    </w:rPr>
                    <w:t>_________________</w:t>
                  </w:r>
                </w:p>
                <w:p>
                  <w:pPr>
                    <w:pStyle w:val="PlainText"/>
                    <w:rPr>
                      <w:rFonts w:ascii="Times New Roman" w:eastAsia="MS Mincho" w:hAnsi="Times New Roman"/>
                      <w:sz w:val="20"/>
                      <w:i/>
                      <w:iCs/>
                    </w:rPr>
                  </w:pPr>
                  <w:r>
                    <w:rPr>
                      <w:rFonts w:ascii="Times New Roman" w:eastAsia="MS Mincho" w:hAnsi="Times New Roman"/>
                      <w:sz w:val="20"/>
                      <w:i/>
                      <w:iCs/>
                    </w:rPr>
                    <w:t>Lentelės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B1CEBF9C76E">
                    <w:r w:rsidRPr="00532B9F">
                      <w:rPr>
                        <w:rFonts w:ascii="Times New Roman" w:eastAsia="MS Mincho" w:hAnsi="Times New Roman"/>
                        <w:sz w:val="20"/>
                        <w:i/>
                        <w:iCs/>
                        <w:color w:val="0000FF" w:themeColor="hyperlink"/>
                        <w:u w:val="single"/>
                      </w:rPr>
                      <w:t>V-175</w:t>
                    </w:r>
                  </w:fldSimple>
                  <w:r>
                    <w:rPr>
                      <w:rFonts w:ascii="Times New Roman" w:eastAsia="MS Mincho" w:hAnsi="Times New Roman"/>
                      <w:sz w:val="20"/>
                      <w:i/>
                      <w:iCs/>
                    </w:rPr>
                    <w:t>,
2010-03-03,
Žin., 2010, Nr.
27-1235 (2010-03-06), i. k. 1102250ISAK000V-175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06cda0e0df11e89acab3ff12d77081">
                    <w:r w:rsidRPr="00532B9F">
                      <w:rPr>
                        <w:rFonts w:ascii="Times New Roman" w:eastAsia="MS Mincho" w:hAnsi="Times New Roman"/>
                        <w:sz w:val="20"/>
                        <w:i/>
                        <w:iCs/>
                        <w:color w:val="0000FF" w:themeColor="hyperlink"/>
                        <w:u w:val="single"/>
                      </w:rPr>
                      <w:t>V-1210</w:t>
                    </w:r>
                  </w:fldSimple>
                  <w:r>
                    <w:rPr>
                      <w:rFonts w:ascii="Times New Roman" w:eastAsia="MS Mincho" w:hAnsi="Times New Roman"/>
                      <w:sz w:val="20"/>
                      <w:i/>
                      <w:iCs/>
                    </w:rPr>
                    <w:t>,
2018-11-02,
paskelbta TAR 2018-11-05, i. k. 2018-17813            </w:t>
                  </w:r>
                </w:p>
                <w:p/>
              </w:sdtContent>
            </w:sdt>
            <w:sdt>
              <w:sdtPr>
                <w:alias w:val="lentele"/>
                <w:tag w:val="part_c12415770c504feaa9af4b3be98e5e12"/>
                <w:lock w:val="sdtLocked"/>
                <w:richText/>
              </w:sdtPr>
              <w:sdtContent>
                <w:p>
                  <w:pPr>
                    <w:jc w:val="center"/>
                    <w:rPr>
                      <w:b/>
                      <w:sz w:val="20"/>
                    </w:rPr>
                  </w:pPr>
                </w:p>
                <w:p>
                  <w:pPr>
                    <w:jc w:val="center"/>
                    <w:rPr>
                      <w:b/>
                      <w:sz w:val="2"/>
                      <w:szCs w:val="2"/>
                    </w:rPr>
                  </w:pPr>
                  <w:r>
                    <w:rPr>
                      <w:b/>
                      <w:sz w:val="20"/>
                    </w:rPr>
                    <w:br w:type="page"/>
                  </w:r>
                </w:p>
                <w:p>
                  <w:pPr>
                    <w:jc w:val="right"/>
                    <w:rPr>
                      <w:sz w:val="20"/>
                    </w:rPr>
                  </w:pPr>
                  <w:r>
                    <w:rPr>
                      <w:sz w:val="20"/>
                    </w:rPr>
                    <w:t>2 lentelė</w:t>
                  </w:r>
                </w:p>
                <w:p>
                  <w:pPr>
                    <w:jc w:val="center"/>
                    <w:rPr>
                      <w:sz w:val="20"/>
                    </w:rPr>
                  </w:pPr>
                </w:p>
                <w:p>
                  <w:pPr>
                    <w:jc w:val="center"/>
                    <w:rPr>
                      <w:b/>
                      <w:sz w:val="20"/>
                    </w:rPr>
                  </w:pPr>
                  <w:r>
                    <w:rPr>
                      <w:b/>
                      <w:sz w:val="20"/>
                    </w:rPr>
                    <w:t xml:space="preserve">PRIVALOMŲ SVEIKATOS TIKRINIMŲ TVARKA PRIIMANT Į DARBĄ IR (AR) DIRBANT KENKSMINGŲ RIZIKOS VEIKSNIŲ POVEIKYJE </w:t>
                  </w:r>
                </w:p>
                <w:p>
                  <w:pPr>
                    <w:jc w:val="center"/>
                    <w:rPr>
                      <w:b/>
                      <w:sz w:val="20"/>
                    </w:rPr>
                  </w:pPr>
                  <w:r>
                    <w:rPr>
                      <w:b/>
                      <w:bCs/>
                      <w:sz w:val="20"/>
                    </w:rPr>
                    <w:t>(</w:t>
                  </w:r>
                  <w:r>
                    <w:rPr>
                      <w:b/>
                      <w:sz w:val="20"/>
                    </w:rPr>
                    <w:t>KAI KURIAIS ATVEJAIS – PAKEITUS DARBĄ AR DARBOVIETĘ)</w:t>
                  </w:r>
                </w:p>
                <w:p>
                  <w:pPr>
                    <w:jc w:val="center"/>
                    <w:rPr>
                      <w:b/>
                      <w:sz w:val="20"/>
                    </w:rPr>
                  </w:pPr>
                </w:p>
                <w:tbl>
                  <w:tblPr>
                    <w:tblW w:w="147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40" w:firstRow="0" w:lastRow="1" w:firstColumn="0" w:lastColumn="0" w:noHBand="0" w:noVBand="0"/>
                  </w:tblPr>
                  <w:tblGrid>
                    <w:gridCol w:w="2447"/>
                    <w:gridCol w:w="9"/>
                    <w:gridCol w:w="1644"/>
                    <w:gridCol w:w="1402"/>
                    <w:gridCol w:w="1877"/>
                    <w:gridCol w:w="217"/>
                    <w:gridCol w:w="1948"/>
                    <w:gridCol w:w="2726"/>
                    <w:gridCol w:w="2437"/>
                  </w:tblGrid>
                  <w:tr>
                    <w:tc>
                      <w:tcPr>
                        <w:tcW w:w="2456" w:type="dxa"/>
                        <w:gridSpan w:val="2"/>
                        <w:vMerge w:val="restart"/>
                      </w:tcPr>
                      <w:p>
                        <w:pPr>
                          <w:jc w:val="center"/>
                          <w:rPr>
                            <w:strike/>
                            <w:sz w:val="18"/>
                            <w:szCs w:val="18"/>
                          </w:rPr>
                        </w:pPr>
                        <w:r>
                          <w:rPr>
                            <w:sz w:val="18"/>
                            <w:szCs w:val="18"/>
                          </w:rPr>
                          <w:t>Kenksmingi rizikos veiksniai ir medžiagos</w:t>
                        </w:r>
                      </w:p>
                    </w:tc>
                    <w:tc>
                      <w:tcPr>
                        <w:tcW w:w="1644" w:type="dxa"/>
                        <w:vMerge w:val="restart"/>
                      </w:tcPr>
                      <w:p>
                        <w:pPr>
                          <w:jc w:val="center"/>
                          <w:outlineLvl w:val="4"/>
                          <w:rPr>
                            <w:rFonts w:eastAsia="MS Mincho"/>
                            <w:bCs/>
                            <w:iCs/>
                            <w:sz w:val="18"/>
                            <w:szCs w:val="18"/>
                          </w:rPr>
                        </w:pPr>
                        <w:r>
                          <w:rPr>
                            <w:rFonts w:eastAsia="MS Mincho"/>
                            <w:bCs/>
                            <w:iCs/>
                            <w:sz w:val="18"/>
                            <w:szCs w:val="18"/>
                          </w:rPr>
                          <w:t>Darbo pobūdis</w:t>
                        </w:r>
                      </w:p>
                    </w:tc>
                    <w:tc>
                      <w:tcPr>
                        <w:tcW w:w="1402" w:type="dxa"/>
                        <w:vMerge w:val="restart"/>
                      </w:tcPr>
                      <w:p>
                        <w:pPr>
                          <w:jc w:val="center"/>
                          <w:rPr>
                            <w:sz w:val="18"/>
                            <w:szCs w:val="18"/>
                          </w:rPr>
                        </w:pPr>
                        <w:r>
                          <w:rPr>
                            <w:sz w:val="18"/>
                            <w:szCs w:val="18"/>
                          </w:rPr>
                          <w:t>Tikrinimų periodiškumas</w:t>
                        </w:r>
                      </w:p>
                    </w:tc>
                    <w:tc>
                      <w:tcPr>
                        <w:tcW w:w="4042" w:type="dxa"/>
                        <w:gridSpan w:val="3"/>
                      </w:tcPr>
                      <w:p>
                        <w:pPr>
                          <w:keepNext/>
                          <w:jc w:val="center"/>
                          <w:outlineLvl w:val="3"/>
                          <w:rPr>
                            <w:sz w:val="18"/>
                            <w:szCs w:val="18"/>
                          </w:rPr>
                        </w:pPr>
                        <w:r>
                          <w:rPr>
                            <w:sz w:val="18"/>
                            <w:szCs w:val="18"/>
                          </w:rPr>
                          <w:t>Sveikatos tikrintojai</w:t>
                        </w:r>
                      </w:p>
                    </w:tc>
                    <w:tc>
                      <w:tcPr>
                        <w:tcW w:w="2726" w:type="dxa"/>
                        <w:vMerge w:val="restart"/>
                      </w:tcPr>
                      <w:p>
                        <w:pPr>
                          <w:jc w:val="center"/>
                          <w:rPr>
                            <w:sz w:val="18"/>
                            <w:szCs w:val="18"/>
                          </w:rPr>
                        </w:pPr>
                        <w:r>
                          <w:rPr>
                            <w:sz w:val="18"/>
                            <w:szCs w:val="18"/>
                          </w:rPr>
                          <w:t>Privalomi tyrimai</w:t>
                        </w:r>
                      </w:p>
                    </w:tc>
                    <w:tc>
                      <w:tcPr>
                        <w:tcW w:w="2437" w:type="dxa"/>
                        <w:vMerge w:val="restart"/>
                      </w:tcPr>
                      <w:p>
                        <w:pPr>
                          <w:jc w:val="center"/>
                          <w:rPr>
                            <w:sz w:val="18"/>
                            <w:szCs w:val="18"/>
                          </w:rPr>
                        </w:pPr>
                        <w:r>
                          <w:rPr>
                            <w:sz w:val="18"/>
                            <w:szCs w:val="18"/>
                          </w:rPr>
                          <w:t>Papildomos kontraindikacijos</w:t>
                        </w:r>
                      </w:p>
                    </w:tc>
                  </w:tr>
                  <w:tr>
                    <w:tc>
                      <w:tcPr>
                        <w:tcW w:w="2456" w:type="dxa"/>
                        <w:gridSpan w:val="2"/>
                        <w:vMerge/>
                      </w:tcPr>
                      <w:p>
                        <w:pPr>
                          <w:rPr>
                            <w:sz w:val="18"/>
                            <w:szCs w:val="18"/>
                          </w:rPr>
                        </w:pPr>
                      </w:p>
                    </w:tc>
                    <w:tc>
                      <w:tcPr>
                        <w:tcW w:w="1644" w:type="dxa"/>
                        <w:vMerge/>
                      </w:tcPr>
                      <w:p>
                        <w:pPr>
                          <w:rPr>
                            <w:sz w:val="18"/>
                            <w:szCs w:val="18"/>
                          </w:rPr>
                        </w:pPr>
                      </w:p>
                    </w:tc>
                    <w:tc>
                      <w:tcPr>
                        <w:tcW w:w="1402" w:type="dxa"/>
                        <w:vMerge/>
                      </w:tcPr>
                      <w:p>
                        <w:pPr>
                          <w:jc w:val="center"/>
                          <w:rPr>
                            <w:sz w:val="18"/>
                            <w:szCs w:val="18"/>
                          </w:rPr>
                        </w:pPr>
                      </w:p>
                    </w:tc>
                    <w:tc>
                      <w:tcPr>
                        <w:tcW w:w="2094" w:type="dxa"/>
                        <w:gridSpan w:val="2"/>
                      </w:tcPr>
                      <w:p>
                        <w:pPr>
                          <w:jc w:val="center"/>
                          <w:rPr>
                            <w:sz w:val="18"/>
                            <w:szCs w:val="18"/>
                          </w:rPr>
                        </w:pPr>
                        <w:r>
                          <w:rPr>
                            <w:sz w:val="18"/>
                            <w:szCs w:val="18"/>
                          </w:rPr>
                          <w:t>Pirminio lygio</w:t>
                        </w:r>
                      </w:p>
                    </w:tc>
                    <w:tc>
                      <w:tcPr>
                        <w:tcW w:w="1948" w:type="dxa"/>
                      </w:tcPr>
                      <w:p>
                        <w:pPr>
                          <w:jc w:val="center"/>
                          <w:rPr>
                            <w:sz w:val="18"/>
                            <w:szCs w:val="18"/>
                          </w:rPr>
                        </w:pPr>
                        <w:r>
                          <w:rPr>
                            <w:sz w:val="18"/>
                            <w:szCs w:val="18"/>
                          </w:rPr>
                          <w:t>Antrinio lygio</w:t>
                        </w:r>
                      </w:p>
                    </w:tc>
                    <w:tc>
                      <w:tcPr>
                        <w:tcW w:w="2726" w:type="dxa"/>
                        <w:vMerge/>
                      </w:tcPr>
                      <w:p>
                        <w:pPr>
                          <w:rPr>
                            <w:sz w:val="18"/>
                            <w:szCs w:val="18"/>
                          </w:rPr>
                        </w:pPr>
                      </w:p>
                    </w:tc>
                    <w:tc>
                      <w:tcPr>
                        <w:tcW w:w="2437" w:type="dxa"/>
                        <w:vMerge/>
                      </w:tcPr>
                      <w:p>
                        <w:pPr>
                          <w:rPr>
                            <w:sz w:val="18"/>
                            <w:szCs w:val="18"/>
                          </w:rPr>
                        </w:pPr>
                      </w:p>
                    </w:tc>
                  </w:tr>
                  <w:tr>
                    <w:tc>
                      <w:tcPr>
                        <w:tcW w:w="2456" w:type="dxa"/>
                        <w:gridSpan w:val="2"/>
                      </w:tcPr>
                      <w:p>
                        <w:pPr>
                          <w:jc w:val="center"/>
                          <w:rPr>
                            <w:sz w:val="18"/>
                            <w:szCs w:val="18"/>
                          </w:rPr>
                        </w:pPr>
                        <w:r>
                          <w:rPr>
                            <w:sz w:val="18"/>
                            <w:szCs w:val="18"/>
                          </w:rPr>
                          <w:t>1</w:t>
                        </w:r>
                      </w:p>
                    </w:tc>
                    <w:tc>
                      <w:tcPr>
                        <w:tcW w:w="1644" w:type="dxa"/>
                      </w:tcPr>
                      <w:p>
                        <w:pPr>
                          <w:jc w:val="center"/>
                          <w:rPr>
                            <w:sz w:val="18"/>
                            <w:szCs w:val="18"/>
                          </w:rPr>
                        </w:pPr>
                        <w:r>
                          <w:rPr>
                            <w:sz w:val="18"/>
                            <w:szCs w:val="18"/>
                          </w:rPr>
                          <w:t>2</w:t>
                        </w:r>
                      </w:p>
                    </w:tc>
                    <w:tc>
                      <w:tcPr>
                        <w:tcW w:w="1402" w:type="dxa"/>
                      </w:tcPr>
                      <w:p>
                        <w:pPr>
                          <w:jc w:val="center"/>
                          <w:rPr>
                            <w:sz w:val="18"/>
                            <w:szCs w:val="18"/>
                          </w:rPr>
                        </w:pPr>
                        <w:r>
                          <w:rPr>
                            <w:sz w:val="18"/>
                            <w:szCs w:val="18"/>
                          </w:rPr>
                          <w:t>3</w:t>
                        </w:r>
                      </w:p>
                    </w:tc>
                    <w:tc>
                      <w:tcPr>
                        <w:tcW w:w="2094" w:type="dxa"/>
                        <w:gridSpan w:val="2"/>
                      </w:tcPr>
                      <w:p>
                        <w:pPr>
                          <w:jc w:val="center"/>
                          <w:rPr>
                            <w:sz w:val="18"/>
                            <w:szCs w:val="18"/>
                          </w:rPr>
                        </w:pPr>
                        <w:r>
                          <w:rPr>
                            <w:sz w:val="18"/>
                            <w:szCs w:val="18"/>
                          </w:rPr>
                          <w:t>4</w:t>
                        </w:r>
                      </w:p>
                    </w:tc>
                    <w:tc>
                      <w:tcPr>
                        <w:tcW w:w="1948" w:type="dxa"/>
                      </w:tcPr>
                      <w:p>
                        <w:pPr>
                          <w:jc w:val="center"/>
                          <w:rPr>
                            <w:sz w:val="18"/>
                            <w:szCs w:val="18"/>
                          </w:rPr>
                        </w:pPr>
                        <w:r>
                          <w:rPr>
                            <w:sz w:val="18"/>
                            <w:szCs w:val="18"/>
                          </w:rPr>
                          <w:t>5</w:t>
                        </w:r>
                      </w:p>
                    </w:tc>
                    <w:tc>
                      <w:tcPr>
                        <w:tcW w:w="2726" w:type="dxa"/>
                      </w:tcPr>
                      <w:p>
                        <w:pPr>
                          <w:jc w:val="center"/>
                          <w:rPr>
                            <w:sz w:val="18"/>
                            <w:szCs w:val="18"/>
                          </w:rPr>
                        </w:pPr>
                        <w:r>
                          <w:rPr>
                            <w:sz w:val="18"/>
                            <w:szCs w:val="18"/>
                          </w:rPr>
                          <w:t>6</w:t>
                        </w:r>
                      </w:p>
                    </w:tc>
                    <w:tc>
                      <w:tcPr>
                        <w:tcW w:w="2437" w:type="dxa"/>
                      </w:tcPr>
                      <w:p>
                        <w:pPr>
                          <w:jc w:val="center"/>
                          <w:rPr>
                            <w:sz w:val="18"/>
                            <w:szCs w:val="18"/>
                          </w:rPr>
                        </w:pPr>
                        <w:r>
                          <w:rPr>
                            <w:sz w:val="18"/>
                            <w:szCs w:val="18"/>
                          </w:rPr>
                          <w:t>7</w:t>
                        </w:r>
                      </w:p>
                    </w:tc>
                  </w:tr>
                  <w:tr>
                    <w:trPr>
                      <w:trHeight w:val="217"/>
                    </w:trPr>
                    <w:tc>
                      <w:tcPr>
                        <w:tcW w:w="14707" w:type="dxa"/>
                        <w:gridSpan w:val="9"/>
                      </w:tcPr>
                      <w:p>
                        <w:pPr>
                          <w:jc w:val="center"/>
                          <w:rPr>
                            <w:sz w:val="18"/>
                            <w:szCs w:val="18"/>
                          </w:rPr>
                        </w:pPr>
                        <w:r>
                          <w:rPr>
                            <w:sz w:val="18"/>
                            <w:szCs w:val="18"/>
                          </w:rPr>
                          <w:t>1. CHEMINIAI VEIKSNIAI</w:t>
                        </w:r>
                      </w:p>
                    </w:tc>
                  </w:tr>
                  <w:tr>
                    <w:trPr>
                      <w:trHeight w:val="907"/>
                    </w:trPr>
                    <w:tc>
                      <w:tcPr>
                        <w:tcW w:w="2447" w:type="dxa"/>
                        <w:vMerge w:val="restart"/>
                      </w:tcPr>
                      <w:p>
                        <w:pPr>
                          <w:rPr>
                            <w:sz w:val="18"/>
                            <w:szCs w:val="18"/>
                          </w:rPr>
                        </w:pPr>
                        <w:r>
                          <w:rPr>
                            <w:sz w:val="18"/>
                            <w:szCs w:val="18"/>
                          </w:rPr>
                          <w:t xml:space="preserve">1.1. Akrilonitrilas </w:t>
                        </w:r>
                      </w:p>
                      <w:p>
                        <w:pPr>
                          <w:rPr>
                            <w:sz w:val="18"/>
                            <w:szCs w:val="18"/>
                          </w:rPr>
                        </w:pPr>
                        <w:r>
                          <w:rPr>
                            <w:sz w:val="18"/>
                            <w:szCs w:val="18"/>
                          </w:rPr>
                          <w:t>(K, R, O) *</w:t>
                        </w:r>
                      </w:p>
                    </w:tc>
                    <w:tc>
                      <w:tcPr>
                        <w:tcW w:w="1653" w:type="dxa"/>
                        <w:gridSpan w:val="2"/>
                        <w:vMerge w:val="restart"/>
                      </w:tcPr>
                      <w:p>
                        <w:pPr>
                          <w:rPr>
                            <w:sz w:val="18"/>
                            <w:szCs w:val="18"/>
                          </w:rPr>
                        </w:pPr>
                        <w:r>
                          <w:rPr>
                            <w:sz w:val="18"/>
                            <w:szCs w:val="18"/>
                          </w:rPr>
                          <w:t>Naudojimas, procesai, susiję su akrilonitrilo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 (privaloma)</w:t>
                        </w:r>
                      </w:p>
                    </w:tc>
                    <w:tc>
                      <w:tcPr>
                        <w:tcW w:w="2726" w:type="dxa"/>
                      </w:tcPr>
                      <w:p>
                        <w:pPr>
                          <w:rPr>
                            <w:sz w:val="18"/>
                            <w:szCs w:val="18"/>
                          </w:rPr>
                        </w:pPr>
                        <w:r>
                          <w:rPr>
                            <w:sz w:val="18"/>
                            <w:szCs w:val="18"/>
                          </w:rPr>
                          <w:t>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 </w:t>
                        </w:r>
                      </w:p>
                      <w:p>
                        <w:pPr>
                          <w:rPr>
                            <w:sz w:val="18"/>
                            <w:szCs w:val="18"/>
                          </w:rPr>
                        </w:pPr>
                        <w:r>
                          <w:rPr>
                            <w:sz w:val="18"/>
                            <w:szCs w:val="18"/>
                          </w:rPr>
                          <w:t>5. Lėtinės odos ligos L02, L08, L10–L14, L20–L30, L40, L50–L54</w:t>
                        </w:r>
                      </w:p>
                      <w:p>
                        <w:pPr>
                          <w:rPr>
                            <w:sz w:val="18"/>
                            <w:szCs w:val="18"/>
                          </w:rPr>
                        </w:pPr>
                        <w:r>
                          <w:rPr>
                            <w:sz w:val="18"/>
                            <w:szCs w:val="18"/>
                          </w:rPr>
                          <w:t>6. Lėtinės kepenų ligos K70–K77</w:t>
                        </w:r>
                      </w:p>
                      <w:p>
                        <w:pPr>
                          <w:rPr>
                            <w:sz w:val="18"/>
                            <w:szCs w:val="18"/>
                          </w:rPr>
                        </w:pPr>
                        <w:r>
                          <w:rPr>
                            <w:sz w:val="18"/>
                            <w:szCs w:val="18"/>
                          </w:rPr>
                          <w:t>7. Lėtinės inkstų ligos N00–N08, N10–N16, N17–N19, N20–N23</w:t>
                        </w:r>
                      </w:p>
                      <w:p>
                        <w:pPr>
                          <w:rPr>
                            <w:sz w:val="18"/>
                            <w:szCs w:val="18"/>
                          </w:rPr>
                        </w:pPr>
                        <w:r>
                          <w:rPr>
                            <w:sz w:val="18"/>
                            <w:szCs w:val="18"/>
                          </w:rPr>
                          <w:t>8. Navikiniai susirgimai anamnezėje C00–D48</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 xml:space="preserve">Esant indikacijų –otorinolaringologas, nefrologas, gastroenterologas, dermatovenerologas, pulmonologas, onkologas radioterapeutas, onkologas chemoterapeutas </w:t>
                        </w:r>
                      </w:p>
                    </w:tc>
                    <w:tc>
                      <w:tcPr>
                        <w:tcW w:w="2726" w:type="dxa"/>
                      </w:tcPr>
                      <w:p>
                        <w:pPr>
                          <w:rPr>
                            <w:sz w:val="18"/>
                            <w:szCs w:val="18"/>
                          </w:rPr>
                        </w:pPr>
                        <w:r>
                          <w:rPr>
                            <w:sz w:val="18"/>
                            <w:szCs w:val="18"/>
                          </w:rPr>
                          <w:t xml:space="preserve">Esant indikacijų – plaučių funkciniai mėginiai, šlapimo nuosėdų mikroskopija, forminių elementų kiekio nustatymas šlapime </w:t>
                        </w:r>
                      </w:p>
                    </w:tc>
                    <w:tc>
                      <w:tcPr>
                        <w:tcW w:w="2437" w:type="dxa"/>
                        <w:vMerge/>
                      </w:tcPr>
                      <w:p>
                        <w:pPr>
                          <w:rPr>
                            <w:sz w:val="18"/>
                            <w:szCs w:val="18"/>
                          </w:rPr>
                        </w:pPr>
                      </w:p>
                    </w:tc>
                  </w:tr>
                  <w:tr>
                    <w:trPr>
                      <w:trHeight w:val="888"/>
                    </w:trPr>
                    <w:tc>
                      <w:tcPr>
                        <w:tcW w:w="2447" w:type="dxa"/>
                        <w:vMerge w:val="restart"/>
                      </w:tcPr>
                      <w:p>
                        <w:pPr>
                          <w:rPr>
                            <w:sz w:val="18"/>
                            <w:szCs w:val="18"/>
                          </w:rPr>
                        </w:pPr>
                        <w:r>
                          <w:rPr>
                            <w:sz w:val="18"/>
                            <w:szCs w:val="18"/>
                          </w:rPr>
                          <w:t xml:space="preserve">1.2. Alifatiniai aminai (etanolaminas, dietanolaminas, metilaminas ir kiti) </w:t>
                        </w:r>
                      </w:p>
                      <w:p>
                        <w:pPr>
                          <w:rPr>
                            <w:sz w:val="18"/>
                            <w:szCs w:val="18"/>
                          </w:rPr>
                        </w:pPr>
                        <w:r>
                          <w:rPr>
                            <w:sz w:val="18"/>
                            <w:szCs w:val="18"/>
                          </w:rPr>
                          <w:t>(O)</w:t>
                        </w:r>
                      </w:p>
                    </w:tc>
                    <w:tc>
                      <w:tcPr>
                        <w:tcW w:w="1653" w:type="dxa"/>
                        <w:gridSpan w:val="2"/>
                        <w:vMerge w:val="restart"/>
                      </w:tcPr>
                      <w:p>
                        <w:pPr>
                          <w:rPr>
                            <w:sz w:val="18"/>
                            <w:szCs w:val="18"/>
                          </w:rPr>
                        </w:pPr>
                        <w:r>
                          <w:rPr>
                            <w:sz w:val="18"/>
                            <w:szCs w:val="18"/>
                          </w:rPr>
                          <w:t>Naudojimas, procesai, susiję su alifatinių aminų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 </w:t>
                        </w:r>
                      </w:p>
                      <w:p>
                        <w:pPr>
                          <w:rPr>
                            <w:sz w:val="18"/>
                            <w:szCs w:val="18"/>
                          </w:rPr>
                        </w:pPr>
                        <w:r>
                          <w:rPr>
                            <w:sz w:val="18"/>
                            <w:szCs w:val="18"/>
                          </w:rPr>
                          <w:t>5. Lėtinės odos ligos L02, L08, L10–L14, L20–L30, L40, L50–L54</w:t>
                        </w:r>
                      </w:p>
                      <w:p>
                        <w:pPr>
                          <w:rPr>
                            <w:sz w:val="18"/>
                            <w:szCs w:val="18"/>
                          </w:rPr>
                        </w:pPr>
                        <w:r>
                          <w:rPr>
                            <w:sz w:val="18"/>
                            <w:szCs w:val="18"/>
                          </w:rPr>
                          <w:t>6. Lėtinės kepenų ligos K70–K77</w:t>
                        </w:r>
                      </w:p>
                      <w:p>
                        <w:pPr>
                          <w:rPr>
                            <w:sz w:val="18"/>
                            <w:szCs w:val="18"/>
                          </w:rPr>
                        </w:pPr>
                        <w:r>
                          <w:rPr>
                            <w:sz w:val="18"/>
                            <w:szCs w:val="18"/>
                          </w:rPr>
                          <w:t>7. Lėtinės inkstų ligos N00–N08, N10–N16, N17–N19, N20–N23</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 Otorinolaringologas, nefrologas, gastroenterologas, dermatovenerologas, pulmonologas</w:t>
                        </w:r>
                      </w:p>
                    </w:tc>
                    <w:tc>
                      <w:tcPr>
                        <w:tcW w:w="2726" w:type="dxa"/>
                      </w:tcPr>
                      <w:p>
                        <w:pPr>
                          <w:rPr>
                            <w:sz w:val="18"/>
                            <w:szCs w:val="18"/>
                          </w:rPr>
                        </w:pPr>
                      </w:p>
                    </w:tc>
                    <w:tc>
                      <w:tcPr>
                        <w:tcW w:w="2437" w:type="dxa"/>
                        <w:vMerge/>
                      </w:tcPr>
                      <w:p>
                        <w:pPr>
                          <w:rPr>
                            <w:sz w:val="18"/>
                            <w:szCs w:val="18"/>
                          </w:rPr>
                        </w:pPr>
                      </w:p>
                    </w:tc>
                  </w:tr>
                  <w:tr>
                    <w:trPr>
                      <w:trHeight w:val="888"/>
                    </w:trPr>
                    <w:tc>
                      <w:tcPr>
                        <w:tcW w:w="2447" w:type="dxa"/>
                        <w:vMerge w:val="restart"/>
                      </w:tcPr>
                      <w:p>
                        <w:pPr>
                          <w:rPr>
                            <w:sz w:val="18"/>
                            <w:szCs w:val="18"/>
                          </w:rPr>
                        </w:pPr>
                        <w:r>
                          <w:rPr>
                            <w:sz w:val="18"/>
                            <w:szCs w:val="18"/>
                          </w:rPr>
                          <w:t>1.3. Alifatinių angliavandenilių halogeniniai dariniai (dichloretanas, anglies tetrachloridas, chloroformas) (O, K)</w:t>
                        </w:r>
                      </w:p>
                    </w:tc>
                    <w:tc>
                      <w:tcPr>
                        <w:tcW w:w="1653" w:type="dxa"/>
                        <w:gridSpan w:val="2"/>
                        <w:vMerge w:val="restart"/>
                      </w:tcPr>
                      <w:p>
                        <w:pPr>
                          <w:rPr>
                            <w:sz w:val="18"/>
                            <w:szCs w:val="18"/>
                          </w:rPr>
                        </w:pPr>
                        <w:r>
                          <w:rPr>
                            <w:sz w:val="18"/>
                            <w:szCs w:val="18"/>
                          </w:rPr>
                          <w:t>Naudojimas, procesai, susiję su jų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 neurologas, psichiatras</w:t>
                        </w:r>
                      </w:p>
                      <w:p>
                        <w:pPr>
                          <w:rPr>
                            <w:sz w:val="18"/>
                            <w:szCs w:val="18"/>
                          </w:rPr>
                        </w:pPr>
                        <w:r>
                          <w:rPr>
                            <w:sz w:val="18"/>
                            <w:szCs w:val="18"/>
                          </w:rPr>
                          <w:t>(privaloma)</w:t>
                        </w:r>
                      </w:p>
                    </w:tc>
                    <w:tc>
                      <w:tcPr>
                        <w:tcW w:w="2726" w:type="dxa"/>
                      </w:tcPr>
                      <w:p>
                        <w:pPr>
                          <w:rPr>
                            <w:sz w:val="18"/>
                            <w:szCs w:val="18"/>
                          </w:rPr>
                        </w:pPr>
                        <w:r>
                          <w:rPr>
                            <w:sz w:val="18"/>
                            <w:szCs w:val="18"/>
                          </w:rPr>
                          <w:t>Kraujo tyrimas hematologiniu analizatoriumi (eritrocitai, hemoglobinas, leukocitai, trombocitai), ENG, šlapimo tyrimas analizatoriumi, KLR</w:t>
                        </w:r>
                      </w:p>
                    </w:tc>
                    <w:tc>
                      <w:tcPr>
                        <w:tcW w:w="2437" w:type="dxa"/>
                        <w:vMerge w:val="restart"/>
                      </w:tcPr>
                      <w:p>
                        <w:pPr>
                          <w:rPr>
                            <w:sz w:val="18"/>
                            <w:szCs w:val="18"/>
                          </w:rPr>
                        </w:pPr>
                        <w:r>
                          <w:rPr>
                            <w:sz w:val="18"/>
                            <w:szCs w:val="18"/>
                          </w:rPr>
                          <w:t>1. Galūnių polineuropatijos G60–G64</w:t>
                        </w:r>
                      </w:p>
                      <w:p>
                        <w:pPr>
                          <w:tabs>
                            <w:tab w:val="num" w:pos="316"/>
                          </w:tabs>
                          <w:rPr>
                            <w:sz w:val="18"/>
                            <w:szCs w:val="18"/>
                          </w:rPr>
                        </w:pPr>
                        <w:r>
                          <w:rPr>
                            <w:sz w:val="18"/>
                            <w:szCs w:val="18"/>
                          </w:rPr>
                          <w:t>2. Lėtinės kepenų ligos K70–K77</w:t>
                        </w:r>
                      </w:p>
                      <w:p>
                        <w:pPr>
                          <w:tabs>
                            <w:tab w:val="left" w:pos="405"/>
                          </w:tabs>
                          <w:rPr>
                            <w:sz w:val="18"/>
                            <w:szCs w:val="18"/>
                          </w:rPr>
                        </w:pPr>
                        <w:r>
                          <w:rPr>
                            <w:sz w:val="18"/>
                            <w:szCs w:val="18"/>
                          </w:rPr>
                          <w:t>3. Lėtinės obstrukcinės plaučių ligos J44–J47 J96.1</w:t>
                        </w:r>
                      </w:p>
                      <w:p>
                        <w:pPr>
                          <w:tabs>
                            <w:tab w:val="num" w:pos="316"/>
                          </w:tabs>
                          <w:rPr>
                            <w:sz w:val="18"/>
                            <w:szCs w:val="18"/>
                          </w:rPr>
                        </w:pPr>
                        <w:r>
                          <w:rPr>
                            <w:sz w:val="18"/>
                            <w:szCs w:val="18"/>
                          </w:rPr>
                          <w:t>4. Lėtinės priekinės akių ligos (vokų, junginės, ragenos) H00–H06, H10–H13, H15–H20</w:t>
                        </w:r>
                      </w:p>
                      <w:p>
                        <w:pPr>
                          <w:tabs>
                            <w:tab w:val="num" w:pos="316"/>
                          </w:tabs>
                          <w:rPr>
                            <w:sz w:val="18"/>
                            <w:szCs w:val="18"/>
                          </w:rPr>
                        </w:pPr>
                        <w:r>
                          <w:rPr>
                            <w:sz w:val="18"/>
                            <w:szCs w:val="18"/>
                          </w:rPr>
                          <w:t>5. Riebioji seborėja, odos folikulinio aparato ligos L00–L08, L10–L14, L21</w:t>
                        </w:r>
                      </w:p>
                      <w:p>
                        <w:pPr>
                          <w:tabs>
                            <w:tab w:val="num" w:pos="316"/>
                          </w:tabs>
                          <w:rPr>
                            <w:sz w:val="18"/>
                            <w:szCs w:val="18"/>
                          </w:rPr>
                        </w:pPr>
                        <w:r>
                          <w:rPr>
                            <w:sz w:val="18"/>
                            <w:szCs w:val="18"/>
                          </w:rPr>
                          <w:t>6. Toksikomanija F10–F19</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–oftalmologas, dermatovenerologas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1.4. Anglies disulfidas</w:t>
                        </w:r>
                      </w:p>
                      <w:p>
                        <w:pPr>
                          <w:rPr>
                            <w:sz w:val="18"/>
                            <w:szCs w:val="18"/>
                          </w:rPr>
                        </w:pPr>
                        <w:r>
                          <w:rPr>
                            <w:sz w:val="18"/>
                            <w:szCs w:val="18"/>
                          </w:rPr>
                          <w:t>(K, R, O)</w:t>
                        </w:r>
                      </w:p>
                    </w:tc>
                    <w:tc>
                      <w:tcPr>
                        <w:tcW w:w="1653" w:type="dxa"/>
                        <w:gridSpan w:val="2"/>
                        <w:vMerge w:val="restart"/>
                      </w:tcPr>
                      <w:p>
                        <w:pPr>
                          <w:rPr>
                            <w:sz w:val="18"/>
                            <w:szCs w:val="18"/>
                          </w:rPr>
                        </w:pPr>
                        <w:r>
                          <w:rPr>
                            <w:sz w:val="18"/>
                            <w:szCs w:val="18"/>
                          </w:rPr>
                          <w:t>Naudojimas, procesai, susiję su jų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tabs>
                            <w:tab w:val="left" w:pos="286"/>
                          </w:tabs>
                          <w:rPr>
                            <w:sz w:val="18"/>
                            <w:szCs w:val="18"/>
                          </w:rPr>
                        </w:pPr>
                        <w:r>
                          <w:rPr>
                            <w:sz w:val="18"/>
                            <w:szCs w:val="18"/>
                          </w:rPr>
                          <w:t>1. Galūnių polineuropatijos G60–G64</w:t>
                        </w:r>
                      </w:p>
                      <w:p>
                        <w:pPr>
                          <w:tabs>
                            <w:tab w:val="left" w:pos="405"/>
                          </w:tabs>
                          <w:rPr>
                            <w:sz w:val="18"/>
                            <w:szCs w:val="18"/>
                          </w:rPr>
                        </w:pPr>
                        <w:r>
                          <w:rPr>
                            <w:sz w:val="18"/>
                            <w:szCs w:val="18"/>
                          </w:rPr>
                          <w:t xml:space="preserve">2. Lėtinės obstrukcinės plaučių ligos J44–J47 </w:t>
                        </w:r>
                      </w:p>
                      <w:p>
                        <w:pPr>
                          <w:tabs>
                            <w:tab w:val="left" w:pos="286"/>
                          </w:tabs>
                          <w:rPr>
                            <w:sz w:val="18"/>
                            <w:szCs w:val="18"/>
                          </w:rPr>
                        </w:pPr>
                        <w:r>
                          <w:rPr>
                            <w:sz w:val="18"/>
                            <w:szCs w:val="18"/>
                          </w:rPr>
                          <w:t>3. Astma J45</w:t>
                        </w:r>
                      </w:p>
                      <w:p>
                        <w:pPr>
                          <w:tabs>
                            <w:tab w:val="left" w:pos="286"/>
                          </w:tabs>
                          <w:rPr>
                            <w:sz w:val="18"/>
                            <w:szCs w:val="18"/>
                          </w:rPr>
                        </w:pPr>
                        <w:r>
                          <w:rPr>
                            <w:sz w:val="18"/>
                            <w:szCs w:val="18"/>
                          </w:rPr>
                          <w:t>4. Lėtinis kvėpavimo nepakankamumas I–II</w:t>
                          <w:sym w:font="Symbol" w:char="F0B0"/>
                          <w:t xml:space="preserve"> J96.1</w:t>
                        </w:r>
                      </w:p>
                      <w:p>
                        <w:pPr>
                          <w:tabs>
                            <w:tab w:val="left" w:pos="286"/>
                          </w:tabs>
                          <w:rPr>
                            <w:sz w:val="18"/>
                            <w:szCs w:val="18"/>
                          </w:rPr>
                        </w:pPr>
                        <w:r>
                          <w:rPr>
                            <w:sz w:val="18"/>
                            <w:szCs w:val="18"/>
                          </w:rPr>
                          <w:t>5. Lėtinės akių ligos (vokų, junginės, ragenos) H00–H06, H10–H13, H15–H20</w:t>
                        </w:r>
                      </w:p>
                      <w:p>
                        <w:pPr>
                          <w:tabs>
                            <w:tab w:val="left" w:pos="286"/>
                          </w:tabs>
                          <w:rPr>
                            <w:sz w:val="18"/>
                            <w:szCs w:val="18"/>
                          </w:rPr>
                        </w:pPr>
                        <w:r>
                          <w:rPr>
                            <w:sz w:val="18"/>
                            <w:szCs w:val="18"/>
                          </w:rPr>
                          <w:t>6. Lėtinės odos ligos L02, L08, L10–L14, L20–L30, L40, L50–L54</w:t>
                        </w:r>
                      </w:p>
                      <w:p>
                        <w:pPr>
                          <w:tabs>
                            <w:tab w:val="left" w:pos="286"/>
                          </w:tabs>
                          <w:rPr>
                            <w:sz w:val="18"/>
                            <w:szCs w:val="18"/>
                          </w:rPr>
                        </w:pPr>
                        <w:r>
                          <w:rPr>
                            <w:sz w:val="18"/>
                            <w:szCs w:val="18"/>
                          </w:rPr>
                          <w:t>7. Lėtinės kepenų ligos K70–K77</w:t>
                        </w:r>
                      </w:p>
                      <w:p>
                        <w:pPr>
                          <w:tabs>
                            <w:tab w:val="left" w:pos="286"/>
                          </w:tabs>
                          <w:rPr>
                            <w:sz w:val="18"/>
                            <w:szCs w:val="18"/>
                          </w:rPr>
                        </w:pPr>
                        <w:r>
                          <w:rPr>
                            <w:sz w:val="18"/>
                            <w:szCs w:val="18"/>
                          </w:rPr>
                          <w:t>8. Lėtinės inkstų ligos N00–N08, N10–N16, N17–N19, N20–N23</w:t>
                        </w:r>
                      </w:p>
                      <w:p>
                        <w:pPr>
                          <w:tabs>
                            <w:tab w:val="left" w:pos="286"/>
                          </w:tabs>
                          <w:rPr>
                            <w:sz w:val="18"/>
                            <w:szCs w:val="18"/>
                          </w:rPr>
                        </w:pPr>
                        <w:r>
                          <w:rPr>
                            <w:sz w:val="18"/>
                            <w:szCs w:val="18"/>
                          </w:rPr>
                          <w:t>9. Navikiniai susirgimai anamnezėje C00–D48</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–neurologas,</w:t>
                        </w:r>
                      </w:p>
                      <w:p>
                        <w:pPr>
                          <w:rPr>
                            <w:sz w:val="18"/>
                            <w:szCs w:val="18"/>
                          </w:rPr>
                        </w:pPr>
                        <w:r>
                          <w:rPr>
                            <w:sz w:val="18"/>
                            <w:szCs w:val="18"/>
                          </w:rPr>
                          <w:t>oftalmologas, pulmonologas, gastroenterologas, nefrologas, onkologas radioterapeutas, onkologas chemoterapeutas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1.5. Aromatinių angliavandenilių halogeniniai dariniai (bifenilai, benzilchloridas, chlorbenzenas, </w:t>
                        </w:r>
                      </w:p>
                      <w:p>
                        <w:pPr>
                          <w:rPr>
                            <w:sz w:val="18"/>
                            <w:szCs w:val="18"/>
                          </w:rPr>
                        </w:pPr>
                        <w:r>
                          <w:rPr>
                            <w:sz w:val="18"/>
                            <w:szCs w:val="18"/>
                          </w:rPr>
                          <w:t>halogeniniai benzilai)</w:t>
                        </w:r>
                      </w:p>
                    </w:tc>
                    <w:tc>
                      <w:tcPr>
                        <w:tcW w:w="1653" w:type="dxa"/>
                        <w:gridSpan w:val="2"/>
                        <w:vMerge w:val="restart"/>
                      </w:tcPr>
                      <w:p>
                        <w:pPr>
                          <w:rPr>
                            <w:sz w:val="18"/>
                            <w:szCs w:val="18"/>
                          </w:rPr>
                        </w:pPr>
                        <w:r>
                          <w:rPr>
                            <w:sz w:val="18"/>
                            <w:szCs w:val="18"/>
                          </w:rPr>
                          <w:t>Naudojimas, procesai, susiję su jų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Psichiatras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w:t>
                        </w:r>
                      </w:p>
                    </w:tc>
                    <w:tc>
                      <w:tcPr>
                        <w:tcW w:w="2437" w:type="dxa"/>
                        <w:vMerge w:val="restart"/>
                      </w:tcPr>
                      <w:p>
                        <w:pPr>
                          <w:rPr>
                            <w:sz w:val="18"/>
                            <w:szCs w:val="18"/>
                          </w:rPr>
                        </w:pPr>
                        <w:r>
                          <w:rPr>
                            <w:sz w:val="18"/>
                            <w:szCs w:val="18"/>
                          </w:rPr>
                          <w:t>1. Kraujo ir kraujodaros organų ligos D50–D53, D55–D59, D60–D64, D65–D69, D70–D77</w:t>
                        </w:r>
                      </w:p>
                      <w:p>
                        <w:pPr>
                          <w:rPr>
                            <w:sz w:val="18"/>
                            <w:szCs w:val="18"/>
                          </w:rPr>
                        </w:pPr>
                        <w:r>
                          <w:rPr>
                            <w:sz w:val="18"/>
                            <w:szCs w:val="18"/>
                          </w:rPr>
                          <w:t>2. Toksikomanija, narkomanija F10–F19</w:t>
                        </w:r>
                      </w:p>
                      <w:p>
                        <w:pPr>
                          <w:rPr>
                            <w:sz w:val="18"/>
                            <w:szCs w:val="18"/>
                          </w:rPr>
                        </w:pPr>
                        <w:r>
                          <w:rPr>
                            <w:sz w:val="18"/>
                            <w:szCs w:val="18"/>
                          </w:rPr>
                          <w:t>3. Lėtinės odos ligos L02, L08, L10–L14, L20–L30, L40, L50–L54</w:t>
                        </w:r>
                      </w:p>
                      <w:p>
                        <w:pPr>
                          <w:rPr>
                            <w:sz w:val="18"/>
                            <w:szCs w:val="18"/>
                          </w:rPr>
                        </w:pPr>
                        <w:r>
                          <w:rPr>
                            <w:sz w:val="18"/>
                            <w:szCs w:val="18"/>
                          </w:rPr>
                          <w:t>4. Galūnių polineuropatijos G60–G64</w:t>
                        </w:r>
                      </w:p>
                      <w:p>
                        <w:pPr>
                          <w:rPr>
                            <w:sz w:val="18"/>
                            <w:szCs w:val="18"/>
                          </w:rPr>
                        </w:pPr>
                        <w:r>
                          <w:rPr>
                            <w:sz w:val="18"/>
                            <w:szCs w:val="18"/>
                          </w:rPr>
                          <w:t>5. Lėtinės odos ligos L02, L08, L10–L14, L20–L30, L40, L50–L54</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 xml:space="preserve">Esant indikacijų –neurologas, hematologas, dermatovenerologas </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1.6. Aromatinių angliavandenilių nitro dariniai (dinitrofenolis dinitrobenzenas, trinitrotoluenas) (O)</w:t>
                        </w:r>
                      </w:p>
                    </w:tc>
                    <w:tc>
                      <w:tcPr>
                        <w:tcW w:w="1653" w:type="dxa"/>
                        <w:gridSpan w:val="2"/>
                        <w:vMerge w:val="restart"/>
                      </w:tcPr>
                      <w:p>
                        <w:pPr>
                          <w:rPr>
                            <w:sz w:val="18"/>
                            <w:szCs w:val="18"/>
                          </w:rPr>
                        </w:pPr>
                        <w:r>
                          <w:rPr>
                            <w:sz w:val="18"/>
                            <w:szCs w:val="18"/>
                          </w:rPr>
                          <w:t>Naudojimas, procesai, susiję su jų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Psichiatras, oftalmologas</w:t>
                        </w:r>
                      </w:p>
                      <w:p>
                        <w:pPr>
                          <w:rPr>
                            <w:sz w:val="18"/>
                            <w:szCs w:val="18"/>
                          </w:rPr>
                        </w:pPr>
                        <w:r>
                          <w:rPr>
                            <w:sz w:val="18"/>
                            <w:szCs w:val="18"/>
                          </w:rPr>
                          <w:t>(privaloma)</w:t>
                        </w:r>
                      </w:p>
                    </w:tc>
                    <w:tc>
                      <w:tcPr>
                        <w:tcW w:w="2726" w:type="dxa"/>
                      </w:tcPr>
                      <w:p>
                        <w:pPr>
                          <w:rPr>
                            <w:sz w:val="18"/>
                            <w:szCs w:val="18"/>
                          </w:rPr>
                        </w:pPr>
                        <w:r>
                          <w:rPr>
                            <w:sz w:val="18"/>
                            <w:szCs w:val="18"/>
                          </w:rPr>
                          <w:t>Kraujo tyrimas hematologiniu analizatoriumi (eritrocitai, hemoglobinas, leukocitai, trombocitai), ENG, šlapimo tyrimas analizatoriumi</w:t>
                        </w:r>
                      </w:p>
                    </w:tc>
                    <w:tc>
                      <w:tcPr>
                        <w:tcW w:w="2437" w:type="dxa"/>
                        <w:vMerge w:val="restart"/>
                      </w:tcPr>
                      <w:p>
                        <w:pPr>
                          <w:rPr>
                            <w:sz w:val="18"/>
                            <w:szCs w:val="18"/>
                          </w:rPr>
                        </w:pPr>
                        <w:r>
                          <w:rPr>
                            <w:sz w:val="18"/>
                            <w:szCs w:val="18"/>
                          </w:rPr>
                          <w:t>1. Kraujo ir kraujodaros organų ligos D50–D53, D55–D59, D60–D64, D65–D69, D70–D77</w:t>
                        </w:r>
                      </w:p>
                      <w:p>
                        <w:pPr>
                          <w:rPr>
                            <w:sz w:val="18"/>
                            <w:szCs w:val="18"/>
                          </w:rPr>
                        </w:pPr>
                        <w:r>
                          <w:rPr>
                            <w:sz w:val="18"/>
                            <w:szCs w:val="18"/>
                          </w:rPr>
                          <w:t>2. Lėtinės kepenų ligos K70–K77</w:t>
                        </w:r>
                      </w:p>
                      <w:p>
                        <w:pPr>
                          <w:rPr>
                            <w:sz w:val="18"/>
                            <w:szCs w:val="18"/>
                          </w:rPr>
                        </w:pPr>
                        <w:r>
                          <w:rPr>
                            <w:sz w:val="18"/>
                            <w:szCs w:val="18"/>
                          </w:rPr>
                          <w:t>3. Katarakta (kontaktuojant su tolueno nitrojunginiais) H25–H26, H28</w:t>
                        </w:r>
                      </w:p>
                      <w:p>
                        <w:pPr>
                          <w:rPr>
                            <w:sz w:val="18"/>
                            <w:szCs w:val="18"/>
                          </w:rPr>
                        </w:pPr>
                        <w:r>
                          <w:rPr>
                            <w:sz w:val="18"/>
                            <w:szCs w:val="18"/>
                          </w:rPr>
                          <w:t>4. Priekinės akies dalies lėtinės ligos (vokų, junginės, ragenos, ašarų takų) H00–H06, H10–H13, H15–H20</w:t>
                        </w:r>
                      </w:p>
                      <w:p>
                        <w:pPr>
                          <w:rPr>
                            <w:sz w:val="18"/>
                            <w:szCs w:val="18"/>
                          </w:rPr>
                        </w:pPr>
                        <w:r>
                          <w:rPr>
                            <w:sz w:val="18"/>
                            <w:szCs w:val="18"/>
                          </w:rPr>
                          <w:t>5. Astma J45</w:t>
                        </w:r>
                      </w:p>
                      <w:p>
                        <w:pPr>
                          <w:rPr>
                            <w:sz w:val="18"/>
                            <w:szCs w:val="18"/>
                          </w:rPr>
                        </w:pPr>
                        <w:r>
                          <w:rPr>
                            <w:sz w:val="18"/>
                            <w:szCs w:val="18"/>
                          </w:rPr>
                          <w:t>6. Lėtinės uždegiminės šlapimo pūslės ligos (dirbant su anilino dažais) N30</w:t>
                        </w:r>
                      </w:p>
                      <w:p>
                        <w:pPr>
                          <w:rPr>
                            <w:sz w:val="18"/>
                            <w:szCs w:val="18"/>
                          </w:rPr>
                        </w:pPr>
                        <w:r>
                          <w:rPr>
                            <w:sz w:val="18"/>
                            <w:szCs w:val="18"/>
                          </w:rPr>
                          <w:t>7. Lėtinės inkstų ligos N00–N08, N10–N16, N17–N19, N20–N23</w:t>
                        </w:r>
                      </w:p>
                      <w:p>
                        <w:pPr>
                          <w:rPr>
                            <w:sz w:val="18"/>
                            <w:szCs w:val="18"/>
                          </w:rPr>
                        </w:pPr>
                        <w:r>
                          <w:rPr>
                            <w:sz w:val="18"/>
                            <w:szCs w:val="18"/>
                          </w:rPr>
                          <w:t>8. Lėtinės odos ligos L02, L08, L10–L14, L20–L30, L40, L50–L54</w:t>
                        </w:r>
                      </w:p>
                      <w:p>
                        <w:pPr>
                          <w:rPr>
                            <w:sz w:val="18"/>
                            <w:szCs w:val="18"/>
                          </w:rPr>
                        </w:pPr>
                        <w:r>
                          <w:rPr>
                            <w:sz w:val="18"/>
                            <w:szCs w:val="18"/>
                          </w:rPr>
                          <w:t>9. Toksikomanija, narkomanija F10–F19</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–neurologas, gastroenterologas, nefrologas, urologas, dermatovenerologas, hematologas, pulmonologas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1.7. Aromatiniai aminai (benzidinas, fenilendiaminas dianizidinas, toluidinas, naftilaminai) (J)</w:t>
                        </w:r>
                      </w:p>
                    </w:tc>
                    <w:tc>
                      <w:tcPr>
                        <w:tcW w:w="1653" w:type="dxa"/>
                        <w:gridSpan w:val="2"/>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1. Lėtinės šlapimo takų ir inkstų ligos N00–N08, N10–N16, N17–N19, N20–N23, N25–N29</w:t>
                        </w:r>
                      </w:p>
                      <w:p>
                        <w:pPr>
                          <w:rPr>
                            <w:sz w:val="18"/>
                            <w:szCs w:val="18"/>
                          </w:rPr>
                        </w:pPr>
                        <w:r>
                          <w:rPr>
                            <w:sz w:val="18"/>
                            <w:szCs w:val="18"/>
                          </w:rPr>
                          <w:t>2. Lėtinės obstrukcinės plaučių ligos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Kraujo ir kraujodaros organų ligos  D50–D53, D55–D59, D60–D64, D65–D69, D70–D77</w:t>
                        </w:r>
                      </w:p>
                      <w:p>
                        <w:pPr>
                          <w:rPr>
                            <w:sz w:val="18"/>
                            <w:szCs w:val="18"/>
                          </w:rPr>
                        </w:pPr>
                        <w:r>
                          <w:rPr>
                            <w:sz w:val="18"/>
                            <w:szCs w:val="18"/>
                          </w:rPr>
                          <w:t>6. Lėtinės odos ligos L02, L08, L10–L14, L20–L30, L40, L50–L54</w:t>
                        </w:r>
                      </w:p>
                      <w:p>
                        <w:pPr>
                          <w:rPr>
                            <w:sz w:val="18"/>
                            <w:szCs w:val="18"/>
                          </w:rPr>
                        </w:pPr>
                        <w:r>
                          <w:rPr>
                            <w:sz w:val="18"/>
                            <w:szCs w:val="18"/>
                          </w:rPr>
                          <w:t>7. Lėtinės kepenų ligos K70–K77</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 xml:space="preserve">Esant indikacijų –urologas, </w:t>
                        </w:r>
                      </w:p>
                      <w:p>
                        <w:pPr>
                          <w:rPr>
                            <w:sz w:val="18"/>
                            <w:szCs w:val="18"/>
                          </w:rPr>
                        </w:pPr>
                        <w:r>
                          <w:rPr>
                            <w:sz w:val="18"/>
                            <w:szCs w:val="18"/>
                          </w:rPr>
                          <w:t>nefrologas, hematologas, pulmonologas, dermatovenerologas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1.8. Asbestas ir (ar) asbesto turintys produktai:</w:t>
                        </w:r>
                      </w:p>
                      <w:p>
                        <w:pPr>
                          <w:tabs>
                            <w:tab w:val="left" w:pos="1080"/>
                          </w:tabs>
                          <w:rPr>
                            <w:sz w:val="18"/>
                            <w:szCs w:val="18"/>
                          </w:rPr>
                        </w:pPr>
                        <w:r>
                          <w:rPr>
                            <w:sz w:val="18"/>
                            <w:szCs w:val="18"/>
                          </w:rPr>
                          <w:t>Sąvoka „asbestas“ šiame įsakyme reiškia šiuos pluoštinius silikatus:</w:t>
                        </w:r>
                      </w:p>
                      <w:p>
                        <w:pPr>
                          <w:tabs>
                            <w:tab w:val="left" w:pos="1080"/>
                          </w:tabs>
                          <w:rPr>
                            <w:sz w:val="18"/>
                            <w:szCs w:val="18"/>
                          </w:rPr>
                        </w:pPr>
                        <w:r>
                          <w:rPr>
                            <w:sz w:val="18"/>
                            <w:szCs w:val="18"/>
                          </w:rPr>
                          <w:t>1.8.1. asbesto aktinolitas, CAS Nr. 77536-66-4 (*),</w:t>
                        </w:r>
                      </w:p>
                      <w:p>
                        <w:pPr>
                          <w:tabs>
                            <w:tab w:val="left" w:pos="1080"/>
                          </w:tabs>
                          <w:rPr>
                            <w:sz w:val="18"/>
                            <w:szCs w:val="18"/>
                          </w:rPr>
                        </w:pPr>
                        <w:r>
                          <w:rPr>
                            <w:sz w:val="18"/>
                            <w:szCs w:val="18"/>
                          </w:rPr>
                          <w:t>1.8.2. asbestas griuneritas (amozitas) CAS Nr. 12172-73-5 (*),</w:t>
                        </w:r>
                      </w:p>
                      <w:p>
                        <w:pPr>
                          <w:tabs>
                            <w:tab w:val="left" w:pos="1080"/>
                          </w:tabs>
                          <w:rPr>
                            <w:sz w:val="18"/>
                            <w:szCs w:val="18"/>
                          </w:rPr>
                        </w:pPr>
                        <w:r>
                          <w:rPr>
                            <w:sz w:val="18"/>
                            <w:szCs w:val="18"/>
                          </w:rPr>
                          <w:t>1.8.3. antofilitas, CAS Nr. 77536-67-5 (*),</w:t>
                        </w:r>
                      </w:p>
                      <w:p>
                        <w:pPr>
                          <w:tabs>
                            <w:tab w:val="left" w:pos="1080"/>
                          </w:tabs>
                          <w:rPr>
                            <w:sz w:val="18"/>
                            <w:szCs w:val="18"/>
                          </w:rPr>
                        </w:pPr>
                        <w:r>
                          <w:rPr>
                            <w:sz w:val="18"/>
                            <w:szCs w:val="18"/>
                          </w:rPr>
                          <w:t xml:space="preserve">1.8.4. chrizotilas, CAS Nr. 12001-29-5 (*), </w:t>
                        </w:r>
                      </w:p>
                      <w:p>
                        <w:pPr>
                          <w:tabs>
                            <w:tab w:val="left" w:pos="1080"/>
                          </w:tabs>
                          <w:rPr>
                            <w:sz w:val="18"/>
                            <w:szCs w:val="18"/>
                          </w:rPr>
                        </w:pPr>
                        <w:r>
                          <w:rPr>
                            <w:sz w:val="18"/>
                            <w:szCs w:val="18"/>
                          </w:rPr>
                          <w:t>1.8.5. krokidolitas, CAS Nr. 12001-28-4 (*),</w:t>
                        </w:r>
                      </w:p>
                      <w:p>
                        <w:pPr>
                          <w:tabs>
                            <w:tab w:val="left" w:pos="1080"/>
                          </w:tabs>
                          <w:rPr>
                            <w:sz w:val="18"/>
                            <w:szCs w:val="18"/>
                          </w:rPr>
                        </w:pPr>
                        <w:r>
                          <w:rPr>
                            <w:sz w:val="18"/>
                            <w:szCs w:val="18"/>
                          </w:rPr>
                          <w:t>1.8.6. tremolitas, CAS Nr. 77536-68-6 (*),</w:t>
                        </w:r>
                      </w:p>
                      <w:p>
                        <w:pPr>
                          <w:rPr>
                            <w:sz w:val="18"/>
                            <w:szCs w:val="18"/>
                          </w:rPr>
                        </w:pPr>
                        <w:r>
                          <w:rPr>
                            <w:sz w:val="18"/>
                            <w:szCs w:val="18"/>
                          </w:rPr>
                          <w:t>(*) Cheminių medžiagų santrumpų registravimo tarnybos (CAS) suteikiamas numeris</w:t>
                        </w:r>
                      </w:p>
                    </w:tc>
                    <w:tc>
                      <w:tcPr>
                        <w:tcW w:w="1653" w:type="dxa"/>
                        <w:gridSpan w:val="2"/>
                        <w:vMerge w:val="restart"/>
                      </w:tcPr>
                      <w:p>
                        <w:pPr>
                          <w:rPr>
                            <w:sz w:val="18"/>
                            <w:szCs w:val="18"/>
                          </w:rPr>
                        </w:pPr>
                        <w:r>
                          <w:rPr>
                            <w:sz w:val="18"/>
                            <w:szCs w:val="18"/>
                          </w:rPr>
                          <w:t>Procesai, susiję su asbesto plaušelių išsiskyrimu</w:t>
                        </w:r>
                      </w:p>
                    </w:tc>
                    <w:tc>
                      <w:tcPr>
                        <w:tcW w:w="1402" w:type="dxa"/>
                        <w:vMerge w:val="restart"/>
                      </w:tcPr>
                      <w:p>
                        <w:pPr>
                          <w:rPr>
                            <w:sz w:val="18"/>
                            <w:szCs w:val="18"/>
                          </w:rPr>
                        </w:pPr>
                        <w:r>
                          <w:rPr>
                            <w:sz w:val="18"/>
                            <w:szCs w:val="18"/>
                          </w:rPr>
                          <w:t xml:space="preserve">Ne rečiau kaip 1 kartą per 3 metus. </w:t>
                        </w:r>
                      </w:p>
                      <w:p>
                        <w:pPr>
                          <w:rPr>
                            <w:sz w:val="18"/>
                            <w:szCs w:val="18"/>
                          </w:rPr>
                        </w:pPr>
                        <w:r>
                          <w:rPr>
                            <w:sz w:val="18"/>
                            <w:szCs w:val="18"/>
                          </w:rPr>
                          <w:t>Nebedirbantiems su asbestu, bet galėjusiems patirti jo poveikį praeityje – 1 kartą per 5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 pulmonologas</w:t>
                        </w:r>
                      </w:p>
                      <w:p>
                        <w:pPr>
                          <w:rPr>
                            <w:sz w:val="18"/>
                            <w:szCs w:val="18"/>
                          </w:rPr>
                        </w:pPr>
                        <w:r>
                          <w:rPr>
                            <w:sz w:val="18"/>
                            <w:szCs w:val="18"/>
                          </w:rPr>
                          <w:t>(privaloma)</w:t>
                        </w:r>
                      </w:p>
                    </w:tc>
                    <w:tc>
                      <w:tcPr>
                        <w:tcW w:w="2726" w:type="dxa"/>
                      </w:tcPr>
                      <w:p>
                        <w:pPr>
                          <w:rPr>
                            <w:sz w:val="18"/>
                            <w:szCs w:val="18"/>
                          </w:rPr>
                        </w:pPr>
                        <w:r>
                          <w:rPr>
                            <w:sz w:val="18"/>
                            <w:szCs w:val="18"/>
                          </w:rPr>
                          <w:t xml:space="preserve">Pokalbis su asmeniu, </w:t>
                        </w:r>
                      </w:p>
                      <w:p>
                        <w:pPr>
                          <w:rPr>
                            <w:sz w:val="18"/>
                            <w:szCs w:val="18"/>
                          </w:rPr>
                        </w:pPr>
                        <w:r>
                          <w:rPr>
                            <w:sz w:val="18"/>
                            <w:szCs w:val="18"/>
                          </w:rPr>
                          <w:t xml:space="preserve">kraujo tyrimas hematologiniu analizatoriumi (eritrocitai, hemoglobinas, leukocitai, trombocitai), ENG, šlapimo tyrimas  analizatoriumi, krūtinės ląstos klinikinis patikrinimas, IKFT </w:t>
                        </w:r>
                      </w:p>
                    </w:tc>
                    <w:tc>
                      <w:tcPr>
                        <w:tcW w:w="2437" w:type="dxa"/>
                        <w:vMerge w:val="restart"/>
                      </w:tcPr>
                      <w:p>
                        <w:pPr>
                          <w:rPr>
                            <w:sz w:val="18"/>
                            <w:szCs w:val="18"/>
                          </w:rPr>
                        </w:pPr>
                        <w:r>
                          <w:rPr>
                            <w:sz w:val="18"/>
                            <w:szCs w:val="18"/>
                          </w:rPr>
                          <w:t>1. Viršutinių kvėpavimo takų atrofiniai pakitimai. Nosies pertvaros iškrypimas, trukdantis kvėpuoti per nosį J30–J39, J34.2</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5. Lėtinės priekinės akių dalies ligos (vokų, junginės, ragenos, ašarų takų) H00–H06, H10–H13, H15–H20</w:t>
                        </w:r>
                      </w:p>
                      <w:p>
                        <w:pPr>
                          <w:rPr>
                            <w:sz w:val="18"/>
                            <w:szCs w:val="18"/>
                          </w:rPr>
                        </w:pPr>
                        <w:r>
                          <w:rPr>
                            <w:sz w:val="18"/>
                            <w:szCs w:val="18"/>
                          </w:rPr>
                          <w:t>6. Lėtinės odos ligos L02, L08, L10–L14, L20–L30, L40, L50–L54</w:t>
                        </w:r>
                      </w:p>
                      <w:p>
                        <w:pPr>
                          <w:rPr>
                            <w:sz w:val="18"/>
                            <w:szCs w:val="18"/>
                          </w:rPr>
                        </w:pPr>
                        <w:r>
                          <w:rPr>
                            <w:sz w:val="18"/>
                            <w:szCs w:val="18"/>
                          </w:rPr>
                          <w:t>7. Navikiniai susirgimai anamnezėje C00–D48</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 xml:space="preserve">Esant indikacijų –otorinolaringologas, oftalmologas, dermatovenerologas, </w:t>
                        </w:r>
                      </w:p>
                      <w:p>
                        <w:pPr>
                          <w:rPr>
                            <w:sz w:val="18"/>
                            <w:szCs w:val="18"/>
                          </w:rPr>
                        </w:pPr>
                        <w:r>
                          <w:rPr>
                            <w:sz w:val="18"/>
                            <w:szCs w:val="18"/>
                          </w:rPr>
                          <w:t>pulmonologas,</w:t>
                        </w:r>
                      </w:p>
                      <w:p>
                        <w:pPr>
                          <w:rPr>
                            <w:sz w:val="18"/>
                            <w:szCs w:val="18"/>
                          </w:rPr>
                        </w:pPr>
                        <w:r>
                          <w:rPr>
                            <w:sz w:val="18"/>
                            <w:szCs w:val="18"/>
                          </w:rPr>
                          <w:t>onkologas radioterapeutas, onkologas chemoterapeutas</w:t>
                        </w:r>
                      </w:p>
                    </w:tc>
                    <w:tc>
                      <w:tcPr>
                        <w:tcW w:w="2726" w:type="dxa"/>
                      </w:tcPr>
                      <w:p>
                        <w:pPr>
                          <w:rPr>
                            <w:sz w:val="18"/>
                            <w:szCs w:val="18"/>
                          </w:rPr>
                        </w:pPr>
                        <w:r>
                          <w:rPr>
                            <w:sz w:val="18"/>
                            <w:szCs w:val="18"/>
                          </w:rPr>
                          <w:t>Esant indikacijų – skreplių citologinis tyrimas arba KLR arba tomodensitometrija</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1.9. Arsenas: </w:t>
                        </w:r>
                      </w:p>
                      <w:p>
                        <w:pPr>
                          <w:rPr>
                            <w:sz w:val="18"/>
                            <w:szCs w:val="18"/>
                          </w:rPr>
                        </w:pPr>
                        <w:r>
                          <w:rPr>
                            <w:sz w:val="18"/>
                            <w:szCs w:val="18"/>
                          </w:rPr>
                          <w:t>1.9.1. neorganiniai junginiai (arseno hidridas, arseno sulfidas, arseno oksidas, arseno chloridas, arsenatai);</w:t>
                        </w:r>
                      </w:p>
                      <w:p>
                        <w:pPr>
                          <w:rPr>
                            <w:sz w:val="18"/>
                            <w:szCs w:val="18"/>
                          </w:rPr>
                        </w:pPr>
                        <w:r>
                          <w:rPr>
                            <w:sz w:val="18"/>
                            <w:szCs w:val="18"/>
                          </w:rPr>
                          <w:t>1.9.2. organiniai junginiai (arsenazai ir kt.) (K)</w:t>
                        </w:r>
                      </w:p>
                    </w:tc>
                    <w:tc>
                      <w:tcPr>
                        <w:tcW w:w="1653" w:type="dxa"/>
                        <w:gridSpan w:val="2"/>
                        <w:vMerge w:val="restart"/>
                      </w:tcPr>
                      <w:p>
                        <w:pPr>
                          <w:rPr>
                            <w:sz w:val="18"/>
                            <w:szCs w:val="18"/>
                          </w:rPr>
                        </w:pPr>
                        <w:r>
                          <w:rPr>
                            <w:sz w:val="18"/>
                            <w:szCs w:val="18"/>
                          </w:rPr>
                          <w:t>Naudojimas; procesai, susiję su jo išsiskyrimu</w:t>
                        </w:r>
                      </w:p>
                    </w:tc>
                    <w:tc>
                      <w:tcPr>
                        <w:tcW w:w="1402" w:type="dxa"/>
                        <w:vMerge w:val="restart"/>
                      </w:tcPr>
                      <w:p>
                        <w:pPr>
                          <w:rPr>
                            <w:sz w:val="18"/>
                            <w:szCs w:val="18"/>
                          </w:rPr>
                        </w:pPr>
                        <w:r>
                          <w:rPr>
                            <w:sz w:val="18"/>
                            <w:szCs w:val="18"/>
                          </w:rPr>
                          <w:t>1 kartą per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5. Galūnių polineuropatijos G60–G64</w:t>
                        </w:r>
                      </w:p>
                      <w:p>
                        <w:pPr>
                          <w:rPr>
                            <w:sz w:val="18"/>
                            <w:szCs w:val="18"/>
                          </w:rPr>
                        </w:pPr>
                        <w:r>
                          <w:rPr>
                            <w:sz w:val="18"/>
                            <w:szCs w:val="18"/>
                          </w:rPr>
                          <w:t>6. Lėtinės odos ligos L02, L08, L10–L14, L20–L30, L40, L50–L54</w:t>
                        </w:r>
                      </w:p>
                      <w:p>
                        <w:pPr>
                          <w:rPr>
                            <w:sz w:val="18"/>
                            <w:szCs w:val="18"/>
                          </w:rPr>
                        </w:pPr>
                        <w:r>
                          <w:rPr>
                            <w:sz w:val="18"/>
                            <w:szCs w:val="18"/>
                          </w:rPr>
                          <w:t xml:space="preserve">7. Lėtinės kepenų ligos  K70–K77 </w:t>
                        </w:r>
                      </w:p>
                      <w:p>
                        <w:pPr>
                          <w:rPr>
                            <w:sz w:val="18"/>
                            <w:szCs w:val="18"/>
                          </w:rPr>
                        </w:pPr>
                        <w:r>
                          <w:rPr>
                            <w:sz w:val="18"/>
                            <w:szCs w:val="18"/>
                          </w:rPr>
                          <w:t xml:space="preserve">8. Lėtinės inkstų ir šlapimo pūslės ligos  N00–N08, N10–N16, N17–N19, N20–N23,  N30</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 xml:space="preserve">Esant indikacijų –neurologas, </w:t>
                        </w:r>
                      </w:p>
                      <w:p>
                        <w:pPr>
                          <w:rPr>
                            <w:sz w:val="18"/>
                            <w:szCs w:val="18"/>
                          </w:rPr>
                        </w:pPr>
                        <w:r>
                          <w:rPr>
                            <w:sz w:val="18"/>
                            <w:szCs w:val="18"/>
                          </w:rPr>
                          <w:t>otorinolaringologas, onkologas radioterapeutas, onkologas chemoterapeutas, pulmonologas, dermatovenerologas, gastroenterologas</w:t>
                        </w:r>
                      </w:p>
                    </w:tc>
                    <w:tc>
                      <w:tcPr>
                        <w:tcW w:w="2726" w:type="dxa"/>
                      </w:tcPr>
                      <w:p>
                        <w:pPr>
                          <w:rPr>
                            <w:sz w:val="18"/>
                            <w:szCs w:val="18"/>
                          </w:rPr>
                        </w:pPr>
                      </w:p>
                    </w:tc>
                    <w:tc>
                      <w:tcPr>
                        <w:tcW w:w="2437" w:type="dxa"/>
                        <w:vMerge/>
                      </w:tcPr>
                      <w:p>
                        <w:pPr>
                          <w:rPr>
                            <w:sz w:val="18"/>
                            <w:szCs w:val="18"/>
                          </w:rPr>
                        </w:pPr>
                      </w:p>
                    </w:tc>
                  </w:tr>
                  <w:tr>
                    <w:trPr>
                      <w:cantSplit/>
                      <w:trHeight w:val="142"/>
                    </w:trPr>
                    <w:tc>
                      <w:tcPr>
                        <w:tcW w:w="2447" w:type="dxa"/>
                        <w:vMerge w:val="restart"/>
                      </w:tcPr>
                      <w:p>
                        <w:pPr>
                          <w:rPr>
                            <w:sz w:val="18"/>
                            <w:szCs w:val="18"/>
                          </w:rPr>
                        </w:pPr>
                        <w:r>
                          <w:rPr>
                            <w:sz w:val="18"/>
                            <w:szCs w:val="18"/>
                          </w:rPr>
                          <w:t xml:space="preserve">1.10. Azodažikliai </w:t>
                        </w:r>
                      </w:p>
                      <w:p>
                        <w:pPr>
                          <w:rPr>
                            <w:sz w:val="18"/>
                            <w:szCs w:val="18"/>
                          </w:rPr>
                        </w:pPr>
                        <w:r>
                          <w:rPr>
                            <w:sz w:val="18"/>
                            <w:szCs w:val="18"/>
                          </w:rPr>
                          <w:t>(antrachinoniniai, ftalocianiliniai)</w:t>
                        </w:r>
                      </w:p>
                    </w:tc>
                    <w:tc>
                      <w:tcPr>
                        <w:tcW w:w="1653" w:type="dxa"/>
                        <w:gridSpan w:val="2"/>
                        <w:vMerge w:val="restart"/>
                      </w:tcPr>
                      <w:p>
                        <w:pPr>
                          <w:rPr>
                            <w:sz w:val="18"/>
                            <w:szCs w:val="18"/>
                          </w:rPr>
                        </w:pPr>
                        <w:r>
                          <w:rPr>
                            <w:sz w:val="18"/>
                            <w:szCs w:val="18"/>
                          </w:rPr>
                          <w:t xml:space="preserve">Naudojimas </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p>
                    </w:tc>
                    <w:tc>
                      <w:tcPr>
                        <w:tcW w:w="2726" w:type="dxa"/>
                      </w:tcPr>
                      <w:p>
                        <w:pPr>
                          <w:rPr>
                            <w:sz w:val="18"/>
                            <w:szCs w:val="18"/>
                          </w:rPr>
                        </w:pPr>
                        <w:r>
                          <w:rPr>
                            <w:sz w:val="18"/>
                            <w:szCs w:val="18"/>
                          </w:rPr>
                          <w:t xml:space="preserve">Kraujo tyrimas hematologiniu analizatoriumi (eritrocitai, hemoglobinas, leukocitai, trombocitai), ENG, šlapimo tyrimas  analizatoriumi</w:t>
                        </w:r>
                      </w:p>
                    </w:tc>
                    <w:tc>
                      <w:tcPr>
                        <w:tcW w:w="2437" w:type="dxa"/>
                        <w:vMerge w:val="restart"/>
                      </w:tcPr>
                      <w:p>
                        <w:pPr>
                          <w:rPr>
                            <w:sz w:val="18"/>
                            <w:szCs w:val="18"/>
                          </w:rPr>
                        </w:pPr>
                        <w:r>
                          <w:rPr>
                            <w:sz w:val="18"/>
                            <w:szCs w:val="18"/>
                          </w:rPr>
                          <w:t>1. Lėtinės odos ligos L02, L08, L10–L14, L20–L30, L40, L50–L54</w:t>
                        </w:r>
                      </w:p>
                      <w:p>
                        <w:pPr>
                          <w:tabs>
                            <w:tab w:val="num" w:pos="286"/>
                          </w:tabs>
                          <w:rPr>
                            <w:sz w:val="18"/>
                            <w:szCs w:val="18"/>
                          </w:rPr>
                        </w:pPr>
                        <w:r>
                          <w:rPr>
                            <w:sz w:val="18"/>
                            <w:szCs w:val="18"/>
                          </w:rPr>
                          <w:t xml:space="preserve">2. Lėtinės kepenų ligos  K70–K77 </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–dermatovenerologas, gastroenterologas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1.11. Azoto rūgštis, amoniakas, azoto oksidai (Ū)</w:t>
                        </w:r>
                      </w:p>
                    </w:tc>
                    <w:tc>
                      <w:tcPr>
                        <w:tcW w:w="1653" w:type="dxa"/>
                        <w:gridSpan w:val="2"/>
                        <w:vMerge w:val="restart"/>
                      </w:tcPr>
                      <w:p>
                        <w:pPr>
                          <w:rPr>
                            <w:sz w:val="18"/>
                            <w:szCs w:val="18"/>
                          </w:rPr>
                        </w:pPr>
                        <w:r>
                          <w:rPr>
                            <w:sz w:val="18"/>
                            <w:szCs w:val="18"/>
                          </w:rPr>
                          <w:t>Gamyba, naudojimas, procesai, susiję su jų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pulmonologas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1.12. Baris ir jo junginiai (bario karbonatas, bario hidrofosfatas, bario feritas)</w:t>
                        </w:r>
                      </w:p>
                    </w:tc>
                    <w:tc>
                      <w:tcPr>
                        <w:tcW w:w="1653" w:type="dxa"/>
                        <w:gridSpan w:val="2"/>
                        <w:vMerge w:val="restart"/>
                      </w:tcPr>
                      <w:p>
                        <w:pPr>
                          <w:rPr>
                            <w:sz w:val="18"/>
                            <w:szCs w:val="18"/>
                          </w:rPr>
                        </w:pPr>
                        <w:r>
                          <w:rPr>
                            <w:sz w:val="18"/>
                            <w:szCs w:val="18"/>
                          </w:rPr>
                          <w:t>Tirpių ir netirpių bario junginių naudojimas</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EKG</w:t>
                        </w:r>
                      </w:p>
                    </w:tc>
                    <w:tc>
                      <w:tcPr>
                        <w:tcW w:w="2437" w:type="dxa"/>
                        <w:vMerge w:val="restart"/>
                      </w:tcPr>
                      <w:p>
                        <w:pPr>
                          <w:tabs>
                            <w:tab w:val="left" w:pos="286"/>
                          </w:tabs>
                          <w:rPr>
                            <w:sz w:val="18"/>
                            <w:szCs w:val="18"/>
                          </w:rPr>
                        </w:pPr>
                        <w:r>
                          <w:rPr>
                            <w:sz w:val="18"/>
                            <w:szCs w:val="18"/>
                          </w:rPr>
                          <w:t>1. Lėtinės obstrukcinės plaučių ligos J44–J47</w:t>
                        </w:r>
                      </w:p>
                      <w:p>
                        <w:pPr>
                          <w:tabs>
                            <w:tab w:val="left" w:pos="286"/>
                          </w:tabs>
                          <w:rPr>
                            <w:sz w:val="18"/>
                            <w:szCs w:val="18"/>
                          </w:rPr>
                        </w:pPr>
                        <w:r>
                          <w:rPr>
                            <w:sz w:val="18"/>
                            <w:szCs w:val="18"/>
                          </w:rPr>
                          <w:t xml:space="preserve">2. Astma J45 </w:t>
                        </w:r>
                      </w:p>
                      <w:p>
                        <w:pPr>
                          <w:tabs>
                            <w:tab w:val="left" w:pos="286"/>
                          </w:tabs>
                          <w:rPr>
                            <w:sz w:val="18"/>
                            <w:szCs w:val="18"/>
                          </w:rPr>
                        </w:pPr>
                        <w:r>
                          <w:rPr>
                            <w:sz w:val="18"/>
                            <w:szCs w:val="18"/>
                          </w:rPr>
                          <w:t>3. Lėtinis kvėpavimo nepakankamumas I–II</w:t>
                          <w:sym w:font="Symbol" w:char="F0B0"/>
                          <w:t xml:space="preserve"> J96.1</w:t>
                        </w:r>
                      </w:p>
                      <w:p>
                        <w:pPr>
                          <w:tabs>
                            <w:tab w:val="left" w:pos="286"/>
                          </w:tabs>
                          <w:rPr>
                            <w:sz w:val="18"/>
                            <w:szCs w:val="18"/>
                          </w:rPr>
                        </w:pPr>
                        <w:r>
                          <w:rPr>
                            <w:sz w:val="18"/>
                            <w:szCs w:val="18"/>
                          </w:rPr>
                          <w:t>4. Širdies ritmo sutrikimai I47–I49</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–pulmonologas, kardiologas</w:t>
                        </w:r>
                      </w:p>
                    </w:tc>
                    <w:tc>
                      <w:tcPr>
                        <w:tcW w:w="2726" w:type="dxa"/>
                      </w:tcPr>
                      <w:p>
                        <w:pPr>
                          <w:rPr>
                            <w:sz w:val="18"/>
                            <w:szCs w:val="18"/>
                          </w:rPr>
                        </w:pPr>
                        <w:r>
                          <w:rPr>
                            <w:sz w:val="18"/>
                            <w:szCs w:val="18"/>
                          </w:rPr>
                          <w:t>Esant indikacijų –kalis, natris, cholesterolis kraujo serume</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1.13. Benzenas </w:t>
                        </w:r>
                      </w:p>
                      <w:p>
                        <w:pPr>
                          <w:rPr>
                            <w:sz w:val="18"/>
                            <w:szCs w:val="18"/>
                          </w:rPr>
                        </w:pPr>
                        <w:r>
                          <w:rPr>
                            <w:sz w:val="18"/>
                            <w:szCs w:val="18"/>
                          </w:rPr>
                          <w:t>(K, O) ir jo homologai (ksilenas, toluenas, stirenas, izopropilbenzenas)</w:t>
                        </w:r>
                      </w:p>
                    </w:tc>
                    <w:tc>
                      <w:tcPr>
                        <w:tcW w:w="1653" w:type="dxa"/>
                        <w:gridSpan w:val="2"/>
                        <w:vMerge w:val="restart"/>
                      </w:tcPr>
                      <w:p>
                        <w:pPr>
                          <w:rPr>
                            <w:sz w:val="18"/>
                            <w:szCs w:val="18"/>
                          </w:rPr>
                        </w:pPr>
                        <w:r>
                          <w:rPr>
                            <w:sz w:val="18"/>
                            <w:szCs w:val="18"/>
                          </w:rPr>
                          <w:t>Naudojimas, procesai, susiję su jų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Hematologas, psichiatras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leukograma, ENG, šlapimo tyrimas analizatoriumi, </w:t>
                        </w:r>
                      </w:p>
                    </w:tc>
                    <w:tc>
                      <w:tcPr>
                        <w:tcW w:w="2437" w:type="dxa"/>
                        <w:vMerge w:val="restart"/>
                      </w:tcPr>
                      <w:p>
                        <w:pPr>
                          <w:rPr>
                            <w:sz w:val="18"/>
                            <w:szCs w:val="18"/>
                          </w:rPr>
                        </w:pPr>
                        <w:r>
                          <w:rPr>
                            <w:sz w:val="18"/>
                            <w:szCs w:val="18"/>
                          </w:rPr>
                          <w:t xml:space="preserve">1. Kraujo ir kraujodaros organų ligos  D50–D53, D55–D59, D60–D64, D65–D69, D70–D77</w:t>
                        </w:r>
                      </w:p>
                      <w:p>
                        <w:pPr>
                          <w:rPr>
                            <w:sz w:val="18"/>
                            <w:szCs w:val="18"/>
                          </w:rPr>
                        </w:pPr>
                        <w:r>
                          <w:rPr>
                            <w:sz w:val="18"/>
                            <w:szCs w:val="18"/>
                          </w:rPr>
                          <w:t>2. Toksikomanija, narkomanija F10–F19</w:t>
                        </w:r>
                      </w:p>
                      <w:p>
                        <w:pPr>
                          <w:rPr>
                            <w:sz w:val="18"/>
                            <w:szCs w:val="18"/>
                          </w:rPr>
                        </w:pPr>
                        <w:r>
                          <w:rPr>
                            <w:sz w:val="18"/>
                            <w:szCs w:val="18"/>
                          </w:rPr>
                          <w:t>3. Lėtinės odos ligos L02, L08, L10–L14, L20–L30, L40, L50–L54</w:t>
                        </w:r>
                      </w:p>
                      <w:p>
                        <w:pPr>
                          <w:rPr>
                            <w:sz w:val="18"/>
                            <w:szCs w:val="18"/>
                          </w:rPr>
                        </w:pPr>
                        <w:r>
                          <w:rPr>
                            <w:sz w:val="18"/>
                            <w:szCs w:val="18"/>
                          </w:rPr>
                          <w:t>4. Galūnių polineuropatijos G60–G64</w:t>
                        </w:r>
                      </w:p>
                      <w:p>
                        <w:pPr>
                          <w:rPr>
                            <w:sz w:val="18"/>
                            <w:szCs w:val="18"/>
                          </w:rPr>
                        </w:pPr>
                        <w:r>
                          <w:rPr>
                            <w:sz w:val="18"/>
                            <w:szCs w:val="18"/>
                          </w:rPr>
                          <w:t>5. Navikiniai susirgimai anamnezėje C00–D48</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–dermatovenerologas, onkologas radioterapeutas, onkologas chemoterapeutas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1.14. 1,2-benzendikarboksirūgštis (ftalio rūgštis, ftalio rūgšties anhidridas (Ū, J)</w:t>
                        </w:r>
                      </w:p>
                    </w:tc>
                    <w:tc>
                      <w:tcPr>
                        <w:tcW w:w="1653" w:type="dxa"/>
                        <w:gridSpan w:val="2"/>
                        <w:vMerge w:val="restart"/>
                      </w:tcPr>
                      <w:p>
                        <w:pPr>
                          <w:rPr>
                            <w:sz w:val="18"/>
                            <w:szCs w:val="18"/>
                          </w:rPr>
                        </w:pPr>
                        <w:r>
                          <w:rPr>
                            <w:sz w:val="18"/>
                            <w:szCs w:val="18"/>
                          </w:rPr>
                          <w:t>Naudojimas, procesai, susiję su jų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2. Viršutinių kvėpavimo takų atrofiniai pakitimai. Hipertrofinis laringitas J30–J31, J37–J39</w:t>
                        </w:r>
                      </w:p>
                      <w:p>
                        <w:pPr>
                          <w:rPr>
                            <w:sz w:val="18"/>
                            <w:szCs w:val="18"/>
                          </w:rPr>
                        </w:pPr>
                        <w:r>
                          <w:rPr>
                            <w:sz w:val="18"/>
                            <w:szCs w:val="18"/>
                          </w:rPr>
                          <w:t>3. Lėtinės obstrukcinės plaučių ligos J44–J47</w:t>
                        </w:r>
                      </w:p>
                      <w:p>
                        <w:pPr>
                          <w:rPr>
                            <w:sz w:val="18"/>
                            <w:szCs w:val="18"/>
                          </w:rPr>
                        </w:pPr>
                        <w:r>
                          <w:rPr>
                            <w:sz w:val="18"/>
                            <w:szCs w:val="18"/>
                          </w:rPr>
                          <w:t xml:space="preserve">4. Astma J45 </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Akių ligos (vokų, junginės, ragenos, ašarų takų)  H00–H06, H10–H13, H15–H20</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oftalmologas,</w:t>
                        </w:r>
                      </w:p>
                      <w:p>
                        <w:pPr>
                          <w:rPr>
                            <w:sz w:val="18"/>
                            <w:szCs w:val="18"/>
                          </w:rPr>
                        </w:pPr>
                        <w:r>
                          <w:rPr>
                            <w:sz w:val="18"/>
                            <w:szCs w:val="18"/>
                          </w:rPr>
                          <w:t>neurologas, pulmonologas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1.15. Berilis ir jo junginiai (berilio oksidas, berilio sulfatas, berilio nitratas, berilio chloridas)</w:t>
                        </w:r>
                      </w:p>
                      <w:p>
                        <w:pPr>
                          <w:rPr>
                            <w:sz w:val="18"/>
                            <w:szCs w:val="18"/>
                          </w:rPr>
                        </w:pPr>
                        <w:r>
                          <w:rPr>
                            <w:sz w:val="18"/>
                            <w:szCs w:val="18"/>
                          </w:rPr>
                          <w:t>(J, K)</w:t>
                        </w:r>
                      </w:p>
                    </w:tc>
                    <w:tc>
                      <w:tcPr>
                        <w:tcW w:w="1653" w:type="dxa"/>
                        <w:gridSpan w:val="2"/>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rPr>
                            <w:sz w:val="18"/>
                            <w:szCs w:val="18"/>
                          </w:rPr>
                        </w:pPr>
                        <w:r>
                          <w:rPr>
                            <w:sz w:val="18"/>
                            <w:szCs w:val="18"/>
                          </w:rPr>
                          <w:t>3. Lėtinis kvėpavimo nepakankamumas I–II</w:t>
                          <w:sym w:font="Symbol" w:char="F0B0"/>
                          <w:t xml:space="preserve"> J96.1</w:t>
                        </w:r>
                      </w:p>
                      <w:p>
                        <w:pPr>
                          <w:rPr>
                            <w:sz w:val="18"/>
                            <w:szCs w:val="18"/>
                          </w:rPr>
                        </w:pPr>
                        <w:r>
                          <w:rPr>
                            <w:sz w:val="18"/>
                            <w:szCs w:val="18"/>
                          </w:rPr>
                          <w:t xml:space="preserve">4. Lėtinės odos ligos  L02, L08, L10–L14, L20–L30, L40, L50–L54</w:t>
                        </w:r>
                      </w:p>
                      <w:p>
                        <w:pPr>
                          <w:rPr>
                            <w:sz w:val="18"/>
                            <w:szCs w:val="18"/>
                          </w:rPr>
                        </w:pPr>
                        <w:r>
                          <w:rPr>
                            <w:sz w:val="18"/>
                            <w:szCs w:val="18"/>
                          </w:rPr>
                          <w:t>5. Viršutinių kvėpavimo takų atrofiniai pakitimai. Hipertrofinis laringitas J30–J31, J37–J39</w:t>
                        </w:r>
                      </w:p>
                      <w:p>
                        <w:pPr>
                          <w:rPr>
                            <w:sz w:val="18"/>
                            <w:szCs w:val="18"/>
                          </w:rPr>
                        </w:pPr>
                        <w:r>
                          <w:rPr>
                            <w:sz w:val="18"/>
                            <w:szCs w:val="18"/>
                          </w:rPr>
                          <w:t>6. Priekinės akių dalies ligos (vokų, junginės, ragenos, ašarų takų) H00–H06, H10–H13, H15–H20</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w:t>
                        </w:r>
                      </w:p>
                      <w:p>
                        <w:pPr>
                          <w:rPr>
                            <w:sz w:val="18"/>
                            <w:szCs w:val="18"/>
                          </w:rPr>
                        </w:pPr>
                        <w:r>
                          <w:rPr>
                            <w:sz w:val="18"/>
                            <w:szCs w:val="18"/>
                          </w:rPr>
                          <w:t>oftalmologas – dirbant su tirpiais berilio junginiais, dermatovenerologas, onkologas radioterapeutas, onkologas chemoterapeutas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1.16. Bromas ir jo junginiai (brombenzenas</w:t>
                        </w:r>
                      </w:p>
                      <w:p>
                        <w:pPr>
                          <w:rPr>
                            <w:sz w:val="18"/>
                            <w:szCs w:val="18"/>
                          </w:rPr>
                        </w:pPr>
                        <w:r>
                          <w:rPr>
                            <w:sz w:val="18"/>
                            <w:szCs w:val="18"/>
                          </w:rPr>
                          <w:t>bromfenolis ir kt.) (O)</w:t>
                        </w:r>
                      </w:p>
                    </w:tc>
                    <w:tc>
                      <w:tcPr>
                        <w:tcW w:w="1653" w:type="dxa"/>
                        <w:gridSpan w:val="2"/>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5. Lėtinės odos ligos L02, L08, L10–L14, L20–L30, L40, L50–L54</w:t>
                        </w:r>
                      </w:p>
                      <w:p>
                        <w:pPr>
                          <w:rPr>
                            <w:sz w:val="18"/>
                            <w:szCs w:val="18"/>
                          </w:rPr>
                        </w:pPr>
                        <w:r>
                          <w:rPr>
                            <w:sz w:val="18"/>
                            <w:szCs w:val="18"/>
                          </w:rPr>
                          <w:t xml:space="preserve">6. Priekinės akių dalies ligos (vokų, junginės, ragenos, ašarų takų)  H00–H06, H10–H13, H15–H20</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pulmonologas, dermatovenerologas, oftalmologas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1.17. Chloras ir jo junginiai (chloro vandenilis), chloro turintys mišiniai (chlorbutanas, chlorfenolis ir jo druskos ir kt.)</w:t>
                        </w:r>
                      </w:p>
                      <w:p>
                        <w:pPr>
                          <w:rPr>
                            <w:sz w:val="18"/>
                            <w:szCs w:val="18"/>
                          </w:rPr>
                        </w:pPr>
                        <w:r>
                          <w:rPr>
                            <w:sz w:val="18"/>
                            <w:szCs w:val="18"/>
                          </w:rPr>
                          <w:t>(Ū)</w:t>
                        </w:r>
                      </w:p>
                    </w:tc>
                    <w:tc>
                      <w:tcPr>
                        <w:tcW w:w="1653" w:type="dxa"/>
                        <w:gridSpan w:val="2"/>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p>
                    </w:tc>
                    <w:tc>
                      <w:tcPr>
                        <w:tcW w:w="2726"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 xml:space="preserve">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Priekinės akių dalies ligos (vokų, junginės, ragenos, ašarų takų)  H00–H06, H10–H13, H15–H20</w:t>
                        </w:r>
                      </w:p>
                      <w:p>
                        <w:pPr>
                          <w:rPr>
                            <w:sz w:val="18"/>
                            <w:szCs w:val="18"/>
                          </w:rPr>
                        </w:pPr>
                        <w:r>
                          <w:rPr>
                            <w:sz w:val="18"/>
                            <w:szCs w:val="18"/>
                          </w:rPr>
                          <w:t>6. Lėtinės odos ligos L02, L08, L10–L14, L20–L30, L40, L50–L54</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oftalmologas, radiologas, pulmonologas, dermatovenerologas</w:t>
                        </w:r>
                      </w:p>
                    </w:tc>
                    <w:tc>
                      <w:tcPr>
                        <w:tcW w:w="2726" w:type="dxa"/>
                      </w:tcPr>
                      <w:p>
                        <w:pPr>
                          <w:rPr>
                            <w:sz w:val="18"/>
                            <w:szCs w:val="18"/>
                          </w:rPr>
                        </w:pPr>
                        <w:r>
                          <w:rPr>
                            <w:sz w:val="18"/>
                            <w:szCs w:val="18"/>
                          </w:rPr>
                          <w:t>Esant indikacijų – KLR</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1.18. Chromas,</w:t>
                        </w:r>
                      </w:p>
                      <w:p>
                        <w:pPr>
                          <w:rPr>
                            <w:sz w:val="18"/>
                            <w:szCs w:val="18"/>
                          </w:rPr>
                        </w:pPr>
                        <w:r>
                          <w:rPr>
                            <w:sz w:val="18"/>
                            <w:szCs w:val="18"/>
                          </w:rPr>
                          <w:t>chromo rūgštis (J, K), jų junginiai ir lydiniai</w:t>
                        </w:r>
                      </w:p>
                    </w:tc>
                    <w:tc>
                      <w:tcPr>
                        <w:tcW w:w="1653" w:type="dxa"/>
                        <w:gridSpan w:val="2"/>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 xml:space="preserve">1. Viršutinių kvėpavimo takų atrofiniai pakitimai, nosies pertvaros iškrypimai ir nosies kvėpavimo funkcijos sutrikimas  J30–J31, J34.2,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Priekinės akių dalies ligos (vokų, junginės, ragenos, ašarų takų)  H00–H06, H10–H13, H15–H20</w:t>
                        </w:r>
                      </w:p>
                      <w:p>
                        <w:pPr>
                          <w:rPr>
                            <w:sz w:val="18"/>
                            <w:szCs w:val="18"/>
                          </w:rPr>
                        </w:pPr>
                        <w:r>
                          <w:rPr>
                            <w:sz w:val="18"/>
                            <w:szCs w:val="18"/>
                          </w:rPr>
                          <w:t xml:space="preserve">6. Kraujo ir kraujodaros organų ligos  D50–D53, D55–D59, D60–D64, D65–D69, D70–D77</w:t>
                        </w:r>
                      </w:p>
                      <w:p>
                        <w:pPr>
                          <w:rPr>
                            <w:sz w:val="18"/>
                            <w:szCs w:val="18"/>
                          </w:rPr>
                        </w:pPr>
                        <w:r>
                          <w:rPr>
                            <w:sz w:val="18"/>
                            <w:szCs w:val="18"/>
                          </w:rPr>
                          <w:t>7. Lėtinės odos ligos L02, L08, L10–L14, L20–L30, L40, L50–L54</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oftalmologas, radiologas, pulmonologas, onkologas radioterapeutas, onkologas chemoterapeutas, hematologas, dermatovenerologas</w:t>
                        </w:r>
                      </w:p>
                    </w:tc>
                    <w:tc>
                      <w:tcPr>
                        <w:tcW w:w="2726" w:type="dxa"/>
                      </w:tcPr>
                      <w:p>
                        <w:pPr>
                          <w:rPr>
                            <w:sz w:val="18"/>
                            <w:szCs w:val="18"/>
                          </w:rPr>
                        </w:pPr>
                        <w:r>
                          <w:rPr>
                            <w:sz w:val="18"/>
                            <w:szCs w:val="18"/>
                          </w:rPr>
                          <w:t xml:space="preserve">Esant indikacijų – leukograma </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1.19. Ciano vandenilio rūgštis ir jos junginiai, cianamidai ir kt. (Ū, O)</w:t>
                        </w:r>
                      </w:p>
                    </w:tc>
                    <w:tc>
                      <w:tcPr>
                        <w:tcW w:w="1653" w:type="dxa"/>
                        <w:gridSpan w:val="2"/>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 xml:space="preserve">Neurologas </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rPr>
                            <w:sz w:val="18"/>
                            <w:szCs w:val="18"/>
                          </w:rPr>
                        </w:pPr>
                        <w:r>
                          <w:rPr>
                            <w:sz w:val="18"/>
                            <w:szCs w:val="18"/>
                          </w:rPr>
                          <w:t>3. Lėtinis kvėpavimo nepakankamumas I–II</w:t>
                          <w:sym w:font="Symbol" w:char="F0B0"/>
                          <w:t xml:space="preserve"> J96.1</w:t>
                        </w:r>
                      </w:p>
                      <w:p>
                        <w:pPr>
                          <w:rPr>
                            <w:sz w:val="18"/>
                            <w:szCs w:val="18"/>
                          </w:rPr>
                        </w:pPr>
                        <w:r>
                          <w:rPr>
                            <w:sz w:val="18"/>
                            <w:szCs w:val="18"/>
                          </w:rPr>
                          <w:t xml:space="preserve">4. Akių ligos (vokų, junginės, ragenos)  H00–H06, H10–H13, H15–H20</w:t>
                        </w:r>
                      </w:p>
                      <w:p>
                        <w:pPr>
                          <w:rPr>
                            <w:sz w:val="18"/>
                            <w:szCs w:val="18"/>
                          </w:rPr>
                        </w:pPr>
                        <w:r>
                          <w:rPr>
                            <w:sz w:val="18"/>
                            <w:szCs w:val="18"/>
                          </w:rPr>
                          <w:t>5. CNS ligos G00–G09, G10–G13, G30–G32</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 oftalmologas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1.20. Dibutilftalatas (R)</w:t>
                        </w:r>
                      </w:p>
                    </w:tc>
                    <w:tc>
                      <w:tcPr>
                        <w:tcW w:w="1653" w:type="dxa"/>
                        <w:gridSpan w:val="2"/>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 xml:space="preserve">2. Viršutinių kvėpavimo takų atrofiniai pakitimai. Hipertrofinis laringitas  J30–J31, J37–J39</w:t>
                        </w:r>
                      </w:p>
                      <w:p>
                        <w:pPr>
                          <w:rPr>
                            <w:sz w:val="18"/>
                            <w:szCs w:val="18"/>
                          </w:rPr>
                        </w:pPr>
                        <w:r>
                          <w:rPr>
                            <w:sz w:val="18"/>
                            <w:szCs w:val="18"/>
                          </w:rPr>
                          <w:t>3. Lėtinės obstrukcinės plaučių ligos J44–J47</w:t>
                        </w:r>
                      </w:p>
                      <w:p>
                        <w:pPr>
                          <w:rPr>
                            <w:sz w:val="18"/>
                            <w:szCs w:val="18"/>
                          </w:rPr>
                        </w:pPr>
                        <w:r>
                          <w:rPr>
                            <w:sz w:val="18"/>
                            <w:szCs w:val="18"/>
                          </w:rPr>
                          <w:t xml:space="preserve">4. Astma J45 </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Akių ligos (vokų, junginės, ragenos, ašarų takų)  H00–H06, H10–H13, H15–H20</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oftalmologas,</w:t>
                        </w:r>
                      </w:p>
                      <w:p>
                        <w:pPr>
                          <w:rPr>
                            <w:sz w:val="18"/>
                            <w:szCs w:val="18"/>
                          </w:rPr>
                        </w:pPr>
                        <w:r>
                          <w:rPr>
                            <w:sz w:val="18"/>
                            <w:szCs w:val="18"/>
                          </w:rPr>
                          <w:t>neurologas, pulmonologas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1.21. 3,4-dichloroanilinas (O, J)</w:t>
                        </w:r>
                      </w:p>
                    </w:tc>
                    <w:tc>
                      <w:tcPr>
                        <w:tcW w:w="1653" w:type="dxa"/>
                        <w:gridSpan w:val="2"/>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 xml:space="preserve">2. Viršutinių kvėpavimo takų atrofiniai pakitimai. Hipertrofinis laringitas  J30–J31, J37–J39</w:t>
                        </w:r>
                      </w:p>
                      <w:p>
                        <w:pPr>
                          <w:rPr>
                            <w:sz w:val="18"/>
                            <w:szCs w:val="18"/>
                          </w:rPr>
                        </w:pPr>
                        <w:r>
                          <w:rPr>
                            <w:sz w:val="18"/>
                            <w:szCs w:val="18"/>
                          </w:rPr>
                          <w:t>3. Lėtinės obstrukcinės plaučių ligos J44–J47</w:t>
                        </w:r>
                      </w:p>
                      <w:p>
                        <w:pPr>
                          <w:rPr>
                            <w:sz w:val="18"/>
                            <w:szCs w:val="18"/>
                          </w:rPr>
                        </w:pPr>
                        <w:r>
                          <w:rPr>
                            <w:sz w:val="18"/>
                            <w:szCs w:val="18"/>
                          </w:rPr>
                          <w:t xml:space="preserve">4. Astma J45 </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Akių ligos (vokų, junginės, ragenos, ašarų takų)  H00–H06, H10–H13, H15–H20</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oftalmologas,</w:t>
                        </w:r>
                      </w:p>
                      <w:p>
                        <w:pPr>
                          <w:rPr>
                            <w:sz w:val="18"/>
                            <w:szCs w:val="18"/>
                          </w:rPr>
                        </w:pPr>
                        <w:r>
                          <w:rPr>
                            <w:sz w:val="18"/>
                            <w:szCs w:val="18"/>
                          </w:rPr>
                          <w:t>neurologas, pulmonologas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1.21. Diizodecilftalatas</w:t>
                        </w:r>
                      </w:p>
                    </w:tc>
                    <w:tc>
                      <w:tcPr>
                        <w:tcW w:w="1653" w:type="dxa"/>
                        <w:gridSpan w:val="2"/>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 neurologas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 xml:space="preserve">2. Viršutinių kvėpavimo takų atrofiniai pakitimai. Hipertrofinis laringitas  J30–J31, J37–J39</w:t>
                        </w:r>
                      </w:p>
                      <w:p>
                        <w:pPr>
                          <w:rPr>
                            <w:sz w:val="18"/>
                            <w:szCs w:val="18"/>
                          </w:rPr>
                        </w:pPr>
                        <w:r>
                          <w:rPr>
                            <w:sz w:val="18"/>
                            <w:szCs w:val="18"/>
                          </w:rPr>
                          <w:t>3. Lėtinės obstrukcinės plaučių ligos J44–J47</w:t>
                        </w:r>
                      </w:p>
                      <w:p>
                        <w:pPr>
                          <w:rPr>
                            <w:sz w:val="18"/>
                            <w:szCs w:val="18"/>
                          </w:rPr>
                        </w:pPr>
                        <w:r>
                          <w:rPr>
                            <w:sz w:val="18"/>
                            <w:szCs w:val="18"/>
                          </w:rPr>
                          <w:t xml:space="preserve">4. Astma J45 </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Akių ligos (vokų, junginės, ragenos, ašarų takų)  H00–H06, H10–H13, H15–H20</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oftalmologas,</w:t>
                        </w:r>
                      </w:p>
                      <w:p>
                        <w:pPr>
                          <w:rPr>
                            <w:sz w:val="18"/>
                            <w:szCs w:val="18"/>
                          </w:rPr>
                        </w:pPr>
                        <w:r>
                          <w:rPr>
                            <w:sz w:val="18"/>
                            <w:szCs w:val="18"/>
                          </w:rPr>
                          <w:t>pulmonologas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1.22. Diizononilftalatas</w:t>
                        </w:r>
                      </w:p>
                    </w:tc>
                    <w:tc>
                      <w:tcPr>
                        <w:tcW w:w="1653" w:type="dxa"/>
                        <w:gridSpan w:val="2"/>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 neurologas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 xml:space="preserve">2. Viršutinių kvėpavimo takų atrofiniai pakitimai. Hipertrofinis laringitas  J30–J31, J37–J39</w:t>
                        </w:r>
                      </w:p>
                      <w:p>
                        <w:pPr>
                          <w:rPr>
                            <w:sz w:val="18"/>
                            <w:szCs w:val="18"/>
                          </w:rPr>
                        </w:pPr>
                        <w:r>
                          <w:rPr>
                            <w:sz w:val="18"/>
                            <w:szCs w:val="18"/>
                          </w:rPr>
                          <w:t>3. Lėtinės obstrukcinės plaučių ligos J44–J47</w:t>
                        </w:r>
                      </w:p>
                      <w:p>
                        <w:pPr>
                          <w:rPr>
                            <w:sz w:val="18"/>
                            <w:szCs w:val="18"/>
                          </w:rPr>
                        </w:pPr>
                        <w:r>
                          <w:rPr>
                            <w:sz w:val="18"/>
                            <w:szCs w:val="18"/>
                          </w:rPr>
                          <w:t xml:space="preserve">4. Astma J45 </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Akių ligos (vokų, junginės, ragenos, ašarų takų)  H00–H06, H10–H13, H15–H20</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oftalmologas,</w:t>
                        </w:r>
                      </w:p>
                      <w:p>
                        <w:pPr>
                          <w:rPr>
                            <w:sz w:val="18"/>
                            <w:szCs w:val="18"/>
                          </w:rPr>
                        </w:pPr>
                        <w:r>
                          <w:rPr>
                            <w:sz w:val="18"/>
                            <w:szCs w:val="18"/>
                          </w:rPr>
                          <w:t>pulmonologas</w:t>
                        </w:r>
                      </w:p>
                    </w:tc>
                    <w:tc>
                      <w:tcPr>
                        <w:tcW w:w="2726" w:type="dxa"/>
                      </w:tcPr>
                      <w:p>
                        <w:pPr>
                          <w:rPr>
                            <w:sz w:val="18"/>
                            <w:szCs w:val="18"/>
                          </w:rPr>
                        </w:pPr>
                      </w:p>
                    </w:tc>
                    <w:tc>
                      <w:tcPr>
                        <w:tcW w:w="2437" w:type="dxa"/>
                        <w:vMerge/>
                      </w:tcPr>
                      <w:p>
                        <w:pPr>
                          <w:rPr>
                            <w:sz w:val="18"/>
                            <w:szCs w:val="18"/>
                          </w:rPr>
                        </w:pPr>
                      </w:p>
                    </w:tc>
                  </w:tr>
                  <w:tr>
                    <w:trPr>
                      <w:cantSplit/>
                    </w:trPr>
                    <w:tc>
                      <w:tcPr>
                        <w:tcW w:w="2447" w:type="dxa"/>
                        <w:vMerge w:val="restart"/>
                      </w:tcPr>
                      <w:p>
                        <w:pPr>
                          <w:rPr>
                            <w:sz w:val="18"/>
                            <w:szCs w:val="18"/>
                          </w:rPr>
                        </w:pPr>
                        <w:r>
                          <w:rPr>
                            <w:sz w:val="18"/>
                            <w:szCs w:val="18"/>
                          </w:rPr>
                          <w:t>1.23. Dimetilformamidas, dietilacetamidas ir kt. riebiųjų rūgščių amidai (R, O)</w:t>
                        </w:r>
                      </w:p>
                    </w:tc>
                    <w:tc>
                      <w:tcPr>
                        <w:tcW w:w="1653" w:type="dxa"/>
                        <w:gridSpan w:val="2"/>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Neurologas, psichiatras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 xml:space="preserve">2. Lėtinės odos ligos  L02, L08, L10–L14, L20–L30, L40, L50–L54</w:t>
                        </w:r>
                      </w:p>
                      <w:p>
                        <w:pPr>
                          <w:rPr>
                            <w:sz w:val="18"/>
                            <w:szCs w:val="18"/>
                          </w:rPr>
                        </w:pPr>
                        <w:r>
                          <w:rPr>
                            <w:sz w:val="18"/>
                            <w:szCs w:val="18"/>
                          </w:rPr>
                          <w:t xml:space="preserve">3. Lėtinės kepenų ligos  K70–K77 </w:t>
                        </w:r>
                      </w:p>
                      <w:p>
                        <w:pPr>
                          <w:rPr>
                            <w:sz w:val="18"/>
                            <w:szCs w:val="18"/>
                          </w:rPr>
                        </w:pPr>
                        <w:r>
                          <w:rPr>
                            <w:sz w:val="18"/>
                            <w:szCs w:val="18"/>
                          </w:rPr>
                          <w:t>4. Psichikos ligos F00–F09, F20–F29, F70–F79, F80–F89, F99</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gastroenterologas, dermatovenerologas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1.24. Dirbtinis ir sintetinis pluoštas (J)</w:t>
                        </w:r>
                      </w:p>
                    </w:tc>
                    <w:tc>
                      <w:tcPr>
                        <w:tcW w:w="1653" w:type="dxa"/>
                        <w:gridSpan w:val="2"/>
                        <w:vMerge w:val="restart"/>
                      </w:tcPr>
                      <w:p>
                        <w:pPr>
                          <w:rPr>
                            <w:sz w:val="18"/>
                            <w:szCs w:val="18"/>
                          </w:rPr>
                        </w:pPr>
                        <w:r>
                          <w:rPr>
                            <w:sz w:val="18"/>
                            <w:szCs w:val="18"/>
                          </w:rPr>
                          <w:t>Gamyba, perdirbimas, naudojimas</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p>
                    </w:tc>
                    <w:tc>
                      <w:tcPr>
                        <w:tcW w:w="2726" w:type="dxa"/>
                      </w:tcPr>
                      <w:p>
                        <w:pPr>
                          <w:rPr>
                            <w:sz w:val="18"/>
                            <w:szCs w:val="18"/>
                          </w:rPr>
                        </w:pPr>
                        <w:r>
                          <w:rPr>
                            <w:sz w:val="18"/>
                            <w:szCs w:val="18"/>
                          </w:rPr>
                          <w:t>Kraujo tyrimas hematologiniu analizatoriumi (eritrocitai, hemoglobinas, leukocitai, trombocitai), ENG</w:t>
                        </w:r>
                      </w:p>
                    </w:tc>
                    <w:tc>
                      <w:tcPr>
                        <w:tcW w:w="2437" w:type="dxa"/>
                        <w:vMerge w:val="restart"/>
                      </w:tcPr>
                      <w:p>
                        <w:pPr>
                          <w:rPr>
                            <w:sz w:val="18"/>
                            <w:szCs w:val="18"/>
                          </w:rPr>
                        </w:pPr>
                        <w:r>
                          <w:rPr>
                            <w:sz w:val="18"/>
                            <w:szCs w:val="18"/>
                          </w:rPr>
                          <w:t xml:space="preserve">1. Viršutinių kvėpavimo takų atrofiniai pakitimai. Hipertrofinis rinitas, laringitas  J30–J31, J37–J39</w:t>
                        </w:r>
                      </w:p>
                      <w:p>
                        <w:pPr>
                          <w:rPr>
                            <w:sz w:val="18"/>
                            <w:szCs w:val="18"/>
                          </w:rPr>
                        </w:pPr>
                        <w:r>
                          <w:rPr>
                            <w:sz w:val="18"/>
                            <w:szCs w:val="18"/>
                          </w:rPr>
                          <w:t>2. Astma J45</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neurologas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1.25. Di-C</w:t>
                        </w:r>
                        <w:r>
                          <w:rPr>
                            <w:sz w:val="18"/>
                            <w:szCs w:val="18"/>
                            <w:vertAlign w:val="subscript"/>
                          </w:rPr>
                          <w:t>9–11</w:t>
                        </w:r>
                        <w:r>
                          <w:rPr>
                            <w:sz w:val="18"/>
                            <w:szCs w:val="18"/>
                          </w:rPr>
                          <w:t xml:space="preserve"> šakotieji alkilesteriai, turintys daug C</w:t>
                        </w:r>
                        <w:r>
                          <w:rPr>
                            <w:sz w:val="18"/>
                            <w:szCs w:val="18"/>
                            <w:vertAlign w:val="subscript"/>
                          </w:rPr>
                          <w:t>10</w:t>
                        </w:r>
                        <w:r>
                          <w:rPr>
                            <w:sz w:val="18"/>
                            <w:szCs w:val="18"/>
                          </w:rPr>
                          <w:t xml:space="preserve"> angliavandenilių</w:t>
                        </w:r>
                      </w:p>
                    </w:tc>
                    <w:tc>
                      <w:tcPr>
                        <w:tcW w:w="1653" w:type="dxa"/>
                        <w:gridSpan w:val="2"/>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Kraujo tyrimas hematologiniu analizatoriumi (eritrocitai, hemoglobinas, leukocitai, trombocitai), ENG, KLR</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J34.2, J37–J39, </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 xml:space="preserve">7. Lėtinės odos ligos  L02, L08, L10–L14, L20–L30, L40, L50–L54</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gastroenterologas, hematologas, psichiatras, dermatovenerologas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1.26. Di-C</w:t>
                        </w:r>
                        <w:r>
                          <w:rPr>
                            <w:sz w:val="18"/>
                            <w:szCs w:val="18"/>
                            <w:vertAlign w:val="subscript"/>
                          </w:rPr>
                          <w:t xml:space="preserve">8–10 </w:t>
                        </w:r>
                        <w:r>
                          <w:rPr>
                            <w:sz w:val="18"/>
                            <w:szCs w:val="18"/>
                          </w:rPr>
                          <w:t>šakotieji alkilesteriai, turintys daug C</w:t>
                        </w:r>
                        <w:r>
                          <w:rPr>
                            <w:sz w:val="18"/>
                            <w:szCs w:val="18"/>
                            <w:vertAlign w:val="subscript"/>
                          </w:rPr>
                          <w:t>9</w:t>
                        </w:r>
                        <w:r>
                          <w:rPr>
                            <w:sz w:val="18"/>
                            <w:szCs w:val="18"/>
                          </w:rPr>
                          <w:t xml:space="preserve"> angliavandenilių</w:t>
                        </w:r>
                      </w:p>
                    </w:tc>
                    <w:tc>
                      <w:tcPr>
                        <w:tcW w:w="1653" w:type="dxa"/>
                        <w:gridSpan w:val="2"/>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Kraujo tyrimas hematologiniu analizatoriumi (eritrocitai, hemoglobinas, leukocitai, trombocitai), ENG, KLR</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J34.2,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7. Lėtinės odos ligos L02, L08, L10–L14, L20–L30, L40, L50–L54</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gastroenterologas, hematologas, psichiatras, dermatovenerologas</w:t>
                        </w:r>
                      </w:p>
                    </w:tc>
                    <w:tc>
                      <w:tcPr>
                        <w:tcW w:w="2726" w:type="dxa"/>
                      </w:tcPr>
                      <w:p>
                        <w:pPr>
                          <w:rPr>
                            <w:sz w:val="18"/>
                            <w:szCs w:val="18"/>
                          </w:rPr>
                        </w:pPr>
                      </w:p>
                    </w:tc>
                    <w:tc>
                      <w:tcPr>
                        <w:tcW w:w="2437" w:type="dxa"/>
                        <w:vMerge/>
                      </w:tcPr>
                      <w:p>
                        <w:pPr>
                          <w:rPr>
                            <w:sz w:val="18"/>
                            <w:szCs w:val="18"/>
                          </w:rPr>
                        </w:pPr>
                      </w:p>
                    </w:tc>
                  </w:tr>
                </w:tbl>
                <w:p/>
                <w:tbl>
                  <w:tblPr>
                    <w:tblW w:w="147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40" w:firstRow="0" w:lastRow="1" w:firstColumn="0" w:lastColumn="0" w:noHBand="0" w:noVBand="0"/>
                  </w:tblPr>
                  <w:tblGrid>
                    <w:gridCol w:w="2447"/>
                    <w:gridCol w:w="1653"/>
                    <w:gridCol w:w="1402"/>
                    <w:gridCol w:w="1923"/>
                    <w:gridCol w:w="2090"/>
                    <w:gridCol w:w="2755"/>
                    <w:gridCol w:w="2437"/>
                  </w:tblGrid>
                  <w:tr>
                    <w:trPr>
                      <w:trHeight w:val="142"/>
                    </w:trPr>
                    <w:tc>
                      <w:tcPr>
                        <w:tcW w:w="14707" w:type="dxa"/>
                        <w:gridSpan w:val="7"/>
                      </w:tcPr>
                      <w:p>
                        <w:pPr>
                          <w:rPr>
                            <w:sz w:val="18"/>
                            <w:szCs w:val="18"/>
                          </w:rPr>
                        </w:pPr>
                        <w:r>
                          <w:rPr>
                            <w:sz w:val="18"/>
                            <w:szCs w:val="18"/>
                          </w:rPr>
                          <w:t>1.27. Dulkės:</w:t>
                        </w:r>
                      </w:p>
                    </w:tc>
                  </w:tr>
                  <w:tr>
                    <w:trPr>
                      <w:trHeight w:val="142"/>
                    </w:trPr>
                    <w:tc>
                      <w:tcPr>
                        <w:tcW w:w="2447" w:type="dxa"/>
                        <w:vMerge w:val="restart"/>
                      </w:tcPr>
                      <w:p>
                        <w:pPr>
                          <w:rPr>
                            <w:sz w:val="18"/>
                            <w:szCs w:val="18"/>
                          </w:rPr>
                        </w:pPr>
                        <w:r>
                          <w:rPr>
                            <w:sz w:val="18"/>
                            <w:szCs w:val="18"/>
                          </w:rPr>
                          <w:t>1.27.1. abrazyvinės ir turinčios abrazyvinių medžiagų (elektrokorundų, karbido, boro, elboro, silicio ir kt.);</w:t>
                        </w:r>
                      </w:p>
                    </w:tc>
                    <w:tc>
                      <w:tcPr>
                        <w:tcW w:w="1653" w:type="dxa"/>
                        <w:vMerge w:val="restart"/>
                      </w:tcPr>
                      <w:p>
                        <w:pPr>
                          <w:rPr>
                            <w:sz w:val="18"/>
                            <w:szCs w:val="18"/>
                          </w:rPr>
                        </w:pPr>
                        <w:r>
                          <w:rPr>
                            <w:sz w:val="18"/>
                            <w:szCs w:val="18"/>
                          </w:rPr>
                          <w:t>Apdirbimas, 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pulmonologas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J34.2,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tabs>
                            <w:tab w:val="num" w:pos="286"/>
                          </w:tabs>
                          <w:rPr>
                            <w:sz w:val="18"/>
                            <w:szCs w:val="18"/>
                          </w:rPr>
                        </w:pPr>
                        <w:r>
                          <w:rPr>
                            <w:sz w:val="18"/>
                            <w:szCs w:val="18"/>
                          </w:rPr>
                          <w:t xml:space="preserve">7.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1.27.2. anglies (juodųjų suodžių, grafito, kokso, dirbtinių deimantų);</w:t>
                        </w:r>
                      </w:p>
                    </w:tc>
                    <w:tc>
                      <w:tcPr>
                        <w:tcW w:w="1653" w:type="dxa"/>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pulmonologas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7.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1.27.3. augalinės ir gyvulinės kilmės (medvilnės, linų, kanapių, vilnos, džiuto, grūdų, tabako, medienos, durpių, popieriaus) (J)</w:t>
                        </w:r>
                      </w:p>
                    </w:tc>
                    <w:tc>
                      <w:tcPr>
                        <w:tcW w:w="1653" w:type="dxa"/>
                        <w:vMerge w:val="restart"/>
                      </w:tcPr>
                      <w:p>
                        <w:pPr>
                          <w:rPr>
                            <w:sz w:val="18"/>
                            <w:szCs w:val="18"/>
                          </w:rPr>
                        </w:pPr>
                        <w:r>
                          <w:rPr>
                            <w:sz w:val="18"/>
                            <w:szCs w:val="18"/>
                          </w:rPr>
                          <w:t>Gamyba, 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pulmonologas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7.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1.27.4. metalų ir jų lydinių dulkės</w:t>
                        </w:r>
                      </w:p>
                    </w:tc>
                    <w:tc>
                      <w:tcPr>
                        <w:tcW w:w="1653" w:type="dxa"/>
                        <w:vMerge w:val="restart"/>
                      </w:tcPr>
                      <w:p>
                        <w:pPr>
                          <w:rPr>
                            <w:sz w:val="18"/>
                            <w:szCs w:val="18"/>
                          </w:rPr>
                        </w:pPr>
                        <w:r>
                          <w:rPr>
                            <w:sz w:val="18"/>
                            <w:szCs w:val="18"/>
                          </w:rPr>
                          <w:t>Apdirbimas, padengimo procesai naudojant metalų aerozolius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pulmonologas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J34.2,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7.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1.27.5. neorganinių liuminoforų, (taip pat su mažiau kaip 5 % kadmio kiekiu)</w:t>
                        </w:r>
                      </w:p>
                    </w:tc>
                    <w:tc>
                      <w:tcPr>
                        <w:tcW w:w="1653" w:type="dxa"/>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pulmonologas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J34.2,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 xml:space="preserve">7.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dermatovenerologas</w:t>
                        </w:r>
                      </w:p>
                    </w:tc>
                    <w:tc>
                      <w:tcPr>
                        <w:tcW w:w="2755" w:type="dxa"/>
                      </w:tcPr>
                      <w:p>
                        <w:pPr>
                          <w:rPr>
                            <w:sz w:val="18"/>
                            <w:szCs w:val="18"/>
                          </w:rPr>
                        </w:pPr>
                      </w:p>
                    </w:tc>
                    <w:tc>
                      <w:tcPr>
                        <w:tcW w:w="2437" w:type="dxa"/>
                        <w:vMerge/>
                      </w:tcPr>
                      <w:p>
                        <w:pPr>
                          <w:rPr>
                            <w:sz w:val="18"/>
                            <w:szCs w:val="18"/>
                          </w:rPr>
                        </w:pPr>
                      </w:p>
                    </w:tc>
                  </w:tr>
                  <w:tr>
                    <w:trPr>
                      <w:cantSplit/>
                      <w:trHeight w:val="142"/>
                    </w:trPr>
                    <w:tc>
                      <w:tcPr>
                        <w:tcW w:w="2447" w:type="dxa"/>
                        <w:vMerge w:val="restart"/>
                      </w:tcPr>
                      <w:p>
                        <w:pPr>
                          <w:rPr>
                            <w:sz w:val="18"/>
                            <w:szCs w:val="18"/>
                          </w:rPr>
                        </w:pPr>
                        <w:r>
                          <w:rPr>
                            <w:sz w:val="18"/>
                            <w:szCs w:val="18"/>
                          </w:rPr>
                          <w:t>1.27.6. turinčios silicio (laisvas ir amorfinis silicio dioksidas)</w:t>
                        </w:r>
                      </w:p>
                    </w:tc>
                    <w:tc>
                      <w:tcPr>
                        <w:tcW w:w="1653" w:type="dxa"/>
                        <w:vMerge w:val="restart"/>
                      </w:tcPr>
                      <w:p>
                        <w:pPr>
                          <w:rPr>
                            <w:sz w:val="18"/>
                            <w:szCs w:val="18"/>
                          </w:rPr>
                        </w:pPr>
                        <w:r>
                          <w:rPr>
                            <w:sz w:val="18"/>
                            <w:szCs w:val="18"/>
                          </w:rPr>
                          <w:t>Liejimo darbai, paviršių, pastatų valymo smėliu darbai</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pulmonologas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J34.2,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 xml:space="preserve">7.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pulmonologas,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1.28. Etilendiamintetraacetatas (J)</w:t>
                        </w:r>
                      </w:p>
                    </w:tc>
                    <w:tc>
                      <w:tcPr>
                        <w:tcW w:w="1653" w:type="dxa"/>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pulmonologas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J34.2,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 xml:space="preserve">7.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1.29. Farmakologinės priemonės (narkotiniai preparatai, vitaminai, hormonai, antibiotikai, citostatikai)</w:t>
                        </w:r>
                      </w:p>
                    </w:tc>
                    <w:tc>
                      <w:tcPr>
                        <w:tcW w:w="1653" w:type="dxa"/>
                        <w:vMerge w:val="restart"/>
                      </w:tcPr>
                      <w:p>
                        <w:pPr>
                          <w:rPr>
                            <w:sz w:val="18"/>
                            <w:szCs w:val="18"/>
                          </w:rPr>
                        </w:pPr>
                        <w:r>
                          <w:rPr>
                            <w:sz w:val="18"/>
                            <w:szCs w:val="18"/>
                          </w:rPr>
                          <w:t>Gamyba, 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 xml:space="preserve">Radiologas,  psichiatras, otorinolaringologas, neurologas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leukograma,  bendras baltymas kraujo serume, ALT, AST,  šlapimo tyrimas  analizatoriumi, </w:t>
                        </w:r>
                      </w:p>
                      <w:p>
                        <w:pPr>
                          <w:rPr>
                            <w:sz w:val="18"/>
                            <w:szCs w:val="18"/>
                          </w:rPr>
                        </w:pPr>
                        <w:r>
                          <w:rPr>
                            <w:sz w:val="18"/>
                            <w:szCs w:val="18"/>
                          </w:rPr>
                          <w:t>KLR, IKFT</w:t>
                        </w:r>
                      </w:p>
                    </w:tc>
                    <w:tc>
                      <w:tcPr>
                        <w:tcW w:w="2437" w:type="dxa"/>
                        <w:vMerge w:val="restart"/>
                      </w:tcPr>
                      <w:p>
                        <w:pPr>
                          <w:rPr>
                            <w:sz w:val="18"/>
                            <w:szCs w:val="18"/>
                          </w:rPr>
                        </w:pPr>
                        <w:r>
                          <w:rPr>
                            <w:sz w:val="18"/>
                            <w:szCs w:val="18"/>
                          </w:rPr>
                          <w:t>1. Uoslės funkcijos sutrikimas R43.0, R43.1</w:t>
                        </w:r>
                      </w:p>
                      <w:p>
                        <w:pPr>
                          <w:rPr>
                            <w:sz w:val="18"/>
                            <w:szCs w:val="18"/>
                          </w:rPr>
                        </w:pPr>
                        <w:r>
                          <w:rPr>
                            <w:sz w:val="18"/>
                            <w:szCs w:val="18"/>
                          </w:rPr>
                          <w:t>2. Vestibulinės funkcijos sutrikimai, Menjero liga H81, H81.0</w:t>
                        </w:r>
                      </w:p>
                      <w:p>
                        <w:pPr>
                          <w:rPr>
                            <w:sz w:val="18"/>
                            <w:szCs w:val="18"/>
                          </w:rPr>
                        </w:pPr>
                        <w:r>
                          <w:rPr>
                            <w:sz w:val="18"/>
                            <w:szCs w:val="18"/>
                          </w:rPr>
                          <w:t xml:space="preserve">3. Akių ligos (vokų, junginės, ragenos, ašarų takų)  H00–H06, H10–H13, H15–H20</w:t>
                        </w:r>
                      </w:p>
                      <w:p>
                        <w:pPr>
                          <w:rPr>
                            <w:sz w:val="18"/>
                            <w:szCs w:val="18"/>
                          </w:rPr>
                        </w:pPr>
                        <w:r>
                          <w:rPr>
                            <w:sz w:val="18"/>
                            <w:szCs w:val="18"/>
                          </w:rPr>
                          <w:t xml:space="preserve">4. Alkoholizmas, narkomanija, toksikomanija  F10–F19</w:t>
                        </w:r>
                      </w:p>
                      <w:p>
                        <w:pPr>
                          <w:rPr>
                            <w:sz w:val="18"/>
                            <w:szCs w:val="18"/>
                          </w:rPr>
                        </w:pPr>
                        <w:r>
                          <w:rPr>
                            <w:sz w:val="18"/>
                            <w:szCs w:val="18"/>
                          </w:rPr>
                          <w:t>5. Alerginės odos ligos L23</w:t>
                        </w:r>
                      </w:p>
                      <w:p>
                        <w:pPr>
                          <w:rPr>
                            <w:sz w:val="18"/>
                            <w:szCs w:val="18"/>
                          </w:rPr>
                        </w:pPr>
                        <w:r>
                          <w:rPr>
                            <w:sz w:val="18"/>
                            <w:szCs w:val="18"/>
                          </w:rPr>
                          <w:t>6. Lėtinės obstrukcinės plaučių ligos J44–J47</w:t>
                        </w:r>
                      </w:p>
                      <w:p>
                        <w:pPr>
                          <w:rPr>
                            <w:sz w:val="18"/>
                            <w:szCs w:val="18"/>
                          </w:rPr>
                        </w:pPr>
                        <w:r>
                          <w:rPr>
                            <w:sz w:val="18"/>
                            <w:szCs w:val="18"/>
                          </w:rPr>
                          <w:t>7. Astma J45</w:t>
                        </w:r>
                      </w:p>
                      <w:p>
                        <w:pPr>
                          <w:rPr>
                            <w:sz w:val="18"/>
                            <w:szCs w:val="18"/>
                          </w:rPr>
                        </w:pPr>
                        <w:r>
                          <w:rPr>
                            <w:sz w:val="18"/>
                            <w:szCs w:val="18"/>
                          </w:rPr>
                          <w:t>8. Lėtinis kvėpavimo nepakankamumas I–II</w:t>
                          <w:sym w:font="Symbol" w:char="F0B0"/>
                          <w:t xml:space="preserve"> J96.1</w:t>
                        </w:r>
                      </w:p>
                      <w:p>
                        <w:pPr>
                          <w:rPr>
                            <w:sz w:val="18"/>
                            <w:szCs w:val="18"/>
                          </w:rPr>
                        </w:pPr>
                        <w:r>
                          <w:rPr>
                            <w:sz w:val="18"/>
                            <w:szCs w:val="18"/>
                          </w:rPr>
                          <w:t xml:space="preserve">9. Lėtinės kepenų ligos  K70–K77</w:t>
                        </w:r>
                      </w:p>
                      <w:p>
                        <w:pPr>
                          <w:tabs>
                            <w:tab w:val="left" w:pos="225"/>
                          </w:tabs>
                          <w:rPr>
                            <w:sz w:val="18"/>
                            <w:szCs w:val="18"/>
                          </w:rPr>
                        </w:pPr>
                        <w:r>
                          <w:rPr>
                            <w:sz w:val="18"/>
                            <w:szCs w:val="18"/>
                          </w:rPr>
                          <w:t xml:space="preserve">10. Lėtinės inkstų ligos  N00–N08, N10–N16, N17–N19, N20–N23</w:t>
                        </w:r>
                      </w:p>
                      <w:p>
                        <w:pPr>
                          <w:rPr>
                            <w:sz w:val="18"/>
                            <w:szCs w:val="18"/>
                          </w:rPr>
                        </w:pPr>
                        <w:r>
                          <w:rPr>
                            <w:sz w:val="18"/>
                            <w:szCs w:val="18"/>
                          </w:rPr>
                          <w:t>11. Psichikos ligos F00–F09, F20–F29, F70–F79, F80–F89, F99</w:t>
                        </w:r>
                      </w:p>
                      <w:p>
                        <w:pPr>
                          <w:rPr>
                            <w:sz w:val="18"/>
                            <w:szCs w:val="18"/>
                          </w:rPr>
                        </w:pPr>
                        <w:r>
                          <w:rPr>
                            <w:sz w:val="18"/>
                            <w:szCs w:val="18"/>
                          </w:rPr>
                          <w:t xml:space="preserve">12. Kraujo ir kraujodaros organų ligos  D50–D53, D55–D59, D60–D64, D65–D69, D70–D77</w:t>
                        </w:r>
                      </w:p>
                      <w:p>
                        <w:pPr>
                          <w:rPr>
                            <w:sz w:val="18"/>
                            <w:szCs w:val="18"/>
                          </w:rPr>
                        </w:pPr>
                        <w:r>
                          <w:rPr>
                            <w:sz w:val="18"/>
                            <w:szCs w:val="18"/>
                          </w:rPr>
                          <w:t>13. Nėštumas Z32, Z33, Z34, Z35</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oftalmologas, pulmonologas, dermatovenerologas, gastroenterologas, nefrologas, hematologas</w:t>
                        </w:r>
                      </w:p>
                    </w:tc>
                    <w:tc>
                      <w:tcPr>
                        <w:tcW w:w="2755" w:type="dxa"/>
                      </w:tcPr>
                      <w:p>
                        <w:pPr>
                          <w:rPr>
                            <w:sz w:val="18"/>
                            <w:szCs w:val="18"/>
                          </w:rPr>
                        </w:pPr>
                        <w:r>
                          <w:rPr>
                            <w:sz w:val="18"/>
                            <w:szCs w:val="18"/>
                          </w:rPr>
                          <w:t>Klinikinis kraujo tyrimas</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1.30. Fenoliai ir jų dariniai (chlorfenoliai, krezoliai, butilfenoliai ir kt.) (O) </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 xml:space="preserve">Radiologas </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rPr>
                            <w:sz w:val="18"/>
                            <w:szCs w:val="18"/>
                          </w:rPr>
                        </w:pPr>
                        <w:r>
                          <w:rPr>
                            <w:sz w:val="18"/>
                            <w:szCs w:val="18"/>
                          </w:rPr>
                          <w:t>3. Lėtinis kvėpavimo nepakankamumas I–II</w:t>
                          <w:sym w:font="Symbol" w:char="F0B0"/>
                          <w:t xml:space="preserve"> J96.1</w:t>
                        </w:r>
                      </w:p>
                      <w:p>
                        <w:pPr>
                          <w:rPr>
                            <w:sz w:val="18"/>
                            <w:szCs w:val="18"/>
                          </w:rPr>
                        </w:pPr>
                        <w:r>
                          <w:rPr>
                            <w:sz w:val="18"/>
                            <w:szCs w:val="18"/>
                          </w:rPr>
                          <w:t xml:space="preserve">4. Priekinės akių dalies ligos (vokų, junginės, ragenos, ašarų takų)  H00–H06, H10–H13, H15–H20</w:t>
                        </w:r>
                      </w:p>
                      <w:p>
                        <w:pPr>
                          <w:rPr>
                            <w:sz w:val="18"/>
                            <w:szCs w:val="18"/>
                          </w:rPr>
                        </w:pPr>
                        <w:r>
                          <w:rPr>
                            <w:sz w:val="18"/>
                            <w:szCs w:val="18"/>
                          </w:rPr>
                          <w:t xml:space="preserve">5.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oftalmologas, dermatovenerologas, pulmonologas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1.31. Fluoras ir jo junginiai (vandenilio fluoridas, fluoridai, fluoritai ir kt.) (Ū)</w:t>
                        </w:r>
                      </w:p>
                    </w:tc>
                    <w:tc>
                      <w:tcPr>
                        <w:tcW w:w="1653" w:type="dxa"/>
                        <w:vMerge w:val="restart"/>
                      </w:tcPr>
                      <w:p>
                        <w:pPr>
                          <w:rPr>
                            <w:sz w:val="18"/>
                            <w:szCs w:val="18"/>
                          </w:rPr>
                        </w:pPr>
                        <w:r>
                          <w:rPr>
                            <w:sz w:val="18"/>
                            <w:szCs w:val="18"/>
                          </w:rPr>
                          <w:t>Gamyba, naudojimas, procesai, susiję su jo išsiskyrimu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neurologas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atrofiniai pakitimai. Hipertrofinis laringitas. Nosies pertvaros iškrypimai  J30–J31, J34.2, J37–J39</w:t>
                        </w:r>
                      </w:p>
                      <w:p>
                        <w:pPr>
                          <w:rPr>
                            <w:sz w:val="18"/>
                            <w:szCs w:val="18"/>
                          </w:rPr>
                        </w:pPr>
                        <w:r>
                          <w:rPr>
                            <w:sz w:val="18"/>
                            <w:szCs w:val="18"/>
                          </w:rPr>
                          <w:t>2. Galūnių polineuropatijos G60–G64</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Burnos ertmės ligos (lėtinis gingivitas, stomatitas, parodontitas) K05.1,  K12, K05.3</w:t>
                        </w:r>
                      </w:p>
                      <w:p>
                        <w:pPr>
                          <w:rPr>
                            <w:sz w:val="18"/>
                            <w:szCs w:val="18"/>
                          </w:rPr>
                        </w:pPr>
                        <w:r>
                          <w:rPr>
                            <w:sz w:val="18"/>
                            <w:szCs w:val="18"/>
                          </w:rPr>
                          <w:t xml:space="preserve">7. Lėtinės odos ligos  L02, L08, L10–L14, L20–L30, L40, L50–L54 </w:t>
                        </w:r>
                      </w:p>
                      <w:p>
                        <w:pPr>
                          <w:rPr>
                            <w:sz w:val="18"/>
                            <w:szCs w:val="18"/>
                          </w:rPr>
                        </w:pPr>
                        <w:r>
                          <w:rPr>
                            <w:sz w:val="18"/>
                            <w:szCs w:val="18"/>
                          </w:rPr>
                          <w:t xml:space="preserve">8. Priekinės akių dalies ligos (vokų, junginės, ragenos, ašarų takų)  H00–H06, H10–H13, H15–H20</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otorinolaringologas, oftalmologas, </w:t>
                        </w:r>
                      </w:p>
                      <w:p>
                        <w:pPr>
                          <w:rPr>
                            <w:sz w:val="18"/>
                            <w:szCs w:val="18"/>
                          </w:rPr>
                        </w:pPr>
                        <w:r>
                          <w:rPr>
                            <w:sz w:val="18"/>
                            <w:szCs w:val="18"/>
                          </w:rPr>
                          <w:t>pulmonologas, odontologas,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1.32. Formaldehidas (Ū, J, K) ir kiti alifatiniai aldehidai</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ligos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Priekinės akių dalies ligos (vokų, junginės, ragenos, ašarų takų)  H00–H06, H10–H13, H15–H20</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w:t>
                        </w:r>
                      </w:p>
                      <w:p>
                        <w:pPr>
                          <w:rPr>
                            <w:sz w:val="18"/>
                            <w:szCs w:val="18"/>
                          </w:rPr>
                        </w:pPr>
                        <w:r>
                          <w:rPr>
                            <w:sz w:val="18"/>
                            <w:szCs w:val="18"/>
                          </w:rPr>
                          <w:t>oftalmologas, pulmonologas, onkologas radioterapeutas, onkologas chemoterapeutas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1.33. Fosforas ir jo junginiai (geltonasis fosforas (K), fosforo pentoksidas, fosforo chloroksidas (Ū, O), fosforo trichloridas, fosforo rūgštis, fosfatai ir kt.)</w:t>
                        </w:r>
                      </w:p>
                    </w:tc>
                    <w:tc>
                      <w:tcPr>
                        <w:tcW w:w="1653" w:type="dxa"/>
                        <w:vMerge w:val="restart"/>
                      </w:tcPr>
                      <w:p>
                        <w:pPr>
                          <w:rPr>
                            <w:sz w:val="18"/>
                            <w:szCs w:val="18"/>
                          </w:rPr>
                        </w:pPr>
                        <w:r>
                          <w:rPr>
                            <w:sz w:val="18"/>
                            <w:szCs w:val="18"/>
                          </w:rPr>
                          <w:t>Gamyba, naudojimas, procesai susiję su jų išsiskyrimu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Priekinės akių dalies ligos (vokų, junginės, ragenos, ašarų takų)  H00–H06, H10–H13, H15–H20</w:t>
                        </w:r>
                      </w:p>
                      <w:p>
                        <w:pPr>
                          <w:rPr>
                            <w:sz w:val="18"/>
                            <w:szCs w:val="18"/>
                          </w:rPr>
                        </w:pPr>
                        <w:r>
                          <w:rPr>
                            <w:sz w:val="18"/>
                            <w:szCs w:val="18"/>
                          </w:rPr>
                          <w:t>6. Galūnių polineuropatijos G60–G64</w:t>
                        </w:r>
                      </w:p>
                      <w:p>
                        <w:pPr>
                          <w:rPr>
                            <w:sz w:val="18"/>
                            <w:szCs w:val="18"/>
                          </w:rPr>
                        </w:pPr>
                        <w:r>
                          <w:rPr>
                            <w:sz w:val="18"/>
                            <w:szCs w:val="18"/>
                          </w:rPr>
                          <w:t xml:space="preserve">7. Lėtinės kepenų ligos  K70–K77  </w:t>
                        </w:r>
                      </w:p>
                      <w:p>
                        <w:pPr>
                          <w:rPr>
                            <w:sz w:val="18"/>
                            <w:szCs w:val="18"/>
                          </w:rPr>
                        </w:pPr>
                        <w:r>
                          <w:rPr>
                            <w:sz w:val="18"/>
                            <w:szCs w:val="18"/>
                          </w:rPr>
                          <w:t xml:space="preserve">8.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otorinolaringologas, oftalmologas, </w:t>
                        </w:r>
                      </w:p>
                      <w:p>
                        <w:pPr>
                          <w:rPr>
                            <w:sz w:val="18"/>
                            <w:szCs w:val="18"/>
                          </w:rPr>
                        </w:pPr>
                        <w:r>
                          <w:rPr>
                            <w:sz w:val="18"/>
                            <w:szCs w:val="18"/>
                          </w:rPr>
                          <w:t>neurologas, gastroenterologas,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1.34. Furanas ir jo dariniai (furfurolas, tetrahidrofuranas ir kt.) (O)</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w:t>
                        </w:r>
                      </w:p>
                    </w:tc>
                    <w:tc>
                      <w:tcPr>
                        <w:tcW w:w="2437" w:type="dxa"/>
                        <w:vMerge w:val="restart"/>
                      </w:tcPr>
                      <w:p>
                        <w:pPr>
                          <w:rPr>
                            <w:sz w:val="18"/>
                            <w:szCs w:val="18"/>
                          </w:rPr>
                        </w:pPr>
                        <w:r>
                          <w:rPr>
                            <w:sz w:val="18"/>
                            <w:szCs w:val="18"/>
                          </w:rPr>
                          <w:t xml:space="preserve">1. Hiperplastinis laringitas  J37.0 </w:t>
                        </w:r>
                      </w:p>
                      <w:p>
                        <w:pPr>
                          <w:rPr>
                            <w:sz w:val="18"/>
                            <w:szCs w:val="18"/>
                          </w:rPr>
                        </w:pPr>
                        <w:r>
                          <w:rPr>
                            <w:sz w:val="18"/>
                            <w:szCs w:val="18"/>
                          </w:rPr>
                          <w:t xml:space="preserve">2. Priekinės akių dalies ligos (vokų, junginės, ragenos, ašarų takų)  H00–H06, H10–H13, H15–H20</w:t>
                        </w:r>
                      </w:p>
                      <w:p>
                        <w:pPr>
                          <w:rPr>
                            <w:sz w:val="18"/>
                            <w:szCs w:val="18"/>
                          </w:rPr>
                        </w:pPr>
                        <w:r>
                          <w:rPr>
                            <w:sz w:val="18"/>
                            <w:szCs w:val="18"/>
                          </w:rPr>
                          <w:t xml:space="preserve">3.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oftalmologas,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pageBreakBefore/>
                          <w:rPr>
                            <w:sz w:val="18"/>
                            <w:szCs w:val="18"/>
                          </w:rPr>
                        </w:pPr>
                        <w:r>
                          <w:rPr>
                            <w:sz w:val="18"/>
                            <w:szCs w:val="18"/>
                          </w:rPr>
                          <w:t xml:space="preserve">1.35. Gyvsidabris ir jo junginiai (K, O), gyvsidabrio garai (K) </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pageBreakBefore/>
                          <w:rPr>
                            <w:sz w:val="18"/>
                            <w:szCs w:val="18"/>
                          </w:rPr>
                        </w:pPr>
                        <w:r>
                          <w:rPr>
                            <w:sz w:val="18"/>
                            <w:szCs w:val="18"/>
                          </w:rPr>
                          <w:t>Neurologas, odontologas</w:t>
                        </w:r>
                      </w:p>
                      <w:p>
                        <w:pPr>
                          <w:pageBreakBefore/>
                          <w:rPr>
                            <w:sz w:val="18"/>
                            <w:szCs w:val="18"/>
                          </w:rPr>
                        </w:pPr>
                        <w:r>
                          <w:rPr>
                            <w:sz w:val="18"/>
                            <w:szCs w:val="18"/>
                          </w:rPr>
                          <w:t>(privaloma)</w:t>
                        </w:r>
                      </w:p>
                    </w:tc>
                    <w:tc>
                      <w:tcPr>
                        <w:tcW w:w="2755" w:type="dxa"/>
                      </w:tcPr>
                      <w:p>
                        <w:pPr>
                          <w:pageBreakBefore/>
                          <w:rPr>
                            <w:sz w:val="18"/>
                            <w:szCs w:val="18"/>
                          </w:rPr>
                        </w:pPr>
                        <w:r>
                          <w:rPr>
                            <w:sz w:val="18"/>
                            <w:szCs w:val="18"/>
                          </w:rPr>
                          <w:t xml:space="preserve">Kraujo tyrimas hematologiniu analizatoriumi (eritrocitai, hemoglobinas, leukocitai, trombocitai), ENG, šlapimo tyrimas  analizatoriumi, gyvsidabris šlapime </w:t>
                        </w:r>
                      </w:p>
                    </w:tc>
                    <w:tc>
                      <w:tcPr>
                        <w:tcW w:w="2437" w:type="dxa"/>
                        <w:vMerge w:val="restart"/>
                      </w:tcPr>
                      <w:p>
                        <w:pPr>
                          <w:pageBreakBefore/>
                          <w:rPr>
                            <w:sz w:val="18"/>
                            <w:szCs w:val="18"/>
                          </w:rPr>
                        </w:pPr>
                        <w:r>
                          <w:rPr>
                            <w:sz w:val="18"/>
                            <w:szCs w:val="18"/>
                          </w:rPr>
                          <w:t>1. Galūnių polineuropatijos G60–G64</w:t>
                        </w:r>
                      </w:p>
                      <w:p>
                        <w:pPr>
                          <w:pageBreakBefore/>
                          <w:rPr>
                            <w:sz w:val="18"/>
                            <w:szCs w:val="18"/>
                          </w:rPr>
                        </w:pPr>
                        <w:r>
                          <w:rPr>
                            <w:sz w:val="18"/>
                            <w:szCs w:val="18"/>
                          </w:rPr>
                          <w:t xml:space="preserve">2. Žandikaulių ir dantų ligos (lėtinis gingivitas, stomatitas, parodontitas)  K05.1,  K12, K05.3</w:t>
                        </w:r>
                      </w:p>
                      <w:p>
                        <w:pPr>
                          <w:pageBreakBefore/>
                          <w:rPr>
                            <w:sz w:val="18"/>
                            <w:szCs w:val="18"/>
                          </w:rPr>
                        </w:pPr>
                        <w:r>
                          <w:rPr>
                            <w:sz w:val="18"/>
                            <w:szCs w:val="18"/>
                          </w:rPr>
                          <w:t xml:space="preserve">3. Lėtinės odos ligos  L02, L08, L10–L14, L20–L30, L40, L50–L54</w:t>
                        </w:r>
                      </w:p>
                      <w:p>
                        <w:pPr>
                          <w:pageBreakBefore/>
                          <w:rPr>
                            <w:sz w:val="18"/>
                            <w:szCs w:val="18"/>
                          </w:rPr>
                        </w:pPr>
                        <w:r>
                          <w:rPr>
                            <w:sz w:val="18"/>
                            <w:szCs w:val="18"/>
                          </w:rPr>
                          <w:t xml:space="preserve">4. Lėtinės inkstų ligos  N00–N08, N10–N16, N17–N19, N20–N23</w:t>
                        </w:r>
                      </w:p>
                      <w:p>
                        <w:pPr>
                          <w:pageBreakBefore/>
                          <w:rPr>
                            <w:sz w:val="18"/>
                            <w:szCs w:val="18"/>
                          </w:rPr>
                        </w:pPr>
                        <w:r>
                          <w:rPr>
                            <w:sz w:val="18"/>
                            <w:szCs w:val="18"/>
                          </w:rPr>
                          <w:t>5. Navikiniai susirgimai anamnezėje C00–D48</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dermatovenerologas, </w:t>
                        </w:r>
                      </w:p>
                      <w:p>
                        <w:pPr>
                          <w:rPr>
                            <w:sz w:val="18"/>
                            <w:szCs w:val="18"/>
                          </w:rPr>
                        </w:pPr>
                        <w:r>
                          <w:rPr>
                            <w:sz w:val="18"/>
                            <w:szCs w:val="18"/>
                          </w:rPr>
                          <w:t>nefrologas, onkologas radioterapeutas, onkologas chemoterapeutas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1.36. Hidrazinas ir jo junginiai (O) </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kardiologas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 bendras baltymas kraujo serume, ALT, AST, cholesterolis kraujo serume</w:t>
                        </w:r>
                      </w:p>
                    </w:tc>
                    <w:tc>
                      <w:tcPr>
                        <w:tcW w:w="2437" w:type="dxa"/>
                        <w:vMerge w:val="restart"/>
                      </w:tcPr>
                      <w:p>
                        <w:pPr>
                          <w:rPr>
                            <w:sz w:val="18"/>
                            <w:szCs w:val="18"/>
                          </w:rPr>
                        </w:pPr>
                        <w:r>
                          <w:rPr>
                            <w:sz w:val="18"/>
                            <w:szCs w:val="18"/>
                          </w:rPr>
                          <w:t xml:space="preserve">1. Lėtinės kepenų ligos  K70–K77  </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Lėtinės odos ligos  L02, L08, L10–L14, L20–L30, L40, L50–L54</w:t>
                        </w:r>
                      </w:p>
                      <w:p>
                        <w:pPr>
                          <w:rPr>
                            <w:sz w:val="18"/>
                            <w:szCs w:val="18"/>
                          </w:rPr>
                        </w:pPr>
                        <w:r>
                          <w:rPr>
                            <w:sz w:val="18"/>
                            <w:szCs w:val="18"/>
                          </w:rPr>
                          <w:t>6. Kraujotakos sistemos ligos I00–I99</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gastroenterologas, dermatovenerologas, pulmonologas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1.37. Izocianatai</w:t>
                        </w:r>
                      </w:p>
                      <w:p>
                        <w:pPr>
                          <w:rPr>
                            <w:sz w:val="18"/>
                            <w:szCs w:val="18"/>
                          </w:rPr>
                        </w:pPr>
                        <w:r>
                          <w:rPr>
                            <w:sz w:val="18"/>
                            <w:szCs w:val="18"/>
                          </w:rPr>
                          <w:t xml:space="preserve">(Ū J) </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 xml:space="preserve">1. Viršutinių kvėpavimo takų atrofiniai pakitimai. Hipertrofinis rinitas, laringitas  J30–J31, J37–J39</w:t>
                        </w:r>
                      </w:p>
                      <w:p>
                        <w:pPr>
                          <w:rPr>
                            <w:sz w:val="18"/>
                            <w:szCs w:val="18"/>
                          </w:rPr>
                        </w:pPr>
                        <w:r>
                          <w:rPr>
                            <w:sz w:val="18"/>
                            <w:szCs w:val="18"/>
                          </w:rPr>
                          <w:t>2. Astma J45</w:t>
                        </w:r>
                      </w:p>
                      <w:p>
                        <w:pPr>
                          <w:rPr>
                            <w:sz w:val="18"/>
                            <w:szCs w:val="18"/>
                          </w:rPr>
                        </w:pPr>
                      </w:p>
                      <w:p>
                        <w:pPr>
                          <w:rPr>
                            <w:sz w:val="18"/>
                            <w:szCs w:val="18"/>
                          </w:rPr>
                        </w:pP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pulmonologas, radiologas</w:t>
                        </w:r>
                      </w:p>
                    </w:tc>
                    <w:tc>
                      <w:tcPr>
                        <w:tcW w:w="2755" w:type="dxa"/>
                      </w:tcPr>
                      <w:p>
                        <w:pPr>
                          <w:rPr>
                            <w:sz w:val="18"/>
                            <w:szCs w:val="18"/>
                          </w:rPr>
                        </w:pPr>
                        <w:r>
                          <w:rPr>
                            <w:sz w:val="18"/>
                            <w:szCs w:val="18"/>
                          </w:rPr>
                          <w:t>Esant indikacijų – KLR</w:t>
                        </w:r>
                      </w:p>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1.38. Kadmis ir jo junginiai (K) </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atrofiniai pakitimai. Nosies pertvaros iškrypimas su kvėpavimo funkcijos sutrikimu  J30–J31, J34.2,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Lėtinės inkstų ligos  N00–N08, N10–N16, N17–N19, N20–N23</w:t>
                        </w:r>
                      </w:p>
                      <w:p>
                        <w:pPr>
                          <w:rPr>
                            <w:sz w:val="18"/>
                            <w:szCs w:val="18"/>
                          </w:rPr>
                        </w:pPr>
                        <w:r>
                          <w:rPr>
                            <w:sz w:val="18"/>
                            <w:szCs w:val="18"/>
                          </w:rPr>
                          <w:t xml:space="preserve">6. Kraujo ir kraujodaros organų ligos  D50–D53, D55–D59, D60–D64, D65–D69, D70–D77</w:t>
                        </w:r>
                      </w:p>
                      <w:p>
                        <w:pPr>
                          <w:rPr>
                            <w:sz w:val="18"/>
                            <w:szCs w:val="18"/>
                          </w:rPr>
                        </w:pPr>
                        <w:r>
                          <w:rPr>
                            <w:sz w:val="18"/>
                            <w:szCs w:val="18"/>
                          </w:rPr>
                          <w:t>7. Gerybinė prostatos hiperplazija N40</w:t>
                        </w:r>
                      </w:p>
                      <w:p>
                        <w:pPr>
                          <w:rPr>
                            <w:sz w:val="18"/>
                            <w:szCs w:val="18"/>
                          </w:rPr>
                        </w:pPr>
                        <w:r>
                          <w:rPr>
                            <w:sz w:val="18"/>
                            <w:szCs w:val="18"/>
                          </w:rPr>
                          <w:t>8. Navikiniai susirgimai anamnezėje C00–D48</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otorinolaringologas, pulmonologas, nefrologas, hematologas, onkologas radioterapeutas, onkologas chemoterapeutas </w:t>
                        </w:r>
                      </w:p>
                    </w:tc>
                    <w:tc>
                      <w:tcPr>
                        <w:tcW w:w="2755" w:type="dxa"/>
                      </w:tcPr>
                      <w:p>
                        <w:pPr>
                          <w:rPr>
                            <w:sz w:val="18"/>
                            <w:szCs w:val="18"/>
                          </w:rPr>
                        </w:pPr>
                        <w:r>
                          <w:rPr>
                            <w:sz w:val="18"/>
                            <w:szCs w:val="18"/>
                          </w:rPr>
                          <w:t>Esant indikacijų –leukograma</w:t>
                        </w:r>
                      </w:p>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1.39. Koksavimo dujos ir kiti koksavimo produktai</w:t>
                        </w:r>
                      </w:p>
                    </w:tc>
                    <w:tc>
                      <w:tcPr>
                        <w:tcW w:w="1653" w:type="dxa"/>
                        <w:vMerge w:val="restart"/>
                      </w:tcPr>
                      <w:p>
                        <w:pPr>
                          <w:rPr>
                            <w:sz w:val="18"/>
                            <w:szCs w:val="18"/>
                          </w:rPr>
                        </w:pPr>
                        <w:r>
                          <w:rPr>
                            <w:sz w:val="18"/>
                            <w:szCs w:val="18"/>
                          </w:rPr>
                          <w:t>Naudojimas, procesai, susiję su jų išsiskyrivmu, asfaltbetoninių dangų paruošimas ir klojimas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atrofiniai pakitimai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Kraujo ir kraujodaros organų ligos  D50–D53, D55–D59, D60–D64, D65–D69, D70–D77</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hematologas, pulmonologas</w:t>
                        </w:r>
                      </w:p>
                    </w:tc>
                    <w:tc>
                      <w:tcPr>
                        <w:tcW w:w="2755" w:type="dxa"/>
                      </w:tcPr>
                      <w:p>
                        <w:pPr>
                          <w:rPr>
                            <w:sz w:val="18"/>
                            <w:szCs w:val="18"/>
                          </w:rPr>
                        </w:pPr>
                        <w:r>
                          <w:rPr>
                            <w:sz w:val="18"/>
                            <w:szCs w:val="18"/>
                          </w:rPr>
                          <w:t xml:space="preserve">Esant indikacijų – leukograma </w:t>
                        </w:r>
                      </w:p>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1.40. Litis ir jo junginiai</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 xml:space="preserve">Neurologas </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w:t>
                        </w:r>
                      </w:p>
                    </w:tc>
                    <w:tc>
                      <w:tcPr>
                        <w:tcW w:w="2437" w:type="dxa"/>
                        <w:vMerge w:val="restart"/>
                      </w:tcPr>
                      <w:p>
                        <w:pPr>
                          <w:rPr>
                            <w:sz w:val="18"/>
                            <w:szCs w:val="18"/>
                          </w:rPr>
                        </w:pPr>
                        <w:r>
                          <w:rPr>
                            <w:sz w:val="18"/>
                            <w:szCs w:val="18"/>
                          </w:rPr>
                          <w:t xml:space="preserve">1. Lėtinės odos ligos  L02, L08, L10–L14, L20–L30, L40, L50–L54</w:t>
                        </w:r>
                      </w:p>
                      <w:p>
                        <w:pPr>
                          <w:rPr>
                            <w:sz w:val="18"/>
                            <w:szCs w:val="18"/>
                          </w:rPr>
                        </w:pPr>
                        <w:r>
                          <w:rPr>
                            <w:sz w:val="18"/>
                            <w:szCs w:val="18"/>
                          </w:rPr>
                          <w:t xml:space="preserve">2. Priekinės akių dalies ligos (vokų, junginės, ragenos, ašarų takų)  H00–H06, H10–H13, H15–H20</w:t>
                        </w:r>
                      </w:p>
                      <w:p>
                        <w:pPr>
                          <w:rPr>
                            <w:sz w:val="18"/>
                            <w:szCs w:val="18"/>
                          </w:rPr>
                        </w:pPr>
                        <w:r>
                          <w:rPr>
                            <w:sz w:val="18"/>
                            <w:szCs w:val="18"/>
                          </w:rPr>
                          <w:t xml:space="preserve">3. CNS ligos  G00–G09, G10–G13, G30–G32 </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oftalmologas, dermatovenerologas</w:t>
                        </w:r>
                      </w:p>
                    </w:tc>
                    <w:tc>
                      <w:tcPr>
                        <w:tcW w:w="2755" w:type="dxa"/>
                      </w:tcPr>
                      <w:p>
                        <w:pPr>
                          <w:rPr>
                            <w:sz w:val="18"/>
                            <w:szCs w:val="18"/>
                          </w:rPr>
                        </w:pPr>
                        <w:r>
                          <w:rPr>
                            <w:sz w:val="18"/>
                            <w:szCs w:val="18"/>
                          </w:rPr>
                          <w:t>Esant indikacijų –</w:t>
                        </w:r>
                      </w:p>
                      <w:p>
                        <w:pPr>
                          <w:rPr>
                            <w:sz w:val="18"/>
                            <w:szCs w:val="18"/>
                          </w:rPr>
                        </w:pPr>
                        <w:r>
                          <w:rPr>
                            <w:sz w:val="18"/>
                            <w:szCs w:val="18"/>
                          </w:rPr>
                          <w:t>litis kraujo serume</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1.41. Manganas ir jo junginiai</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neurologas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CNS ligos  G00–G09, G10–G13, G30–G32</w:t>
                        </w:r>
                      </w:p>
                      <w:p>
                        <w:pPr>
                          <w:rPr>
                            <w:sz w:val="18"/>
                            <w:szCs w:val="18"/>
                          </w:rPr>
                        </w:pPr>
                        <w:r>
                          <w:rPr>
                            <w:sz w:val="18"/>
                            <w:szCs w:val="18"/>
                          </w:rPr>
                          <w:t xml:space="preserve">2. Galūnių polineuropatijos  G60–G64</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Lėtinės inkstų ligos  N00–N08, N10–N16, N17–N19, N20–N23</w:t>
                        </w:r>
                      </w:p>
                      <w:p>
                        <w:pPr>
                          <w:rPr>
                            <w:sz w:val="18"/>
                            <w:szCs w:val="18"/>
                          </w:rPr>
                        </w:pPr>
                        <w:r>
                          <w:rPr>
                            <w:sz w:val="18"/>
                            <w:szCs w:val="18"/>
                          </w:rPr>
                          <w:t xml:space="preserve">7. Kraujo ir kraujodaros organų ligos  D50–D53, D55–D59, D60–D64, D65–D69, D70–D77</w:t>
                        </w:r>
                      </w:p>
                      <w:p>
                        <w:pPr>
                          <w:rPr>
                            <w:sz w:val="18"/>
                            <w:szCs w:val="18"/>
                          </w:rPr>
                        </w:pPr>
                        <w:r>
                          <w:rPr>
                            <w:sz w:val="18"/>
                            <w:szCs w:val="18"/>
                          </w:rPr>
                          <w:t>8. Alerginės odos ligos L23</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pulmonologas, hematologas, nefrologas, dermatovenerologas</w:t>
                        </w:r>
                      </w:p>
                    </w:tc>
                    <w:tc>
                      <w:tcPr>
                        <w:tcW w:w="2755" w:type="dxa"/>
                      </w:tcPr>
                      <w:p>
                        <w:pPr>
                          <w:rPr>
                            <w:sz w:val="18"/>
                            <w:szCs w:val="18"/>
                          </w:rPr>
                        </w:pPr>
                      </w:p>
                    </w:tc>
                    <w:tc>
                      <w:tcPr>
                        <w:tcW w:w="2437" w:type="dxa"/>
                        <w:vMerge/>
                      </w:tcPr>
                      <w:p>
                        <w:pPr>
                          <w:rPr>
                            <w:sz w:val="18"/>
                            <w:szCs w:val="18"/>
                          </w:rPr>
                        </w:pPr>
                      </w:p>
                    </w:tc>
                  </w:tr>
                  <w:tr>
                    <w:trPr>
                      <w:cantSplit/>
                      <w:trHeight w:val="142"/>
                    </w:trPr>
                    <w:tc>
                      <w:tcPr>
                        <w:tcW w:w="2447" w:type="dxa"/>
                        <w:vMerge w:val="restart"/>
                      </w:tcPr>
                      <w:p>
                        <w:pPr>
                          <w:rPr>
                            <w:sz w:val="18"/>
                            <w:szCs w:val="18"/>
                          </w:rPr>
                        </w:pPr>
                        <w:r>
                          <w:rPr>
                            <w:sz w:val="18"/>
                            <w:szCs w:val="18"/>
                          </w:rPr>
                          <w:t>1.42. Metalai: (kobaltas (J), vanadis, molibdenas, titanas cirkonis (F), volframas) ir jų junginiai</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Lėtinės inkstų ligos  N00–N08, N10–N16, N17–N19, N20–N23</w:t>
                        </w:r>
                      </w:p>
                      <w:p>
                        <w:pPr>
                          <w:rPr>
                            <w:sz w:val="18"/>
                            <w:szCs w:val="18"/>
                          </w:rPr>
                        </w:pPr>
                        <w:r>
                          <w:rPr>
                            <w:sz w:val="18"/>
                            <w:szCs w:val="18"/>
                          </w:rPr>
                          <w:t xml:space="preserve">6. Kraujo ir kraujodaros organų ligos  D50–D53, D55–D59, D60–D64, D65–D69, D70–D77</w:t>
                        </w:r>
                      </w:p>
                      <w:p>
                        <w:pPr>
                          <w:rPr>
                            <w:sz w:val="18"/>
                            <w:szCs w:val="18"/>
                          </w:rPr>
                        </w:pPr>
                        <w:r>
                          <w:rPr>
                            <w:sz w:val="18"/>
                            <w:szCs w:val="18"/>
                          </w:rPr>
                          <w:t xml:space="preserve">7. Alerginės odos ligos  L23</w:t>
                        </w:r>
                      </w:p>
                      <w:p>
                        <w:pPr>
                          <w:rPr>
                            <w:sz w:val="18"/>
                            <w:szCs w:val="18"/>
                          </w:rPr>
                        </w:pPr>
                        <w:r>
                          <w:rPr>
                            <w:sz w:val="18"/>
                            <w:szCs w:val="18"/>
                          </w:rPr>
                          <w:t xml:space="preserve">8. Lėtinės kepenų ligos  K70–K77  </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neurologas, pulmonologas, hematologas, nefrologas, dermatovenerologas, onkologas radioterapeutas, onkologas</w:t>
                        </w:r>
                      </w:p>
                      <w:p>
                        <w:pPr>
                          <w:rPr>
                            <w:sz w:val="18"/>
                            <w:szCs w:val="18"/>
                          </w:rPr>
                        </w:pPr>
                        <w:r>
                          <w:rPr>
                            <w:sz w:val="18"/>
                            <w:szCs w:val="18"/>
                          </w:rPr>
                          <w:t>chemoterapeutas,</w:t>
                        </w:r>
                      </w:p>
                      <w:p>
                        <w:pPr>
                          <w:rPr>
                            <w:sz w:val="18"/>
                            <w:szCs w:val="18"/>
                          </w:rPr>
                        </w:pPr>
                        <w:r>
                          <w:rPr>
                            <w:sz w:val="18"/>
                            <w:szCs w:val="18"/>
                          </w:rPr>
                          <w:t>gastroenterologas</w:t>
                        </w:r>
                      </w:p>
                    </w:tc>
                    <w:tc>
                      <w:tcPr>
                        <w:tcW w:w="2755" w:type="dxa"/>
                      </w:tcPr>
                      <w:p>
                        <w:pPr>
                          <w:rPr>
                            <w:sz w:val="18"/>
                            <w:szCs w:val="18"/>
                          </w:rPr>
                        </w:pPr>
                        <w:r>
                          <w:rPr>
                            <w:sz w:val="18"/>
                            <w:szCs w:val="18"/>
                          </w:rPr>
                          <w:t xml:space="preserve">Esant indikacijų – baltymas kraujo serume, ALT, AST,  EKG</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1.43. Metanolis (O)</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Psichiatras, oftalmologas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akių dugno tyrimas</w:t>
                        </w:r>
                      </w:p>
                    </w:tc>
                    <w:tc>
                      <w:tcPr>
                        <w:tcW w:w="2437" w:type="dxa"/>
                        <w:vMerge w:val="restart"/>
                      </w:tcPr>
                      <w:p>
                        <w:pPr>
                          <w:rPr>
                            <w:sz w:val="18"/>
                            <w:szCs w:val="18"/>
                          </w:rPr>
                        </w:pPr>
                        <w:r>
                          <w:rPr>
                            <w:sz w:val="18"/>
                            <w:szCs w:val="18"/>
                          </w:rPr>
                          <w:t>1. Regos nervo ir tinklainės ligos H46–H48, H33–H25</w:t>
                        </w:r>
                      </w:p>
                      <w:p>
                        <w:pPr>
                          <w:tabs>
                            <w:tab w:val="num" w:pos="286"/>
                          </w:tabs>
                          <w:rPr>
                            <w:sz w:val="18"/>
                            <w:szCs w:val="18"/>
                          </w:rPr>
                        </w:pPr>
                        <w:r>
                          <w:rPr>
                            <w:sz w:val="18"/>
                            <w:szCs w:val="18"/>
                          </w:rPr>
                          <w:t xml:space="preserve">2. Alkoholizmas, narkomanija, toksikomanija  F10–F19</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–neurologas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1.44. Metilacetatas</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leukograma,</w:t>
                        </w:r>
                      </w:p>
                      <w:p>
                        <w:pPr>
                          <w:rPr>
                            <w:sz w:val="18"/>
                            <w:szCs w:val="18"/>
                          </w:rPr>
                        </w:pPr>
                        <w:r>
                          <w:rPr>
                            <w:sz w:val="18"/>
                            <w:szCs w:val="18"/>
                          </w:rPr>
                          <w:t>KLR, IKFT</w:t>
                        </w:r>
                      </w:p>
                    </w:tc>
                    <w:tc>
                      <w:tcPr>
                        <w:tcW w:w="2437" w:type="dxa"/>
                        <w:vMerge w:val="restart"/>
                      </w:tcPr>
                      <w:p>
                        <w:pPr>
                          <w:rPr>
                            <w:sz w:val="18"/>
                            <w:szCs w:val="18"/>
                          </w:rPr>
                        </w:pPr>
                        <w:r>
                          <w:rPr>
                            <w:sz w:val="18"/>
                            <w:szCs w:val="18"/>
                          </w:rPr>
                          <w:t xml:space="preserve">1. Išplitę atrofiniai viršutinių kvėpavimo takų pakitimai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Lėtinės odos ligos  L02, L08, L10–L14, L20–L30, L40, L50–L54</w:t>
                        </w:r>
                      </w:p>
                      <w:p>
                        <w:pPr>
                          <w:rPr>
                            <w:sz w:val="18"/>
                            <w:szCs w:val="18"/>
                          </w:rPr>
                        </w:pPr>
                        <w:r>
                          <w:rPr>
                            <w:sz w:val="18"/>
                            <w:szCs w:val="18"/>
                          </w:rPr>
                          <w:t xml:space="preserve">6. Kraujo ir kraujodaros organų ligos  D50–D53, D55–D59, D60–D64, D65–D69, D70–D77</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pulmonologas, hematologas,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1.45. Monochloracto rūgštis (O) </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Išplitę atrofiniai viršutinių kvėpavimo takų pakitimai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pulmonologas, dermatovenerologas</w:t>
                        </w:r>
                      </w:p>
                    </w:tc>
                    <w:tc>
                      <w:tcPr>
                        <w:tcW w:w="2755" w:type="dxa"/>
                      </w:tcPr>
                      <w:p>
                        <w:pPr>
                          <w:rPr>
                            <w:sz w:val="18"/>
                            <w:szCs w:val="18"/>
                          </w:rPr>
                        </w:pPr>
                        <w:r>
                          <w:rPr>
                            <w:sz w:val="18"/>
                            <w:szCs w:val="18"/>
                          </w:rPr>
                          <w:t>Esant indikacijų – leukograma</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1.46. Nafta, naftos perdirbimo produktai, benzinas</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neurologas, psichiatras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w:t>
                        </w:r>
                      </w:p>
                      <w:p>
                        <w:pPr>
                          <w:rPr>
                            <w:sz w:val="18"/>
                            <w:szCs w:val="18"/>
                          </w:rPr>
                        </w:pPr>
                        <w:r>
                          <w:rPr>
                            <w:sz w:val="18"/>
                            <w:szCs w:val="18"/>
                          </w:rPr>
                          <w:t>KLR, IKFT</w:t>
                        </w:r>
                      </w:p>
                    </w:tc>
                    <w:tc>
                      <w:tcPr>
                        <w:tcW w:w="2437" w:type="dxa"/>
                        <w:vMerge w:val="restart"/>
                      </w:tcPr>
                      <w:p>
                        <w:pPr>
                          <w:rPr>
                            <w:sz w:val="18"/>
                            <w:szCs w:val="18"/>
                          </w:rPr>
                        </w:pPr>
                        <w:r>
                          <w:rPr>
                            <w:sz w:val="18"/>
                            <w:szCs w:val="18"/>
                          </w:rPr>
                          <w:t>1. Hiperplastinis laringitas J37</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Lėtinės inkstų ligos  N00–N08, N10–N16, N17–N19, N20–N23</w:t>
                        </w:r>
                      </w:p>
                      <w:p>
                        <w:pPr>
                          <w:rPr>
                            <w:sz w:val="18"/>
                            <w:szCs w:val="18"/>
                          </w:rPr>
                        </w:pPr>
                        <w:r>
                          <w:rPr>
                            <w:sz w:val="18"/>
                            <w:szCs w:val="18"/>
                          </w:rPr>
                          <w:t xml:space="preserve">6. Lėtinės odos ligos,  diskeratozės  L02, L08, L10–L14, L20–L30, L40, L50–L54</w:t>
                        </w:r>
                      </w:p>
                      <w:p>
                        <w:pPr>
                          <w:rPr>
                            <w:sz w:val="18"/>
                            <w:szCs w:val="18"/>
                          </w:rPr>
                        </w:pPr>
                        <w:r>
                          <w:rPr>
                            <w:sz w:val="18"/>
                            <w:szCs w:val="18"/>
                          </w:rPr>
                          <w:t xml:space="preserve">7. Lėtinės kepenų ligos  K70–K77  </w:t>
                        </w:r>
                      </w:p>
                      <w:p>
                        <w:pPr>
                          <w:rPr>
                            <w:sz w:val="18"/>
                            <w:szCs w:val="18"/>
                          </w:rPr>
                        </w:pPr>
                        <w:r>
                          <w:rPr>
                            <w:sz w:val="18"/>
                            <w:szCs w:val="18"/>
                          </w:rPr>
                          <w:t xml:space="preserve">8. Priekinės akių dalies ligos (vokų, junginės, ragenos, ašarų takų)  H00–H06, H10–H13, H15–H20</w:t>
                        </w:r>
                      </w:p>
                      <w:p>
                        <w:pPr>
                          <w:rPr>
                            <w:sz w:val="18"/>
                            <w:szCs w:val="18"/>
                          </w:rPr>
                        </w:pPr>
                        <w:r>
                          <w:rPr>
                            <w:sz w:val="18"/>
                            <w:szCs w:val="18"/>
                          </w:rPr>
                          <w:t>9. Galūnių polineuropatijos G60–G64</w:t>
                        </w:r>
                      </w:p>
                      <w:p>
                        <w:pPr>
                          <w:rPr>
                            <w:sz w:val="18"/>
                            <w:szCs w:val="18"/>
                          </w:rPr>
                        </w:pPr>
                        <w:r>
                          <w:rPr>
                            <w:sz w:val="18"/>
                            <w:szCs w:val="18"/>
                          </w:rPr>
                          <w:t xml:space="preserve">10. Narkomanija, toksikomanija  F10–F19</w:t>
                        </w:r>
                      </w:p>
                      <w:p>
                        <w:pPr>
                          <w:rPr>
                            <w:sz w:val="18"/>
                            <w:szCs w:val="18"/>
                          </w:rPr>
                        </w:pPr>
                        <w:r>
                          <w:rPr>
                            <w:sz w:val="18"/>
                            <w:szCs w:val="18"/>
                          </w:rPr>
                          <w:t xml:space="preserve">11. Kraujo ir kraujodaros organų ligos  D50–D53, D55–D59, D60–D64, D65–D69, D70–D77</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pulmonologas, hematologas, nefrologas, dermatovenerologas, </w:t>
                        </w:r>
                      </w:p>
                      <w:p>
                        <w:pPr>
                          <w:rPr>
                            <w:sz w:val="18"/>
                            <w:szCs w:val="18"/>
                          </w:rPr>
                        </w:pPr>
                        <w:r>
                          <w:rPr>
                            <w:sz w:val="18"/>
                            <w:szCs w:val="18"/>
                          </w:rPr>
                          <w:t>onkologas radioterapeutas, onkologas chemoterapeutas, gastroenterologas</w:t>
                        </w:r>
                      </w:p>
                    </w:tc>
                    <w:tc>
                      <w:tcPr>
                        <w:tcW w:w="2755" w:type="dxa"/>
                      </w:tcPr>
                      <w:p>
                        <w:pPr>
                          <w:rPr>
                            <w:sz w:val="18"/>
                            <w:szCs w:val="18"/>
                          </w:rPr>
                        </w:pPr>
                        <w:r>
                          <w:rPr>
                            <w:sz w:val="18"/>
                            <w:szCs w:val="18"/>
                          </w:rPr>
                          <w:t>Esant indikacijų –leukograma, baltymas kraujo serume, ALT, AST</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1.47. Naftalenas (naftalinas), chloruoti naftalenai ir jų junginiai</w:t>
                        </w:r>
                      </w:p>
                      <w:p>
                        <w:pPr>
                          <w:rPr>
                            <w:sz w:val="18"/>
                            <w:szCs w:val="18"/>
                          </w:rPr>
                        </w:pPr>
                        <w:r>
                          <w:rPr>
                            <w:sz w:val="18"/>
                            <w:szCs w:val="18"/>
                          </w:rPr>
                          <w:t xml:space="preserve">(O) </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 xml:space="preserve">Kraujo tyrimas hematologiniu analizatoriumi (eritrocitai, hemoglobinas, leukocitai, trombocitai), ENG, šlapimo </w:t>
                        </w:r>
                      </w:p>
                      <w:p>
                        <w:pPr>
                          <w:rPr>
                            <w:sz w:val="18"/>
                            <w:szCs w:val="18"/>
                          </w:rPr>
                        </w:pPr>
                        <w:r>
                          <w:rPr>
                            <w:sz w:val="18"/>
                            <w:szCs w:val="18"/>
                          </w:rPr>
                          <w:t xml:space="preserve">tyrimas analizatoriumi, </w:t>
                        </w:r>
                      </w:p>
                      <w:p>
                        <w:pPr>
                          <w:rPr>
                            <w:sz w:val="18"/>
                            <w:szCs w:val="18"/>
                          </w:rPr>
                        </w:pPr>
                        <w:r>
                          <w:rPr>
                            <w:sz w:val="18"/>
                            <w:szCs w:val="18"/>
                          </w:rPr>
                          <w:t>IKFT</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 xml:space="preserve">2. Lėtinės kepenų ligos K70–K77 </w:t>
                        </w:r>
                      </w:p>
                      <w:p>
                        <w:pPr>
                          <w:rPr>
                            <w:sz w:val="18"/>
                            <w:szCs w:val="18"/>
                          </w:rPr>
                        </w:pPr>
                        <w:r>
                          <w:rPr>
                            <w:sz w:val="18"/>
                            <w:szCs w:val="18"/>
                          </w:rPr>
                          <w:t>3. Astma J45</w:t>
                        </w:r>
                      </w:p>
                      <w:p>
                        <w:pPr>
                          <w:rPr>
                            <w:sz w:val="18"/>
                            <w:szCs w:val="18"/>
                          </w:rPr>
                        </w:pPr>
                        <w:r>
                          <w:rPr>
                            <w:sz w:val="18"/>
                            <w:szCs w:val="18"/>
                          </w:rPr>
                          <w:t>4. Lėtinės inkstų ligos N00–N08, N10–N16, N17–N19, N20–N23</w:t>
                        </w:r>
                      </w:p>
                      <w:p>
                        <w:pPr>
                          <w:rPr>
                            <w:sz w:val="18"/>
                            <w:szCs w:val="18"/>
                          </w:rPr>
                        </w:pPr>
                        <w:r>
                          <w:rPr>
                            <w:sz w:val="18"/>
                            <w:szCs w:val="18"/>
                          </w:rPr>
                          <w:t xml:space="preserve">5. Kraujo ir kraujodaros </w:t>
                        </w:r>
                      </w:p>
                      <w:p>
                        <w:pPr>
                          <w:rPr>
                            <w:sz w:val="18"/>
                            <w:szCs w:val="18"/>
                          </w:rPr>
                        </w:pPr>
                        <w:r>
                          <w:rPr>
                            <w:sz w:val="18"/>
                            <w:szCs w:val="18"/>
                          </w:rPr>
                          <w:t xml:space="preserve">organų ligos  D50–D53, D55–D59, D60–D64, D65–D69, D70–D77</w:t>
                        </w:r>
                      </w:p>
                      <w:p>
                        <w:pPr>
                          <w:rPr>
                            <w:sz w:val="18"/>
                            <w:szCs w:val="18"/>
                          </w:rPr>
                        </w:pPr>
                        <w:r>
                          <w:rPr>
                            <w:sz w:val="18"/>
                            <w:szCs w:val="18"/>
                          </w:rPr>
                          <w:t xml:space="preserve">6. Lėtinės odos ligos  L02, L08, L10–L14, L20–L30, L40, L50–L54</w:t>
                        </w:r>
                      </w:p>
                      <w:p>
                        <w:pPr>
                          <w:rPr>
                            <w:sz w:val="18"/>
                            <w:szCs w:val="18"/>
                          </w:rPr>
                        </w:pPr>
                        <w:r>
                          <w:rPr>
                            <w:sz w:val="18"/>
                            <w:szCs w:val="18"/>
                          </w:rPr>
                          <w:t>7. Navikiniai susirgimai anamnezėje C00–D48</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neurologas, pulmonologas, hematologas, nefrologas, dermatovenerologas,</w:t>
                        </w:r>
                      </w:p>
                      <w:p>
                        <w:pPr>
                          <w:rPr>
                            <w:sz w:val="18"/>
                            <w:szCs w:val="18"/>
                          </w:rPr>
                        </w:pPr>
                        <w:r>
                          <w:rPr>
                            <w:sz w:val="18"/>
                            <w:szCs w:val="18"/>
                          </w:rPr>
                          <w:t>onkologas radioterapeutas, onkologas chemoterapeutas, gastroenterologas</w:t>
                        </w:r>
                      </w:p>
                    </w:tc>
                    <w:tc>
                      <w:tcPr>
                        <w:tcW w:w="2755" w:type="dxa"/>
                      </w:tcPr>
                      <w:p>
                        <w:pPr>
                          <w:rPr>
                            <w:sz w:val="18"/>
                            <w:szCs w:val="18"/>
                          </w:rPr>
                        </w:pPr>
                        <w:r>
                          <w:rPr>
                            <w:sz w:val="18"/>
                            <w:szCs w:val="18"/>
                          </w:rPr>
                          <w:t xml:space="preserve">Esant indikacijų – leukograma, baltymas kraujo serume, ALT, AST </w:t>
                        </w:r>
                      </w:p>
                    </w:tc>
                    <w:tc>
                      <w:tcPr>
                        <w:tcW w:w="2437" w:type="dxa"/>
                        <w:vMerge/>
                      </w:tcPr>
                      <w:p>
                        <w:pPr>
                          <w:rPr>
                            <w:sz w:val="18"/>
                            <w:szCs w:val="18"/>
                          </w:rPr>
                        </w:pPr>
                      </w:p>
                    </w:tc>
                  </w:tr>
                  <w:tr>
                    <w:trPr>
                      <w:cantSplit/>
                      <w:trHeight w:val="142"/>
                    </w:trPr>
                    <w:tc>
                      <w:tcPr>
                        <w:tcW w:w="2447" w:type="dxa"/>
                        <w:vMerge w:val="restart"/>
                      </w:tcPr>
                      <w:p>
                        <w:pPr>
                          <w:rPr>
                            <w:sz w:val="18"/>
                            <w:szCs w:val="18"/>
                          </w:rPr>
                        </w:pPr>
                        <w:r>
                          <w:rPr>
                            <w:sz w:val="18"/>
                            <w:szCs w:val="18"/>
                          </w:rPr>
                          <w:t>1.48. ?</w:t>
                        </w:r>
                        <w:r>
                          <w:rPr>
                            <w:vanish/>
                            <w:sz w:val="18"/>
                            <w:szCs w:val="18"/>
                          </w:rPr>
                          <w:t>beta</w:t>
                        </w:r>
                        <w:r>
                          <w:rPr>
                            <w:sz w:val="18"/>
                            <w:szCs w:val="18"/>
                          </w:rPr>
                          <w:t>–naftomis</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 xml:space="preserve">Kraujo tyrimas hematologiniu analizatoriumi (eritrocitai, hemoglobinas, leukocitai, trombocitai), ENG, šlapimo tyrimas  analizatoriumi</w:t>
                        </w:r>
                      </w:p>
                    </w:tc>
                    <w:tc>
                      <w:tcPr>
                        <w:tcW w:w="2437" w:type="dxa"/>
                        <w:vMerge w:val="restart"/>
                      </w:tcPr>
                      <w:p>
                        <w:pPr>
                          <w:rPr>
                            <w:sz w:val="18"/>
                            <w:szCs w:val="18"/>
                          </w:rPr>
                        </w:pPr>
                        <w:r>
                          <w:rPr>
                            <w:sz w:val="18"/>
                            <w:szCs w:val="18"/>
                          </w:rPr>
                          <w:t>1. Lėtinės inkstų ligos N00–N08, N10–N16, N17–N19, N20–N23</w:t>
                        </w:r>
                      </w:p>
                      <w:p>
                        <w:pPr>
                          <w:rPr>
                            <w:sz w:val="18"/>
                            <w:szCs w:val="18"/>
                          </w:rPr>
                        </w:pPr>
                        <w:r>
                          <w:rPr>
                            <w:sz w:val="18"/>
                            <w:szCs w:val="18"/>
                          </w:rPr>
                          <w:t xml:space="preserve">2. Lėtinės odos ligos  L02, L08, L10–L14, L20–L30, L40, L50–L54</w:t>
                        </w:r>
                      </w:p>
                      <w:p>
                        <w:pPr>
                          <w:tabs>
                            <w:tab w:val="num" w:pos="286"/>
                          </w:tabs>
                          <w:rPr>
                            <w:sz w:val="18"/>
                            <w:szCs w:val="18"/>
                          </w:rPr>
                        </w:pPr>
                      </w:p>
                      <w:p>
                        <w:pPr>
                          <w:tabs>
                            <w:tab w:val="num" w:pos="286"/>
                          </w:tabs>
                          <w:rPr>
                            <w:sz w:val="18"/>
                            <w:szCs w:val="18"/>
                          </w:rPr>
                        </w:pP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–nefrologas,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1.49. Nikelis (J) ir jo junginiai (oksidas, karbonatas, chloridas, sulfatas ir kt.) (K, J, R), subsulfidas, karbonilas</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w:t>
                        </w:r>
                      </w:p>
                      <w:p>
                        <w:pPr>
                          <w:rPr>
                            <w:sz w:val="18"/>
                            <w:szCs w:val="18"/>
                          </w:rPr>
                        </w:pPr>
                        <w:r>
                          <w:rPr>
                            <w:sz w:val="18"/>
                            <w:szCs w:val="18"/>
                          </w:rPr>
                          <w:t>analizatoriumi (eritrocitai, hemoglobinas, leukocitai, trombocitai), ENG, KLR,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rPr>
                            <w:sz w:val="18"/>
                            <w:szCs w:val="18"/>
                          </w:rPr>
                        </w:pPr>
                        <w:r>
                          <w:rPr>
                            <w:sz w:val="18"/>
                            <w:szCs w:val="18"/>
                          </w:rPr>
                          <w:t>3. Lėtinis kvėpavimo nepakankamumas I–II</w:t>
                          <w:sym w:font="Symbol" w:char="F0B0"/>
                          <w:t xml:space="preserve"> J96.1</w:t>
                        </w:r>
                      </w:p>
                      <w:p>
                        <w:pPr>
                          <w:rPr>
                            <w:sz w:val="18"/>
                            <w:szCs w:val="18"/>
                          </w:rPr>
                        </w:pPr>
                        <w:r>
                          <w:rPr>
                            <w:sz w:val="18"/>
                            <w:szCs w:val="18"/>
                          </w:rPr>
                          <w:t>4. Lėtinis hiperplastinis rinitas, laringitas J31, J37</w:t>
                        </w:r>
                      </w:p>
                      <w:p>
                        <w:pPr>
                          <w:rPr>
                            <w:sz w:val="18"/>
                            <w:szCs w:val="18"/>
                          </w:rPr>
                        </w:pPr>
                        <w:r>
                          <w:rPr>
                            <w:sz w:val="18"/>
                            <w:szCs w:val="18"/>
                          </w:rPr>
                          <w:t>5. Gerybiniai navikai D10–D36</w:t>
                        </w:r>
                      </w:p>
                      <w:p>
                        <w:pPr>
                          <w:rPr>
                            <w:sz w:val="18"/>
                            <w:szCs w:val="18"/>
                          </w:rPr>
                        </w:pPr>
                        <w:r>
                          <w:rPr>
                            <w:sz w:val="18"/>
                            <w:szCs w:val="18"/>
                          </w:rPr>
                          <w:t xml:space="preserve">6. Kraujo ir kraujodaros organų ligos  D50–D53, D55–D59, D60–D64, D65–D69, D70–D77 </w:t>
                        </w:r>
                      </w:p>
                      <w:p>
                        <w:pPr>
                          <w:rPr>
                            <w:sz w:val="18"/>
                            <w:szCs w:val="18"/>
                          </w:rPr>
                        </w:pPr>
                        <w:r>
                          <w:rPr>
                            <w:sz w:val="18"/>
                            <w:szCs w:val="18"/>
                          </w:rPr>
                          <w:t xml:space="preserve">7. Odos alerginės ligos  L23</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onkologas radioterapeutas, onkologas chemoterapeutas, pulmonologas, hematologas</w:t>
                        </w:r>
                      </w:p>
                    </w:tc>
                    <w:tc>
                      <w:tcPr>
                        <w:tcW w:w="2755" w:type="dxa"/>
                      </w:tcPr>
                      <w:p>
                        <w:pPr>
                          <w:rPr>
                            <w:sz w:val="18"/>
                            <w:szCs w:val="18"/>
                          </w:rPr>
                        </w:pPr>
                        <w:r>
                          <w:rPr>
                            <w:sz w:val="18"/>
                            <w:szCs w:val="18"/>
                          </w:rPr>
                          <w:t xml:space="preserve">Esant indikacijų – leukograma </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1.50. Ozonas (Ū) </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rPr>
                            <w:sz w:val="18"/>
                            <w:szCs w:val="18"/>
                          </w:rPr>
                        </w:pPr>
                        <w:r>
                          <w:rPr>
                            <w:sz w:val="18"/>
                            <w:szCs w:val="18"/>
                          </w:rPr>
                          <w:t>3. Lėtinis kvėpavimo nepakankamumas I–II</w:t>
                          <w:sym w:font="Symbol" w:char="F0B0"/>
                          <w:t xml:space="preserve"> J96.1</w:t>
                        </w:r>
                      </w:p>
                      <w:p>
                        <w:pPr>
                          <w:rPr>
                            <w:sz w:val="18"/>
                            <w:szCs w:val="18"/>
                          </w:rPr>
                        </w:pPr>
                        <w:r>
                          <w:rPr>
                            <w:sz w:val="18"/>
                            <w:szCs w:val="18"/>
                          </w:rPr>
                          <w:t xml:space="preserve">4. Akių ligos (vokų, junginės, ragenos)  H00–H06, H10–H13, H15–H20</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oftalmologas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1.51. Pentanas</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 xml:space="preserve">1. Priekinės akių dalies ligos (vokų, junginės, ragenos, ašarų takų)  H00–H06, H10–H13, H15–H20</w:t>
                        </w:r>
                      </w:p>
                      <w:p>
                        <w:pPr>
                          <w:rPr>
                            <w:sz w:val="18"/>
                            <w:szCs w:val="18"/>
                          </w:rPr>
                        </w:pPr>
                        <w:r>
                          <w:rPr>
                            <w:sz w:val="18"/>
                            <w:szCs w:val="18"/>
                          </w:rPr>
                          <w:t xml:space="preserve">2. Lėtinės kepenų ligos  K70–K77  </w:t>
                        </w:r>
                      </w:p>
                      <w:p>
                        <w:pPr>
                          <w:rPr>
                            <w:sz w:val="18"/>
                            <w:szCs w:val="18"/>
                          </w:rPr>
                        </w:pPr>
                        <w:r>
                          <w:rPr>
                            <w:sz w:val="18"/>
                            <w:szCs w:val="18"/>
                          </w:rPr>
                          <w:t>3. Astma J45</w:t>
                        </w:r>
                      </w:p>
                      <w:p>
                        <w:pPr>
                          <w:rPr>
                            <w:sz w:val="18"/>
                            <w:szCs w:val="18"/>
                          </w:rPr>
                        </w:pPr>
                        <w:r>
                          <w:rPr>
                            <w:sz w:val="18"/>
                            <w:szCs w:val="18"/>
                          </w:rPr>
                          <w:t xml:space="preserve">4.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oftalmologas, gastroenterologas, radiologas</w:t>
                        </w:r>
                      </w:p>
                    </w:tc>
                    <w:tc>
                      <w:tcPr>
                        <w:tcW w:w="2755" w:type="dxa"/>
                      </w:tcPr>
                      <w:p>
                        <w:pPr>
                          <w:rPr>
                            <w:sz w:val="18"/>
                            <w:szCs w:val="18"/>
                          </w:rPr>
                        </w:pPr>
                        <w:r>
                          <w:rPr>
                            <w:sz w:val="18"/>
                            <w:szCs w:val="18"/>
                          </w:rPr>
                          <w:t>Esant indikacijų – KLR</w:t>
                        </w:r>
                      </w:p>
                    </w:tc>
                    <w:tc>
                      <w:tcPr>
                        <w:tcW w:w="2437" w:type="dxa"/>
                        <w:vMerge/>
                      </w:tcPr>
                      <w:p>
                        <w:pPr>
                          <w:rPr>
                            <w:sz w:val="18"/>
                            <w:szCs w:val="18"/>
                          </w:rPr>
                        </w:pPr>
                      </w:p>
                    </w:tc>
                  </w:tr>
                  <w:tr>
                    <w:trPr>
                      <w:trHeight w:val="142"/>
                    </w:trPr>
                    <w:tc>
                      <w:tcPr>
                        <w:tcW w:w="2447" w:type="dxa"/>
                        <w:vMerge w:val="restart"/>
                      </w:tcPr>
                      <w:p>
                        <w:pPr>
                          <w:keepNext/>
                          <w:pageBreakBefore/>
                          <w:rPr>
                            <w:sz w:val="18"/>
                            <w:szCs w:val="18"/>
                          </w:rPr>
                        </w:pPr>
                        <w:r>
                          <w:rPr>
                            <w:sz w:val="18"/>
                            <w:szCs w:val="18"/>
                          </w:rPr>
                          <w:t>1.52. Pesticidai</w:t>
                        </w:r>
                      </w:p>
                    </w:tc>
                    <w:tc>
                      <w:tcPr>
                        <w:tcW w:w="1653" w:type="dxa"/>
                        <w:vMerge w:val="restart"/>
                      </w:tcPr>
                      <w:p>
                        <w:pPr>
                          <w:keepNext/>
                          <w:pageBreakBefore/>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keepNext/>
                          <w:pageBreakBefore/>
                          <w:rPr>
                            <w:sz w:val="18"/>
                            <w:szCs w:val="18"/>
                          </w:rPr>
                        </w:pPr>
                      </w:p>
                    </w:tc>
                    <w:tc>
                      <w:tcPr>
                        <w:tcW w:w="2755" w:type="dxa"/>
                      </w:tcPr>
                      <w:p>
                        <w:pPr>
                          <w:keepNext/>
                          <w:pageBreakBefore/>
                          <w:rPr>
                            <w:sz w:val="18"/>
                            <w:szCs w:val="18"/>
                          </w:rPr>
                        </w:pPr>
                        <w:r>
                          <w:rPr>
                            <w:sz w:val="18"/>
                            <w:szCs w:val="18"/>
                          </w:rPr>
                          <w:t xml:space="preserve">Kraujo tyrimas hematologiniu analizatoriumi (eritrocitai, hemoglobinas, leukocitai, trombocitai), ENG, audiograma, </w:t>
                        </w:r>
                      </w:p>
                      <w:p>
                        <w:pPr>
                          <w:keepNext/>
                          <w:pageBreakBefore/>
                          <w:rPr>
                            <w:sz w:val="18"/>
                            <w:szCs w:val="18"/>
                          </w:rPr>
                        </w:pPr>
                        <w:r>
                          <w:rPr>
                            <w:sz w:val="18"/>
                            <w:szCs w:val="18"/>
                          </w:rPr>
                          <w:t>baltymas kraujo serume, ALT, AST</w:t>
                        </w:r>
                      </w:p>
                    </w:tc>
                    <w:tc>
                      <w:tcPr>
                        <w:tcW w:w="2437" w:type="dxa"/>
                        <w:vMerge w:val="restart"/>
                      </w:tcPr>
                      <w:p>
                        <w:pPr>
                          <w:keepNext/>
                          <w:pageBreakBefore/>
                          <w:rPr>
                            <w:sz w:val="18"/>
                            <w:szCs w:val="18"/>
                          </w:rPr>
                        </w:pPr>
                        <w:r>
                          <w:rPr>
                            <w:sz w:val="18"/>
                            <w:szCs w:val="18"/>
                          </w:rPr>
                          <w:t>1. Galūnių polineuropatijos G60–G64</w:t>
                        </w:r>
                      </w:p>
                      <w:p>
                        <w:pPr>
                          <w:keepNext/>
                          <w:pageBreakBefore/>
                          <w:rPr>
                            <w:sz w:val="18"/>
                            <w:szCs w:val="18"/>
                          </w:rPr>
                        </w:pPr>
                        <w:r>
                          <w:rPr>
                            <w:sz w:val="18"/>
                            <w:szCs w:val="18"/>
                          </w:rPr>
                          <w:t xml:space="preserve">2. Lėtinės kepenų ligos  K70–K77  </w:t>
                        </w:r>
                      </w:p>
                      <w:p>
                        <w:pPr>
                          <w:keepNext/>
                          <w:pageBreakBefore/>
                          <w:rPr>
                            <w:sz w:val="18"/>
                            <w:szCs w:val="18"/>
                          </w:rPr>
                        </w:pPr>
                        <w:r>
                          <w:rPr>
                            <w:sz w:val="18"/>
                            <w:szCs w:val="18"/>
                          </w:rPr>
                          <w:t>3. Astma J45</w:t>
                        </w:r>
                      </w:p>
                      <w:p>
                        <w:pPr>
                          <w:keepNext/>
                          <w:pageBreakBefore/>
                          <w:rPr>
                            <w:sz w:val="18"/>
                            <w:szCs w:val="18"/>
                          </w:rPr>
                        </w:pPr>
                        <w:r>
                          <w:rPr>
                            <w:sz w:val="18"/>
                            <w:szCs w:val="18"/>
                          </w:rPr>
                          <w:t xml:space="preserve">4. Viršutinių kvėpavimo takų atrofiniai pakitimai  J30–J31, J37–J39</w:t>
                        </w:r>
                      </w:p>
                      <w:p>
                        <w:pPr>
                          <w:keepNext/>
                          <w:pageBreakBefore/>
                          <w:rPr>
                            <w:sz w:val="18"/>
                            <w:szCs w:val="18"/>
                          </w:rPr>
                        </w:pPr>
                        <w:r>
                          <w:rPr>
                            <w:sz w:val="18"/>
                            <w:szCs w:val="18"/>
                          </w:rPr>
                          <w:t>5. Klausos nervo pažeidimas H80–H83, H94</w:t>
                        </w:r>
                      </w:p>
                      <w:p>
                        <w:pPr>
                          <w:keepNext/>
                          <w:pageBreakBefore/>
                          <w:tabs>
                            <w:tab w:val="num" w:pos="286"/>
                          </w:tabs>
                          <w:rPr>
                            <w:sz w:val="18"/>
                            <w:szCs w:val="18"/>
                          </w:rPr>
                        </w:pPr>
                        <w:r>
                          <w:rPr>
                            <w:sz w:val="18"/>
                            <w:szCs w:val="18"/>
                          </w:rPr>
                          <w:t xml:space="preserve">6. Priekinės akių dalies ligos (vokų, junginės, ragenos, ašarų takų)  H00–H06, H10–H13, H15–H20</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neurologas, </w:t>
                        </w:r>
                      </w:p>
                      <w:p>
                        <w:pPr>
                          <w:rPr>
                            <w:sz w:val="18"/>
                            <w:szCs w:val="18"/>
                          </w:rPr>
                        </w:pPr>
                        <w:r>
                          <w:rPr>
                            <w:sz w:val="18"/>
                            <w:szCs w:val="18"/>
                          </w:rPr>
                          <w:t>oftalmologas, otorinolaringologas, pulmonologas, gastroenterologas</w:t>
                        </w:r>
                      </w:p>
                    </w:tc>
                    <w:tc>
                      <w:tcPr>
                        <w:tcW w:w="2755" w:type="dxa"/>
                      </w:tcPr>
                      <w:p>
                        <w:pPr>
                          <w:rPr>
                            <w:sz w:val="18"/>
                            <w:szCs w:val="18"/>
                          </w:rPr>
                        </w:pPr>
                        <w:r>
                          <w:rPr>
                            <w:sz w:val="18"/>
                            <w:szCs w:val="18"/>
                          </w:rPr>
                          <w:t>Esant indikacijų – gyvsidabrio nustatymas šlapime arba kraujyje</w:t>
                        </w:r>
                      </w:p>
                    </w:tc>
                    <w:tc>
                      <w:tcPr>
                        <w:tcW w:w="2437" w:type="dxa"/>
                        <w:vMerge/>
                      </w:tcPr>
                      <w:p>
                        <w:pPr>
                          <w:rPr>
                            <w:sz w:val="18"/>
                            <w:szCs w:val="18"/>
                          </w:rPr>
                        </w:pPr>
                      </w:p>
                    </w:tc>
                  </w:tr>
                </w:tbl>
                <w:p/>
                <w:tbl>
                  <w:tblPr>
                    <w:tblW w:w="147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40" w:firstRow="0" w:lastRow="1" w:firstColumn="0" w:lastColumn="0" w:noHBand="0" w:noVBand="0"/>
                  </w:tblPr>
                  <w:tblGrid>
                    <w:gridCol w:w="2447"/>
                    <w:gridCol w:w="1653"/>
                    <w:gridCol w:w="1402"/>
                    <w:gridCol w:w="1923"/>
                    <w:gridCol w:w="2090"/>
                    <w:gridCol w:w="2755"/>
                    <w:gridCol w:w="2437"/>
                  </w:tblGrid>
                  <w:tr>
                    <w:trPr>
                      <w:trHeight w:val="142"/>
                    </w:trPr>
                    <w:tc>
                      <w:tcPr>
                        <w:tcW w:w="14707" w:type="dxa"/>
                        <w:gridSpan w:val="7"/>
                      </w:tcPr>
                      <w:p>
                        <w:pPr>
                          <w:rPr>
                            <w:sz w:val="18"/>
                            <w:szCs w:val="18"/>
                          </w:rPr>
                        </w:pPr>
                        <w:r>
                          <w:rPr>
                            <w:sz w:val="18"/>
                            <w:szCs w:val="18"/>
                          </w:rPr>
                          <w:t>1.53. Plastmasės ir sintetinės dervos masės, kurių pagrindas:</w:t>
                        </w:r>
                      </w:p>
                    </w:tc>
                  </w:tr>
                  <w:tr>
                    <w:trPr>
                      <w:trHeight w:val="142"/>
                    </w:trPr>
                    <w:tc>
                      <w:tcPr>
                        <w:tcW w:w="2447" w:type="dxa"/>
                        <w:vMerge w:val="restart"/>
                      </w:tcPr>
                      <w:p>
                        <w:pPr>
                          <w:rPr>
                            <w:sz w:val="18"/>
                            <w:szCs w:val="18"/>
                          </w:rPr>
                        </w:pPr>
                        <w:r>
                          <w:rPr>
                            <w:sz w:val="18"/>
                            <w:szCs w:val="18"/>
                          </w:rPr>
                          <w:t xml:space="preserve">1.53.1. akrilinė ir metakrilinė rūgštys (J) </w:t>
                        </w:r>
                      </w:p>
                    </w:tc>
                    <w:tc>
                      <w:tcPr>
                        <w:tcW w:w="1653" w:type="dxa"/>
                        <w:vMerge w:val="restart"/>
                      </w:tcPr>
                      <w:p>
                        <w:pPr>
                          <w:rPr>
                            <w:sz w:val="18"/>
                            <w:szCs w:val="18"/>
                          </w:rPr>
                        </w:pPr>
                        <w:r>
                          <w:rPr>
                            <w:sz w:val="18"/>
                            <w:szCs w:val="18"/>
                          </w:rPr>
                          <w:t>Polimerų ir kopolimerų gamyba, perdirbimas, emulsijų, lakų, dažų 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rPr>
                            <w:sz w:val="18"/>
                            <w:szCs w:val="18"/>
                          </w:rPr>
                        </w:pPr>
                        <w:r>
                          <w:rPr>
                            <w:sz w:val="18"/>
                            <w:szCs w:val="18"/>
                          </w:rPr>
                          <w:t>3. Lėtinis kvėpavimo nepakankamumas I–II</w:t>
                          <w:sym w:font="Symbol" w:char="F0B0"/>
                          <w:t xml:space="preserve"> J96.1</w:t>
                        </w:r>
                      </w:p>
                      <w:p>
                        <w:pPr>
                          <w:rPr>
                            <w:sz w:val="18"/>
                            <w:szCs w:val="18"/>
                          </w:rPr>
                        </w:pPr>
                        <w:r>
                          <w:rPr>
                            <w:sz w:val="18"/>
                            <w:szCs w:val="18"/>
                          </w:rPr>
                          <w:t xml:space="preserve">4. Viršutinių kvėpavimo takų atrofiniai pakitimai. Hipertrofinis laringitas  J30–J31, J37–J39</w:t>
                        </w:r>
                      </w:p>
                      <w:p>
                        <w:pPr>
                          <w:rPr>
                            <w:sz w:val="18"/>
                            <w:szCs w:val="18"/>
                          </w:rPr>
                        </w:pPr>
                        <w:r>
                          <w:rPr>
                            <w:sz w:val="18"/>
                            <w:szCs w:val="18"/>
                          </w:rPr>
                          <w:t>5. Galūnių polineuropatijos G60–G64</w:t>
                        </w:r>
                      </w:p>
                      <w:p>
                        <w:pPr>
                          <w:rPr>
                            <w:sz w:val="18"/>
                            <w:szCs w:val="18"/>
                          </w:rPr>
                        </w:pPr>
                        <w:r>
                          <w:rPr>
                            <w:sz w:val="18"/>
                            <w:szCs w:val="18"/>
                          </w:rPr>
                          <w:t xml:space="preserve">6. Lėtinės kepenų ligos  K70–K77  </w:t>
                        </w:r>
                      </w:p>
                      <w:p>
                        <w:pPr>
                          <w:rPr>
                            <w:sz w:val="18"/>
                            <w:szCs w:val="18"/>
                          </w:rPr>
                        </w:pPr>
                        <w:r>
                          <w:rPr>
                            <w:sz w:val="18"/>
                            <w:szCs w:val="18"/>
                          </w:rPr>
                          <w:t xml:space="preserve">7. Lėtinės inkstų ligos  N00–N08, N10–N16, N17–N19, N20–N23</w:t>
                        </w:r>
                      </w:p>
                      <w:p>
                        <w:pPr>
                          <w:rPr>
                            <w:sz w:val="18"/>
                            <w:szCs w:val="18"/>
                          </w:rPr>
                        </w:pPr>
                        <w:r>
                          <w:rPr>
                            <w:sz w:val="18"/>
                            <w:szCs w:val="18"/>
                          </w:rPr>
                          <w:t>8. Alerginės odos ligos L23</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neurologas, </w:t>
                        </w:r>
                      </w:p>
                      <w:p>
                        <w:pPr>
                          <w:rPr>
                            <w:sz w:val="18"/>
                            <w:szCs w:val="18"/>
                          </w:rPr>
                        </w:pPr>
                        <w:r>
                          <w:rPr>
                            <w:sz w:val="18"/>
                            <w:szCs w:val="18"/>
                          </w:rPr>
                          <w:t>otorinolaringologas, pulmonologas, gastroenterologas, dermatovenerologas,</w:t>
                        </w:r>
                      </w:p>
                      <w:p>
                        <w:pPr>
                          <w:rPr>
                            <w:sz w:val="18"/>
                            <w:szCs w:val="18"/>
                          </w:rPr>
                        </w:pPr>
                        <w:r>
                          <w:rPr>
                            <w:sz w:val="18"/>
                            <w:szCs w:val="18"/>
                          </w:rPr>
                          <w:t>nefrologas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1.53.2. alifatiniai neprisotintieji angliavandeniliai (etilenas, propilenas ir kt.) </w:t>
                        </w:r>
                      </w:p>
                    </w:tc>
                    <w:tc>
                      <w:tcPr>
                        <w:tcW w:w="1653" w:type="dxa"/>
                        <w:vMerge w:val="restart"/>
                      </w:tcPr>
                      <w:p>
                        <w:pPr>
                          <w:rPr>
                            <w:sz w:val="18"/>
                            <w:szCs w:val="18"/>
                          </w:rPr>
                        </w:pPr>
                        <w:r>
                          <w:rPr>
                            <w:sz w:val="18"/>
                            <w:szCs w:val="18"/>
                          </w:rPr>
                          <w:t>Polimerų ir kopolimerų gamyba, perdirbimas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pacing w:val="-6"/>
                            <w:sz w:val="18"/>
                            <w:szCs w:val="18"/>
                          </w:rPr>
                        </w:pPr>
                        <w:r>
                          <w:rPr>
                            <w:spacing w:val="-6"/>
                            <w:sz w:val="18"/>
                            <w:szCs w:val="18"/>
                          </w:rPr>
                          <w:t xml:space="preserve">5. Lėtinės kepenų ligos  K70–K77  </w:t>
                        </w:r>
                      </w:p>
                      <w:p>
                        <w:pPr>
                          <w:rPr>
                            <w:sz w:val="18"/>
                            <w:szCs w:val="18"/>
                          </w:rPr>
                        </w:pPr>
                        <w:r>
                          <w:rPr>
                            <w:sz w:val="18"/>
                            <w:szCs w:val="18"/>
                          </w:rPr>
                          <w:t xml:space="preserve">6. Lėtinės inkstų ligos  N00–N08, N10–N16, N17–N19, N20–N23</w:t>
                        </w:r>
                      </w:p>
                      <w:p>
                        <w:pPr>
                          <w:rPr>
                            <w:sz w:val="18"/>
                            <w:szCs w:val="18"/>
                          </w:rPr>
                        </w:pPr>
                        <w:r>
                          <w:rPr>
                            <w:sz w:val="18"/>
                            <w:szCs w:val="18"/>
                          </w:rPr>
                          <w:t>7. Alerginės odos ligos L23</w:t>
                        </w:r>
                      </w:p>
                      <w:p>
                        <w:pPr>
                          <w:tabs>
                            <w:tab w:val="num" w:pos="286"/>
                          </w:tabs>
                          <w:rPr>
                            <w:sz w:val="18"/>
                            <w:szCs w:val="18"/>
                          </w:rPr>
                        </w:pPr>
                        <w:r>
                          <w:rPr>
                            <w:sz w:val="18"/>
                            <w:szCs w:val="18"/>
                          </w:rPr>
                          <w:t xml:space="preserve">8. Kraujo ir kraujodaros organų ligos  D50–D53, D55–D59, D60–D64, D65–D69, D70–D77 </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otorinolaringologas, pulmonologas, gastroenterologas, dermatovenerologas, </w:t>
                        </w:r>
                      </w:p>
                      <w:p>
                        <w:pPr>
                          <w:rPr>
                            <w:sz w:val="18"/>
                            <w:szCs w:val="18"/>
                          </w:rPr>
                        </w:pPr>
                        <w:r>
                          <w:rPr>
                            <w:sz w:val="18"/>
                            <w:szCs w:val="18"/>
                          </w:rPr>
                          <w:t>nefrologas, hematologas</w:t>
                        </w:r>
                      </w:p>
                    </w:tc>
                    <w:tc>
                      <w:tcPr>
                        <w:tcW w:w="2755" w:type="dxa"/>
                      </w:tcPr>
                      <w:p>
                        <w:pPr>
                          <w:rPr>
                            <w:sz w:val="18"/>
                            <w:szCs w:val="18"/>
                          </w:rPr>
                        </w:pPr>
                        <w:r>
                          <w:rPr>
                            <w:sz w:val="18"/>
                            <w:szCs w:val="18"/>
                          </w:rPr>
                          <w:t>Esant indikacijų – leukograma</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1.53.3. amino dvibazės rūgštys (sebacino rūgštis, ftalio rūgštis ir kt.) diaminai (diamindifeniloksidas, diaminofenolis ir kt.) (J)</w:t>
                        </w:r>
                      </w:p>
                    </w:tc>
                    <w:tc>
                      <w:tcPr>
                        <w:tcW w:w="1653" w:type="dxa"/>
                        <w:vMerge w:val="restart"/>
                      </w:tcPr>
                      <w:p>
                        <w:pPr>
                          <w:rPr>
                            <w:sz w:val="18"/>
                            <w:szCs w:val="18"/>
                          </w:rPr>
                        </w:pPr>
                        <w:r>
                          <w:rPr>
                            <w:sz w:val="18"/>
                            <w:szCs w:val="18"/>
                          </w:rPr>
                          <w:t>Poliamidų gamyba, perdirbimas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Lėtinės kepenų ligos  K70–K77  </w:t>
                        </w:r>
                      </w:p>
                      <w:p>
                        <w:pPr>
                          <w:rPr>
                            <w:sz w:val="18"/>
                            <w:szCs w:val="18"/>
                          </w:rPr>
                        </w:pPr>
                        <w:r>
                          <w:rPr>
                            <w:sz w:val="18"/>
                            <w:szCs w:val="18"/>
                          </w:rPr>
                          <w:t xml:space="preserve">6. Lėtinės inkstų ligos  N00–N08, N10–N16, N17–N19, N20–N23</w:t>
                        </w:r>
                      </w:p>
                      <w:p>
                        <w:pPr>
                          <w:rPr>
                            <w:sz w:val="18"/>
                            <w:szCs w:val="18"/>
                          </w:rPr>
                        </w:pPr>
                        <w:r>
                          <w:rPr>
                            <w:sz w:val="18"/>
                            <w:szCs w:val="18"/>
                          </w:rPr>
                          <w:t>7. Alerginės odos ligos L23</w:t>
                        </w:r>
                      </w:p>
                      <w:p>
                        <w:pPr>
                          <w:rPr>
                            <w:sz w:val="18"/>
                            <w:szCs w:val="18"/>
                          </w:rPr>
                        </w:pPr>
                        <w:r>
                          <w:rPr>
                            <w:sz w:val="18"/>
                            <w:szCs w:val="18"/>
                          </w:rPr>
                          <w:t xml:space="preserve">8. Kraujo ir kraujodaros organų ligos  D50–D53, D55–D59, D60–D64, D65–D69, D70–D77 </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pulmonologas, gastroenterologas, dermatovenerologas, nefrologas, hematologas</w:t>
                        </w:r>
                      </w:p>
                    </w:tc>
                    <w:tc>
                      <w:tcPr>
                        <w:tcW w:w="2755" w:type="dxa"/>
                      </w:tcPr>
                      <w:p>
                        <w:pPr>
                          <w:rPr>
                            <w:sz w:val="18"/>
                            <w:szCs w:val="18"/>
                          </w:rPr>
                        </w:pPr>
                        <w:r>
                          <w:rPr>
                            <w:sz w:val="18"/>
                            <w:szCs w:val="18"/>
                          </w:rPr>
                          <w:t>Esant indikacijų – klinikinis kraujo tyrimas</w:t>
                        </w:r>
                      </w:p>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1.53.4. epichlorhidrinas</w:t>
                        </w:r>
                      </w:p>
                      <w:p>
                        <w:pPr>
                          <w:rPr>
                            <w:sz w:val="18"/>
                            <w:szCs w:val="18"/>
                          </w:rPr>
                        </w:pPr>
                        <w:r>
                          <w:rPr>
                            <w:sz w:val="18"/>
                            <w:szCs w:val="18"/>
                          </w:rPr>
                          <w:t xml:space="preserve">(J, K, O) </w:t>
                        </w:r>
                      </w:p>
                    </w:tc>
                    <w:tc>
                      <w:tcPr>
                        <w:tcW w:w="1653" w:type="dxa"/>
                        <w:vMerge w:val="restart"/>
                      </w:tcPr>
                      <w:p>
                        <w:pPr>
                          <w:rPr>
                            <w:sz w:val="18"/>
                            <w:szCs w:val="18"/>
                          </w:rPr>
                        </w:pPr>
                        <w:r>
                          <w:rPr>
                            <w:sz w:val="18"/>
                            <w:szCs w:val="18"/>
                          </w:rPr>
                          <w:t>Epoksidinių dervų ir plastmasių jo pagrindu gamyba ir 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 xml:space="preserve">Kraujo tyrimas hematologiniu analizatoriumi (eritrocitai, hemoglobinas, leukocitai, trombocitai), ENG, šlapimo tyrimas  analizatoriumi</w:t>
                        </w:r>
                      </w:p>
                    </w:tc>
                    <w:tc>
                      <w:tcPr>
                        <w:tcW w:w="2437" w:type="dxa"/>
                        <w:vMerge w:val="restart"/>
                      </w:tcPr>
                      <w:p>
                        <w:pPr>
                          <w:rPr>
                            <w:sz w:val="18"/>
                            <w:szCs w:val="18"/>
                          </w:rPr>
                        </w:pPr>
                        <w:r>
                          <w:rPr>
                            <w:sz w:val="18"/>
                            <w:szCs w:val="18"/>
                          </w:rPr>
                          <w:t>1. Astma J45</w:t>
                        </w:r>
                      </w:p>
                      <w:p>
                        <w:pPr>
                          <w:rPr>
                            <w:sz w:val="18"/>
                            <w:szCs w:val="18"/>
                          </w:rPr>
                        </w:pPr>
                        <w:r>
                          <w:rPr>
                            <w:sz w:val="18"/>
                            <w:szCs w:val="18"/>
                          </w:rPr>
                          <w:t xml:space="preserve">2. Alerginės odos ligos  L23</w:t>
                        </w:r>
                      </w:p>
                      <w:p>
                        <w:pPr>
                          <w:tabs>
                            <w:tab w:val="num" w:pos="286"/>
                          </w:tabs>
                          <w:rPr>
                            <w:sz w:val="18"/>
                            <w:szCs w:val="18"/>
                          </w:rPr>
                        </w:pPr>
                        <w:r>
                          <w:rPr>
                            <w:sz w:val="18"/>
                            <w:szCs w:val="18"/>
                          </w:rPr>
                          <w:t>3. Navikiniai susirgimai anamnezėje C00–D48</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pulmonologas, onkologas radioterapeutas, onkologas chemoterapeutas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1.53.5. Fenolis (O) ir formaldehidas</w:t>
                        </w:r>
                      </w:p>
                      <w:p>
                        <w:pPr>
                          <w:rPr>
                            <w:sz w:val="18"/>
                            <w:szCs w:val="18"/>
                          </w:rPr>
                        </w:pPr>
                        <w:r>
                          <w:rPr>
                            <w:sz w:val="18"/>
                            <w:szCs w:val="18"/>
                          </w:rPr>
                          <w:t>(Ū, J, K)</w:t>
                        </w:r>
                      </w:p>
                    </w:tc>
                    <w:tc>
                      <w:tcPr>
                        <w:tcW w:w="1653" w:type="dxa"/>
                        <w:vMerge w:val="restart"/>
                      </w:tcPr>
                      <w:p>
                        <w:pPr>
                          <w:rPr>
                            <w:sz w:val="18"/>
                            <w:szCs w:val="18"/>
                          </w:rPr>
                        </w:pPr>
                        <w:r>
                          <w:rPr>
                            <w:sz w:val="18"/>
                            <w:szCs w:val="18"/>
                          </w:rPr>
                          <w:t>Polimerų gamyba, 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5. Lėtinės kepenų ligos K70–K77</w:t>
                        </w:r>
                      </w:p>
                      <w:p>
                        <w:pPr>
                          <w:rPr>
                            <w:sz w:val="18"/>
                            <w:szCs w:val="18"/>
                          </w:rPr>
                        </w:pPr>
                        <w:r>
                          <w:rPr>
                            <w:sz w:val="18"/>
                            <w:szCs w:val="18"/>
                          </w:rPr>
                          <w:t xml:space="preserve">6. Lėtinės inkstų ligos  N00–N08, N10–N16, N17–N19, N20–N23</w:t>
                        </w:r>
                      </w:p>
                      <w:p>
                        <w:pPr>
                          <w:rPr>
                            <w:sz w:val="18"/>
                            <w:szCs w:val="18"/>
                          </w:rPr>
                        </w:pPr>
                        <w:r>
                          <w:rPr>
                            <w:sz w:val="18"/>
                            <w:szCs w:val="18"/>
                          </w:rPr>
                          <w:t>7. Alerginės odos ligos L23</w:t>
                        </w:r>
                      </w:p>
                      <w:p>
                        <w:pPr>
                          <w:rPr>
                            <w:sz w:val="18"/>
                            <w:szCs w:val="18"/>
                          </w:rPr>
                        </w:pPr>
                        <w:r>
                          <w:rPr>
                            <w:sz w:val="18"/>
                            <w:szCs w:val="18"/>
                          </w:rPr>
                          <w:t xml:space="preserve">8. Kraujo ir kraujodaros organų ligos  D50–D53, D55–D59, D60–D64, D65–D69, D70–D77 </w:t>
                        </w:r>
                      </w:p>
                      <w:p>
                        <w:pPr>
                          <w:rPr>
                            <w:sz w:val="18"/>
                            <w:szCs w:val="18"/>
                          </w:rPr>
                        </w:pPr>
                        <w:r>
                          <w:rPr>
                            <w:sz w:val="18"/>
                            <w:szCs w:val="18"/>
                          </w:rPr>
                          <w:t>9. Navikiniai susirgimai anamnezėje C00–D48</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gastroenterologas, nefrologas, dermatovenerologas, hematologas, pulmonologas, onkologas radioterapeutas, onkologas chemoterapeutas</w:t>
                        </w:r>
                      </w:p>
                    </w:tc>
                    <w:tc>
                      <w:tcPr>
                        <w:tcW w:w="2755" w:type="dxa"/>
                      </w:tcPr>
                      <w:p>
                        <w:pPr>
                          <w:rPr>
                            <w:sz w:val="18"/>
                            <w:szCs w:val="18"/>
                          </w:rPr>
                        </w:pPr>
                        <w:r>
                          <w:rPr>
                            <w:sz w:val="18"/>
                            <w:szCs w:val="18"/>
                          </w:rPr>
                          <w:t>Esant indikacijų – leukograma, baltymas kraujo serume, ALT, AST</w:t>
                        </w:r>
                      </w:p>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1.53.6. Fluoro organiniai junginiai (fluorofortas, fluorotanas ir kt.) </w:t>
                        </w:r>
                      </w:p>
                    </w:tc>
                    <w:tc>
                      <w:tcPr>
                        <w:tcW w:w="1653" w:type="dxa"/>
                        <w:vMerge w:val="restart"/>
                      </w:tcPr>
                      <w:p>
                        <w:pPr>
                          <w:rPr>
                            <w:sz w:val="18"/>
                            <w:szCs w:val="18"/>
                          </w:rPr>
                        </w:pPr>
                        <w:r>
                          <w:rPr>
                            <w:sz w:val="18"/>
                            <w:szCs w:val="18"/>
                          </w:rPr>
                          <w:t>Polimerų (fluoroplastų) ir kopolimerų gamyba; fluoroplastų šiluminis ir mechaninis perdirbimas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atrofiniai pakitimai. Nosies pertvaros iškrypimas, hipertrofinis laringitas  J30–J31, J34.2, J37–J39</w:t>
                        </w:r>
                      </w:p>
                      <w:p>
                        <w:pPr>
                          <w:rPr>
                            <w:sz w:val="18"/>
                            <w:szCs w:val="18"/>
                          </w:rPr>
                        </w:pPr>
                        <w:r>
                          <w:rPr>
                            <w:sz w:val="18"/>
                            <w:szCs w:val="18"/>
                          </w:rPr>
                          <w:t>2. Galūnių polineuropatijos G60–G64</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 J96.1</w:t>
                        </w:r>
                      </w:p>
                      <w:p>
                        <w:pPr>
                          <w:rPr>
                            <w:sz w:val="18"/>
                            <w:szCs w:val="18"/>
                          </w:rPr>
                        </w:pPr>
                        <w:r>
                          <w:rPr>
                            <w:sz w:val="18"/>
                            <w:szCs w:val="18"/>
                          </w:rPr>
                          <w:t xml:space="preserve">6. Lėtinės odos ligos  L02, L08, L10–L14, L20–L30, L40, L50–L54</w:t>
                        </w:r>
                      </w:p>
                      <w:p>
                        <w:pPr>
                          <w:rPr>
                            <w:sz w:val="18"/>
                            <w:szCs w:val="18"/>
                          </w:rPr>
                        </w:pPr>
                        <w:r>
                          <w:rPr>
                            <w:sz w:val="18"/>
                            <w:szCs w:val="18"/>
                          </w:rPr>
                          <w:t xml:space="preserve">7. Akių ligos (vokų, junginės, ragenos, ašarų takų)  H00–H06, H10–H13, H15–H20</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–neurologas, otorinolaringologas, oftalmologas, dermatovenerologas, pulmonologas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1.53.7. Silicio organiniai junginiai</w:t>
                        </w:r>
                      </w:p>
                    </w:tc>
                    <w:tc>
                      <w:tcPr>
                        <w:tcW w:w="1653" w:type="dxa"/>
                        <w:vMerge w:val="restart"/>
                      </w:tcPr>
                      <w:p>
                        <w:pPr>
                          <w:rPr>
                            <w:sz w:val="18"/>
                            <w:szCs w:val="18"/>
                          </w:rPr>
                        </w:pPr>
                        <w:r>
                          <w:rPr>
                            <w:sz w:val="18"/>
                            <w:szCs w:val="18"/>
                          </w:rPr>
                          <w:t>Dervų, lakų, skystų silikonų gamyba; polimerų, presavimo medžiagų perdirbimas; lakų, tepalų, dervų 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1. Viršutinių kvėpavimo takų atrofiniai pakitimai. Hipertrofinis laringitas</w:t>
                        </w:r>
                        <w:r>
                          <w:rPr>
                            <w:b/>
                            <w:sz w:val="18"/>
                            <w:szCs w:val="18"/>
                          </w:rPr>
                          <w:t xml:space="preserve"> </w:t>
                        </w:r>
                        <w:r>
                          <w:rPr>
                            <w:sz w:val="18"/>
                            <w:szCs w:val="18"/>
                          </w:rPr>
                          <w:t>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 J96.1</w:t>
                        </w:r>
                      </w:p>
                      <w:p>
                        <w:pPr>
                          <w:rPr>
                            <w:sz w:val="18"/>
                            <w:szCs w:val="18"/>
                          </w:rPr>
                        </w:pPr>
                        <w:r>
                          <w:rPr>
                            <w:sz w:val="18"/>
                            <w:szCs w:val="18"/>
                          </w:rPr>
                          <w:t>5. Lėtinės kepenų ligos K70–K77</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pulmonologas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1.53.8. Stirenas (O) </w:t>
                        </w:r>
                      </w:p>
                    </w:tc>
                    <w:tc>
                      <w:tcPr>
                        <w:tcW w:w="1653" w:type="dxa"/>
                        <w:vMerge w:val="restart"/>
                      </w:tcPr>
                      <w:p>
                        <w:pPr>
                          <w:rPr>
                            <w:sz w:val="18"/>
                            <w:szCs w:val="18"/>
                          </w:rPr>
                        </w:pPr>
                        <w:r>
                          <w:rPr>
                            <w:sz w:val="18"/>
                            <w:szCs w:val="18"/>
                          </w:rPr>
                          <w:t>Stireno polimerų ir kopolimerų, polieterinių dervų, lakų ir klijų, stikloplastikų gamyba; dervų ir plastmasių perdirbimas; dervų lakų, klijų 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leukograma, IKFT</w:t>
                        </w:r>
                      </w:p>
                    </w:tc>
                    <w:tc>
                      <w:tcPr>
                        <w:tcW w:w="2437" w:type="dxa"/>
                        <w:vMerge w:val="restart"/>
                      </w:tcPr>
                      <w:p>
                        <w:pPr>
                          <w:rPr>
                            <w:sz w:val="18"/>
                            <w:szCs w:val="18"/>
                          </w:rPr>
                        </w:pPr>
                        <w:r>
                          <w:rPr>
                            <w:sz w:val="18"/>
                            <w:szCs w:val="18"/>
                          </w:rPr>
                          <w:t xml:space="preserve">1. Kraujo ir kraujodaros organų ligos  D50–D53, D55–D59, D60–D64, D65–D69, D70–D77  </w:t>
                        </w:r>
                      </w:p>
                      <w:p>
                        <w:pPr>
                          <w:rPr>
                            <w:sz w:val="18"/>
                            <w:szCs w:val="18"/>
                          </w:rPr>
                        </w:pPr>
                        <w:r>
                          <w:rPr>
                            <w:sz w:val="18"/>
                            <w:szCs w:val="18"/>
                          </w:rPr>
                          <w:t>2. Astma J45</w:t>
                        </w:r>
                      </w:p>
                      <w:p>
                        <w:pPr>
                          <w:rPr>
                            <w:sz w:val="18"/>
                            <w:szCs w:val="18"/>
                          </w:rPr>
                        </w:pPr>
                        <w:r>
                          <w:rPr>
                            <w:sz w:val="18"/>
                            <w:szCs w:val="18"/>
                          </w:rPr>
                          <w:t xml:space="preserve">3. Lėtinės kepenų ligos  K70–K77</w:t>
                        </w:r>
                      </w:p>
                      <w:p>
                        <w:pPr>
                          <w:tabs>
                            <w:tab w:val="num" w:pos="286"/>
                          </w:tabs>
                          <w:rPr>
                            <w:sz w:val="18"/>
                            <w:szCs w:val="18"/>
                          </w:rPr>
                        </w:pP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hematologas, gastroenterologas, pulmonologas, radiologas</w:t>
                        </w:r>
                      </w:p>
                    </w:tc>
                    <w:tc>
                      <w:tcPr>
                        <w:tcW w:w="2755" w:type="dxa"/>
                      </w:tcPr>
                      <w:p>
                        <w:pPr>
                          <w:rPr>
                            <w:sz w:val="18"/>
                            <w:szCs w:val="18"/>
                          </w:rPr>
                        </w:pPr>
                        <w:r>
                          <w:rPr>
                            <w:sz w:val="18"/>
                            <w:szCs w:val="18"/>
                          </w:rPr>
                          <w:t xml:space="preserve">Esant indikacijų –krūtinės ląstos rentgenograma,  baltymas kraujo serume, ALT, AST </w:t>
                        </w:r>
                      </w:p>
                    </w:tc>
                    <w:tc>
                      <w:tcPr>
                        <w:tcW w:w="2437" w:type="dxa"/>
                        <w:vMerge/>
                      </w:tcPr>
                      <w:p>
                        <w:pPr>
                          <w:rPr>
                            <w:sz w:val="18"/>
                            <w:szCs w:val="18"/>
                          </w:rPr>
                        </w:pPr>
                      </w:p>
                    </w:tc>
                  </w:tr>
                  <w:tr>
                    <w:trPr>
                      <w:trHeight w:val="5181"/>
                    </w:trPr>
                    <w:tc>
                      <w:tcPr>
                        <w:tcW w:w="2447" w:type="dxa"/>
                      </w:tcPr>
                      <w:p>
                        <w:pPr>
                          <w:rPr>
                            <w:sz w:val="18"/>
                            <w:szCs w:val="18"/>
                          </w:rPr>
                        </w:pPr>
                        <w:r>
                          <w:rPr>
                            <w:sz w:val="18"/>
                            <w:szCs w:val="18"/>
                          </w:rPr>
                          <w:t>1.53.9. Vinilchlorido monomeras (toliau – VCM) , (K, O) vinilchloridas, chloretenas, chloretilenas</w:t>
                        </w:r>
                      </w:p>
                    </w:tc>
                    <w:tc>
                      <w:tcPr>
                        <w:tcW w:w="1653" w:type="dxa"/>
                      </w:tcPr>
                      <w:p>
                        <w:pPr>
                          <w:rPr>
                            <w:sz w:val="18"/>
                            <w:szCs w:val="18"/>
                          </w:rPr>
                        </w:pPr>
                        <w:r>
                          <w:rPr>
                            <w:sz w:val="18"/>
                            <w:szCs w:val="18"/>
                          </w:rPr>
                          <w:t>Polivinilchlorido naudojimas, procesai, susiję su VCM monomero išsiskyrimu</w:t>
                        </w:r>
                      </w:p>
                    </w:tc>
                    <w:tc>
                      <w:tcPr>
                        <w:tcW w:w="1402" w:type="dxa"/>
                      </w:tcPr>
                      <w:p>
                        <w:pPr>
                          <w:rPr>
                            <w:sz w:val="18"/>
                            <w:szCs w:val="18"/>
                          </w:rPr>
                        </w:pPr>
                        <w:r>
                          <w:rPr>
                            <w:sz w:val="18"/>
                            <w:szCs w:val="18"/>
                          </w:rPr>
                          <w:t>1 kartą per metus</w:t>
                        </w:r>
                      </w:p>
                    </w:tc>
                    <w:tc>
                      <w:tcPr>
                        <w:tcW w:w="1923" w:type="dxa"/>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p>
                        <w:pPr>
                          <w:rPr>
                            <w:sz w:val="18"/>
                            <w:szCs w:val="18"/>
                          </w:rPr>
                        </w:pPr>
                        <w:r>
                          <w:rPr>
                            <w:sz w:val="18"/>
                            <w:szCs w:val="18"/>
                          </w:rPr>
                          <w:t>Esant indikacijų – onkologas radioterapeutas, onkologas chemoterapeutas, hematologas,</w:t>
                        </w:r>
                      </w:p>
                      <w:p>
                        <w:pPr>
                          <w:rPr>
                            <w:sz w:val="18"/>
                            <w:szCs w:val="18"/>
                          </w:rPr>
                        </w:pPr>
                        <w:r>
                          <w:rPr>
                            <w:sz w:val="18"/>
                            <w:szCs w:val="18"/>
                          </w:rPr>
                          <w:t>neurologas, dermatovenerologas, endokrinologas, psichiatras, pulmonologas</w:t>
                        </w:r>
                      </w:p>
                    </w:tc>
                    <w:tc>
                      <w:tcPr>
                        <w:tcW w:w="2755" w:type="dxa"/>
                      </w:tcPr>
                      <w:p>
                        <w:pPr>
                          <w:rPr>
                            <w:sz w:val="18"/>
                            <w:szCs w:val="18"/>
                          </w:rPr>
                        </w:pPr>
                        <w:r>
                          <w:rPr>
                            <w:sz w:val="18"/>
                            <w:szCs w:val="18"/>
                          </w:rPr>
                          <w:t>Kraujo tyrimas hematologiniu analizatoriumi (eritrocitai, hemoglobinas, leukocitai, trombocitai), ENG, leukograma, gliukozės kiekis kraujyje, KLR, IKFT, baltymas kraujo serume, ALT, AST</w:t>
                        </w:r>
                      </w:p>
                      <w:p>
                        <w:pPr>
                          <w:rPr>
                            <w:sz w:val="18"/>
                            <w:szCs w:val="18"/>
                          </w:rPr>
                        </w:pPr>
                        <w:r>
                          <w:rPr>
                            <w:sz w:val="18"/>
                            <w:szCs w:val="18"/>
                          </w:rPr>
                          <w:t>Esant indikacijų –rankų kaulų rentgenologinis tyrimas</w:t>
                        </w:r>
                      </w:p>
                    </w:tc>
                    <w:tc>
                      <w:tcPr>
                        <w:tcW w:w="2437" w:type="dxa"/>
                      </w:tcPr>
                      <w:p>
                        <w:pPr>
                          <w:rPr>
                            <w:sz w:val="18"/>
                            <w:szCs w:val="18"/>
                          </w:rPr>
                        </w:pPr>
                        <w:r>
                          <w:rPr>
                            <w:sz w:val="18"/>
                            <w:szCs w:val="18"/>
                          </w:rPr>
                          <w:t>1. Obliteruojantis endarteritas, Raynaud sindromas I70–I73.0</w:t>
                        </w:r>
                      </w:p>
                      <w:p>
                        <w:pPr>
                          <w:tabs>
                            <w:tab w:val="num" w:pos="720"/>
                          </w:tabs>
                          <w:rPr>
                            <w:sz w:val="18"/>
                            <w:szCs w:val="18"/>
                          </w:rPr>
                        </w:pPr>
                        <w:r>
                          <w:rPr>
                            <w:sz w:val="18"/>
                            <w:szCs w:val="18"/>
                          </w:rPr>
                          <w:t>2. Galūnių polineuropatijos G60–G64</w:t>
                        </w:r>
                      </w:p>
                      <w:p>
                        <w:pPr>
                          <w:tabs>
                            <w:tab w:val="num" w:pos="720"/>
                          </w:tabs>
                          <w:rPr>
                            <w:sz w:val="18"/>
                            <w:szCs w:val="18"/>
                          </w:rPr>
                        </w:pPr>
                        <w:r>
                          <w:rPr>
                            <w:sz w:val="18"/>
                            <w:szCs w:val="18"/>
                          </w:rPr>
                          <w:t>3. Lėtinės obstrukcinės plaučių ligos J44–J47</w:t>
                        </w:r>
                      </w:p>
                      <w:p>
                        <w:pPr>
                          <w:tabs>
                            <w:tab w:val="num" w:pos="720"/>
                          </w:tabs>
                          <w:rPr>
                            <w:sz w:val="18"/>
                            <w:szCs w:val="18"/>
                          </w:rPr>
                        </w:pPr>
                        <w:r>
                          <w:rPr>
                            <w:sz w:val="18"/>
                            <w:szCs w:val="18"/>
                          </w:rPr>
                          <w:t>4. Astma J45</w:t>
                        </w:r>
                      </w:p>
                      <w:p>
                        <w:pPr>
                          <w:tabs>
                            <w:tab w:val="num" w:pos="720"/>
                          </w:tabs>
                          <w:rPr>
                            <w:sz w:val="18"/>
                            <w:szCs w:val="18"/>
                          </w:rPr>
                        </w:pPr>
                        <w:r>
                          <w:rPr>
                            <w:sz w:val="18"/>
                            <w:szCs w:val="18"/>
                          </w:rPr>
                          <w:t>5. Lėtinis kvėpavimo nepakankamumas I–II° J96.1</w:t>
                        </w:r>
                      </w:p>
                      <w:p>
                        <w:pPr>
                          <w:tabs>
                            <w:tab w:val="num" w:pos="720"/>
                          </w:tabs>
                          <w:rPr>
                            <w:sz w:val="18"/>
                            <w:szCs w:val="18"/>
                          </w:rPr>
                        </w:pPr>
                        <w:r>
                          <w:rPr>
                            <w:sz w:val="18"/>
                            <w:szCs w:val="18"/>
                          </w:rPr>
                          <w:t xml:space="preserve">6.Cukrinis diabetas  E10–E14</w:t>
                        </w:r>
                      </w:p>
                      <w:p>
                        <w:pPr>
                          <w:tabs>
                            <w:tab w:val="num" w:pos="720"/>
                          </w:tabs>
                          <w:rPr>
                            <w:sz w:val="18"/>
                            <w:szCs w:val="18"/>
                          </w:rPr>
                        </w:pPr>
                        <w:r>
                          <w:rPr>
                            <w:sz w:val="18"/>
                            <w:szCs w:val="18"/>
                          </w:rPr>
                          <w:t xml:space="preserve">7. Kraujo ir kraujodaros organų ligos  D50–D53, D55–D59, D60–D64, D65–D69, D70–D77  </w:t>
                        </w:r>
                      </w:p>
                      <w:p>
                        <w:pPr>
                          <w:tabs>
                            <w:tab w:val="num" w:pos="720"/>
                          </w:tabs>
                          <w:rPr>
                            <w:sz w:val="18"/>
                            <w:szCs w:val="18"/>
                          </w:rPr>
                        </w:pPr>
                        <w:r>
                          <w:rPr>
                            <w:sz w:val="18"/>
                            <w:szCs w:val="18"/>
                          </w:rPr>
                          <w:t xml:space="preserve">8. Lėtinės odos ligos, sklerodermija  L02, L08, L10–L14, L20–L30, L40, L50–L54, M34</w:t>
                        </w:r>
                      </w:p>
                      <w:p>
                        <w:pPr>
                          <w:tabs>
                            <w:tab w:val="num" w:pos="720"/>
                          </w:tabs>
                          <w:rPr>
                            <w:sz w:val="18"/>
                            <w:szCs w:val="18"/>
                          </w:rPr>
                        </w:pPr>
                        <w:r>
                          <w:rPr>
                            <w:sz w:val="18"/>
                            <w:szCs w:val="18"/>
                          </w:rPr>
                          <w:t xml:space="preserve">9. Alkoholizmas, narkomanija, toksikomanija  F10–F19</w:t>
                        </w:r>
                      </w:p>
                      <w:p>
                        <w:pPr>
                          <w:tabs>
                            <w:tab w:val="num" w:pos="720"/>
                          </w:tabs>
                          <w:rPr>
                            <w:sz w:val="18"/>
                            <w:szCs w:val="18"/>
                          </w:rPr>
                        </w:pPr>
                        <w:r>
                          <w:rPr>
                            <w:sz w:val="18"/>
                            <w:szCs w:val="18"/>
                          </w:rPr>
                          <w:t xml:space="preserve">10. Lėtinės kepenų ligos  K70–K77</w:t>
                        </w:r>
                      </w:p>
                      <w:p>
                        <w:pPr>
                          <w:tabs>
                            <w:tab w:val="num" w:pos="720"/>
                          </w:tabs>
                          <w:rPr>
                            <w:sz w:val="18"/>
                            <w:szCs w:val="18"/>
                          </w:rPr>
                        </w:pPr>
                        <w:r>
                          <w:rPr>
                            <w:sz w:val="18"/>
                            <w:szCs w:val="18"/>
                          </w:rPr>
                          <w:t>11. Navikiniai susirgimai anamnezėje C00–D48</w:t>
                        </w:r>
                      </w:p>
                    </w:tc>
                  </w:tr>
                  <w:tr>
                    <w:trPr>
                      <w:trHeight w:val="142"/>
                    </w:trPr>
                    <w:tc>
                      <w:tcPr>
                        <w:tcW w:w="2447" w:type="dxa"/>
                        <w:vMerge w:val="restart"/>
                      </w:tcPr>
                      <w:p>
                        <w:pPr>
                          <w:rPr>
                            <w:sz w:val="18"/>
                            <w:szCs w:val="18"/>
                          </w:rPr>
                        </w:pPr>
                        <w:r>
                          <w:rPr>
                            <w:sz w:val="18"/>
                            <w:szCs w:val="18"/>
                          </w:rPr>
                          <w:t>1.54. Retieji žemės elementai (lantanas, cezis, kandis, erbis ir kt.)</w:t>
                        </w:r>
                      </w:p>
                    </w:tc>
                    <w:tc>
                      <w:tcPr>
                        <w:tcW w:w="1653" w:type="dxa"/>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tabs>
                            <w:tab w:val="num" w:pos="286"/>
                          </w:tabs>
                          <w:rPr>
                            <w:sz w:val="18"/>
                            <w:szCs w:val="18"/>
                          </w:rPr>
                        </w:pPr>
                        <w:r>
                          <w:rPr>
                            <w:sz w:val="18"/>
                            <w:szCs w:val="18"/>
                          </w:rPr>
                          <w:t>3. Lėtinis kvėpavimo nepakankamumas I–II</w:t>
                          <w:sym w:font="Symbol" w:char="F0B0"/>
                          <w:t xml:space="preserve"> J96.1</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pulmonologas, radiologas</w:t>
                        </w:r>
                      </w:p>
                    </w:tc>
                    <w:tc>
                      <w:tcPr>
                        <w:tcW w:w="2755" w:type="dxa"/>
                      </w:tcPr>
                      <w:p>
                        <w:pPr>
                          <w:rPr>
                            <w:sz w:val="18"/>
                            <w:szCs w:val="18"/>
                          </w:rPr>
                        </w:pPr>
                        <w:r>
                          <w:rPr>
                            <w:sz w:val="18"/>
                            <w:szCs w:val="18"/>
                          </w:rPr>
                          <w:t>Esant indikacijų – KLR</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1.55. Selenas, telūras ir jų junginiai</w:t>
                        </w:r>
                      </w:p>
                    </w:tc>
                    <w:tc>
                      <w:tcPr>
                        <w:tcW w:w="1653" w:type="dxa"/>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rPr>
                            <w:sz w:val="18"/>
                            <w:szCs w:val="18"/>
                          </w:rPr>
                        </w:pPr>
                        <w:r>
                          <w:rPr>
                            <w:sz w:val="18"/>
                            <w:szCs w:val="18"/>
                          </w:rPr>
                          <w:t>3. Lėtinis kvėpavimo nepakankamumas I–II</w:t>
                          <w:sym w:font="Symbol" w:char="F0B0"/>
                          <w:t xml:space="preserve"> J96.1</w:t>
                        </w:r>
                      </w:p>
                      <w:p>
                        <w:pPr>
                          <w:rPr>
                            <w:sz w:val="18"/>
                            <w:szCs w:val="18"/>
                          </w:rPr>
                        </w:pPr>
                        <w:r>
                          <w:rPr>
                            <w:sz w:val="18"/>
                            <w:szCs w:val="18"/>
                          </w:rPr>
                          <w:t xml:space="preserve">4.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radiologas, pulmonologas, dermatovenerologas</w:t>
                        </w:r>
                      </w:p>
                    </w:tc>
                    <w:tc>
                      <w:tcPr>
                        <w:tcW w:w="2755" w:type="dxa"/>
                      </w:tcPr>
                      <w:p>
                        <w:pPr>
                          <w:rPr>
                            <w:sz w:val="18"/>
                            <w:szCs w:val="18"/>
                          </w:rPr>
                        </w:pPr>
                        <w:r>
                          <w:rPr>
                            <w:sz w:val="18"/>
                            <w:szCs w:val="18"/>
                          </w:rPr>
                          <w:t>Esant indikacijų – KLR</w:t>
                        </w:r>
                      </w:p>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1.56. Siera ir jos junginiai (sieros ir sulfitinė rūgštys, sieros dioksidas (Ū), sieros trioksidas, sieros vandenilis ir kt.) (F, Ū) </w:t>
                        </w:r>
                      </w:p>
                    </w:tc>
                    <w:tc>
                      <w:tcPr>
                        <w:tcW w:w="1653" w:type="dxa"/>
                        <w:vMerge w:val="restart"/>
                      </w:tcPr>
                      <w:p>
                        <w:pPr>
                          <w:rPr>
                            <w:sz w:val="18"/>
                            <w:szCs w:val="18"/>
                          </w:rPr>
                        </w:pPr>
                        <w:r>
                          <w:rPr>
                            <w:sz w:val="18"/>
                            <w:szCs w:val="18"/>
                          </w:rPr>
                          <w:t>Gamyba, 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IKFT, KLR </w:t>
                        </w:r>
                      </w:p>
                    </w:tc>
                    <w:tc>
                      <w:tcPr>
                        <w:tcW w:w="2437" w:type="dxa"/>
                        <w:vMerge w:val="restart"/>
                      </w:tcPr>
                      <w:p>
                        <w:pPr>
                          <w:rPr>
                            <w:sz w:val="18"/>
                            <w:szCs w:val="18"/>
                          </w:rPr>
                        </w:pPr>
                        <w:r>
                          <w:rPr>
                            <w:sz w:val="18"/>
                            <w:szCs w:val="18"/>
                          </w:rPr>
                          <w:t>1. Viršutinių kvėpavimo takų atrofiniai pakitimai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Priekinės akių dalies ligos (vokų, junginės, ragenos, ašarų takų)  H00–H06, H10–H13, H15–H20</w:t>
                        </w:r>
                      </w:p>
                      <w:p>
                        <w:pPr>
                          <w:rPr>
                            <w:sz w:val="18"/>
                            <w:szCs w:val="18"/>
                          </w:rPr>
                        </w:pPr>
                        <w:r>
                          <w:rPr>
                            <w:sz w:val="18"/>
                            <w:szCs w:val="18"/>
                          </w:rPr>
                          <w:t xml:space="preserve">6.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oftalmologas, dermatovenerologas, pulmonologas</w:t>
                        </w:r>
                      </w:p>
                    </w:tc>
                    <w:tc>
                      <w:tcPr>
                        <w:tcW w:w="2755" w:type="dxa"/>
                      </w:tcPr>
                      <w:p>
                        <w:pPr>
                          <w:rPr>
                            <w:sz w:val="18"/>
                            <w:szCs w:val="18"/>
                          </w:rPr>
                        </w:pPr>
                      </w:p>
                    </w:tc>
                    <w:tc>
                      <w:tcPr>
                        <w:tcW w:w="2437" w:type="dxa"/>
                        <w:vMerge/>
                      </w:tcPr>
                      <w:p>
                        <w:pPr>
                          <w:rPr>
                            <w:sz w:val="18"/>
                            <w:szCs w:val="18"/>
                          </w:rPr>
                        </w:pPr>
                      </w:p>
                    </w:tc>
                  </w:tr>
                  <w:tr>
                    <w:trPr>
                      <w:cantSplit/>
                      <w:trHeight w:val="142"/>
                    </w:trPr>
                    <w:tc>
                      <w:tcPr>
                        <w:tcW w:w="2447" w:type="dxa"/>
                        <w:vMerge w:val="restart"/>
                      </w:tcPr>
                      <w:p>
                        <w:pPr>
                          <w:rPr>
                            <w:sz w:val="18"/>
                            <w:szCs w:val="18"/>
                          </w:rPr>
                        </w:pPr>
                        <w:r>
                          <w:rPr>
                            <w:sz w:val="18"/>
                            <w:szCs w:val="18"/>
                          </w:rPr>
                          <w:t>1.57. Skalūnų dervos</w:t>
                        </w:r>
                      </w:p>
                    </w:tc>
                    <w:tc>
                      <w:tcPr>
                        <w:tcW w:w="1653" w:type="dxa"/>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 xml:space="preserve">1. Viršutinių kvėpavimo takų atrofiniai pakitimai  J30–J31, J37–J39</w:t>
                        </w:r>
                      </w:p>
                      <w:p>
                        <w:pPr>
                          <w:rPr>
                            <w:sz w:val="18"/>
                            <w:szCs w:val="18"/>
                          </w:rPr>
                        </w:pPr>
                        <w:r>
                          <w:rPr>
                            <w:sz w:val="18"/>
                            <w:szCs w:val="18"/>
                          </w:rPr>
                          <w:t>2. Astma J45</w:t>
                        </w:r>
                      </w:p>
                      <w:p>
                        <w:pPr>
                          <w:rPr>
                            <w:sz w:val="18"/>
                            <w:szCs w:val="18"/>
                          </w:rPr>
                        </w:pPr>
                        <w:r>
                          <w:rPr>
                            <w:sz w:val="18"/>
                            <w:szCs w:val="18"/>
                          </w:rPr>
                          <w:t xml:space="preserve">3. Lėtinės odos ligos, fotodermatozės, diskeratozės, seborėjinis dermatitas  L02, L08, L10–L14, L20–L30, L40, L50–L54, L56, L21, L80, L84–L85</w:t>
                        </w:r>
                      </w:p>
                      <w:p>
                        <w:pPr>
                          <w:rPr>
                            <w:sz w:val="18"/>
                            <w:szCs w:val="18"/>
                          </w:rPr>
                        </w:pPr>
                        <w:r>
                          <w:rPr>
                            <w:sz w:val="18"/>
                            <w:szCs w:val="18"/>
                          </w:rPr>
                          <w:t xml:space="preserve">4. Akių ligos (vokų, junginės, ragenos, ašarų takų)  H00–H06, H10–H13, H15–H20</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dermatovenerologas, onkologas radioterapeutas, onkologas chemoterapeutas, pulmonologas, </w:t>
                        </w:r>
                      </w:p>
                      <w:p>
                        <w:pPr>
                          <w:rPr>
                            <w:sz w:val="18"/>
                            <w:szCs w:val="18"/>
                          </w:rPr>
                        </w:pPr>
                        <w:r>
                          <w:rPr>
                            <w:sz w:val="18"/>
                            <w:szCs w:val="18"/>
                          </w:rPr>
                          <w:t>otorinolaringologas,</w:t>
                        </w:r>
                      </w:p>
                      <w:p>
                        <w:pPr>
                          <w:rPr>
                            <w:sz w:val="18"/>
                            <w:szCs w:val="18"/>
                          </w:rPr>
                        </w:pPr>
                        <w:r>
                          <w:rPr>
                            <w:sz w:val="18"/>
                            <w:szCs w:val="18"/>
                          </w:rPr>
                          <w:t>oftalmologas, radiologas</w:t>
                        </w:r>
                      </w:p>
                    </w:tc>
                    <w:tc>
                      <w:tcPr>
                        <w:tcW w:w="2755" w:type="dxa"/>
                      </w:tcPr>
                      <w:p>
                        <w:pPr>
                          <w:rPr>
                            <w:sz w:val="18"/>
                            <w:szCs w:val="18"/>
                          </w:rPr>
                        </w:pPr>
                        <w:r>
                          <w:rPr>
                            <w:sz w:val="18"/>
                            <w:szCs w:val="18"/>
                          </w:rPr>
                          <w:t>Esant indikacijų – KLR</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1.58. Sintetinės skalbimo priemonės (J)</w:t>
                        </w:r>
                      </w:p>
                    </w:tc>
                    <w:tc>
                      <w:tcPr>
                        <w:tcW w:w="1653" w:type="dxa"/>
                        <w:vMerge w:val="restart"/>
                      </w:tcPr>
                      <w:p>
                        <w:pPr>
                          <w:rPr>
                            <w:sz w:val="18"/>
                            <w:szCs w:val="18"/>
                          </w:rPr>
                        </w:pPr>
                        <w:r>
                          <w:rPr>
                            <w:sz w:val="18"/>
                            <w:szCs w:val="18"/>
                          </w:rPr>
                          <w:t>Naudojimas, gamyba</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rPr>
                            <w:sz w:val="18"/>
                            <w:szCs w:val="18"/>
                          </w:rPr>
                        </w:pPr>
                        <w:r>
                          <w:rPr>
                            <w:sz w:val="18"/>
                            <w:szCs w:val="18"/>
                          </w:rPr>
                          <w:t>3. Lėtinis kvėpavimo nepakankamumas I–II° J96.1</w:t>
                        </w:r>
                      </w:p>
                      <w:p>
                        <w:pPr>
                          <w:rPr>
                            <w:sz w:val="18"/>
                            <w:szCs w:val="18"/>
                          </w:rPr>
                        </w:pPr>
                        <w:r>
                          <w:rPr>
                            <w:sz w:val="18"/>
                            <w:szCs w:val="18"/>
                          </w:rPr>
                          <w:t>4. Atrofiniai viršutinių kvėpavimo takų pakitimai J30–J31, J37–J39</w:t>
                        </w:r>
                      </w:p>
                      <w:p>
                        <w:pPr>
                          <w:rPr>
                            <w:sz w:val="18"/>
                            <w:szCs w:val="18"/>
                          </w:rPr>
                        </w:pPr>
                        <w:r>
                          <w:rPr>
                            <w:sz w:val="18"/>
                            <w:szCs w:val="18"/>
                          </w:rPr>
                          <w:t>5. Odos alerginės ligos L23</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otorinolaringologas, dermatovenerologas, </w:t>
                        </w:r>
                      </w:p>
                      <w:p>
                        <w:pPr>
                          <w:rPr>
                            <w:sz w:val="18"/>
                            <w:szCs w:val="18"/>
                          </w:rPr>
                        </w:pPr>
                        <w:r>
                          <w:rPr>
                            <w:sz w:val="18"/>
                            <w:szCs w:val="18"/>
                          </w:rPr>
                          <w:t>pulmonologas, radiologas</w:t>
                        </w:r>
                      </w:p>
                    </w:tc>
                    <w:tc>
                      <w:tcPr>
                        <w:tcW w:w="2755" w:type="dxa"/>
                      </w:tcPr>
                      <w:p>
                        <w:pPr>
                          <w:rPr>
                            <w:sz w:val="18"/>
                            <w:szCs w:val="18"/>
                          </w:rPr>
                        </w:pPr>
                        <w:r>
                          <w:rPr>
                            <w:sz w:val="18"/>
                            <w:szCs w:val="18"/>
                          </w:rPr>
                          <w:t>Esant indikacijų – KLR</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1.59. Stibis ir jo junginiai (stibio oksidas, stibio chloridas, stibio jodidas, stibio fluoridas ir kt.) </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 J96.1</w:t>
                        </w:r>
                      </w:p>
                      <w:p>
                        <w:pPr>
                          <w:rPr>
                            <w:sz w:val="18"/>
                            <w:szCs w:val="18"/>
                          </w:rPr>
                        </w:pPr>
                        <w:r>
                          <w:rPr>
                            <w:sz w:val="18"/>
                            <w:szCs w:val="18"/>
                          </w:rPr>
                          <w:t xml:space="preserve">5.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1.60. Sintetinis kaučiukas (butadieninis, poliizopreninis, polichlorpreninis)</w:t>
                        </w:r>
                      </w:p>
                    </w:tc>
                    <w:tc>
                      <w:tcPr>
                        <w:tcW w:w="1653" w:type="dxa"/>
                        <w:vMerge w:val="restart"/>
                      </w:tcPr>
                      <w:p>
                        <w:pPr>
                          <w:rPr>
                            <w:sz w:val="18"/>
                            <w:szCs w:val="18"/>
                          </w:rPr>
                        </w:pPr>
                        <w:r>
                          <w:rPr>
                            <w:sz w:val="18"/>
                            <w:szCs w:val="18"/>
                          </w:rPr>
                          <w:t>Naudojimas, vulkanizavimas, perdirbimas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1. Astma J45</w:t>
                        </w:r>
                      </w:p>
                      <w:p>
                        <w:pPr>
                          <w:tabs>
                            <w:tab w:val="num" w:pos="286"/>
                          </w:tabs>
                          <w:rPr>
                            <w:sz w:val="18"/>
                            <w:szCs w:val="18"/>
                          </w:rPr>
                        </w:pPr>
                        <w:r>
                          <w:rPr>
                            <w:sz w:val="18"/>
                            <w:szCs w:val="18"/>
                          </w:rPr>
                          <w:t xml:space="preserve">2.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pulmonologas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1.61. Švinas ir jo neorganiniai junginiai (R) </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vMerge w:val="restart"/>
                      </w:tcPr>
                      <w:p>
                        <w:pPr>
                          <w:rPr>
                            <w:sz w:val="18"/>
                            <w:szCs w:val="18"/>
                          </w:rPr>
                        </w:pPr>
                        <w:r>
                          <w:rPr>
                            <w:sz w:val="18"/>
                            <w:szCs w:val="18"/>
                          </w:rPr>
                          <w:t xml:space="preserve">Kraujo tyrimas hematologiniu analizatoriumi (eritrocitai, eritrocitai su bazofiliniu grūdėtumu, hemoglobinas, retikuliocitų kiekis leukocitai, trombocitai), ENG, šlapimo tyrimas  analizatoriumi </w:t>
                        </w:r>
                      </w:p>
                    </w:tc>
                    <w:tc>
                      <w:tcPr>
                        <w:tcW w:w="2437" w:type="dxa"/>
                        <w:vMerge w:val="restart"/>
                      </w:tcPr>
                      <w:p>
                        <w:pPr>
                          <w:rPr>
                            <w:sz w:val="18"/>
                            <w:szCs w:val="18"/>
                          </w:rPr>
                        </w:pPr>
                        <w:r>
                          <w:rPr>
                            <w:sz w:val="18"/>
                            <w:szCs w:val="18"/>
                          </w:rPr>
                          <w:t xml:space="preserve">1. Lėtinės kepenų ligos  K70–K77</w:t>
                        </w:r>
                      </w:p>
                      <w:p>
                        <w:pPr>
                          <w:rPr>
                            <w:sz w:val="18"/>
                            <w:szCs w:val="18"/>
                          </w:rPr>
                        </w:pPr>
                        <w:r>
                          <w:rPr>
                            <w:sz w:val="18"/>
                            <w:szCs w:val="18"/>
                          </w:rPr>
                          <w:t xml:space="preserve">2. Kraujo ir kraujodaros organų ligos  D50–D53, D55–D59, D60–D64, D65–D69, D70–D77 </w:t>
                        </w:r>
                      </w:p>
                      <w:p>
                        <w:pPr>
                          <w:rPr>
                            <w:sz w:val="18"/>
                            <w:szCs w:val="18"/>
                          </w:rPr>
                        </w:pPr>
                        <w:r>
                          <w:rPr>
                            <w:sz w:val="18"/>
                            <w:szCs w:val="18"/>
                          </w:rPr>
                          <w:t>3. Galūnių polineuropatijos G60–G64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neurologas</w:t>
                        </w:r>
                      </w:p>
                    </w:tc>
                    <w:tc>
                      <w:tcPr>
                        <w:tcW w:w="2755" w:type="dxa"/>
                        <w:vMerge/>
                      </w:tcPr>
                      <w:p>
                        <w:pPr>
                          <w:rPr>
                            <w:sz w:val="18"/>
                            <w:szCs w:val="18"/>
                          </w:rPr>
                        </w:pPr>
                      </w:p>
                    </w:tc>
                    <w:tc>
                      <w:tcPr>
                        <w:tcW w:w="2437" w:type="dxa"/>
                        <w:vMerge/>
                      </w:tcPr>
                      <w:p>
                        <w:pPr>
                          <w:rPr>
                            <w:sz w:val="18"/>
                            <w:szCs w:val="18"/>
                          </w:rPr>
                        </w:pPr>
                      </w:p>
                    </w:tc>
                  </w:tr>
                </w:tbl>
                <w:p/>
                <w:tbl>
                  <w:tblPr>
                    <w:tblW w:w="147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40" w:firstRow="0" w:lastRow="1" w:firstColumn="0" w:lastColumn="0" w:noHBand="0" w:noVBand="0"/>
                  </w:tblPr>
                  <w:tblGrid>
                    <w:gridCol w:w="2447"/>
                    <w:gridCol w:w="1653"/>
                    <w:gridCol w:w="1402"/>
                    <w:gridCol w:w="1923"/>
                    <w:gridCol w:w="2090"/>
                    <w:gridCol w:w="2755"/>
                    <w:gridCol w:w="2437"/>
                  </w:tblGrid>
                  <w:tr>
                    <w:trPr>
                      <w:trHeight w:val="142"/>
                    </w:trPr>
                    <w:tc>
                      <w:tcPr>
                        <w:tcW w:w="14707" w:type="dxa"/>
                        <w:gridSpan w:val="7"/>
                      </w:tcPr>
                      <w:p>
                        <w:pPr>
                          <w:pageBreakBefore/>
                          <w:rPr>
                            <w:sz w:val="18"/>
                            <w:szCs w:val="18"/>
                          </w:rPr>
                        </w:pPr>
                        <w:r>
                          <w:rPr>
                            <w:sz w:val="18"/>
                            <w:szCs w:val="18"/>
                          </w:rPr>
                          <w:t>1.62. Suvirinimo aerozoliai:</w:t>
                        </w:r>
                      </w:p>
                    </w:tc>
                  </w:tr>
                  <w:tr>
                    <w:trPr>
                      <w:trHeight w:val="142"/>
                    </w:trPr>
                    <w:tc>
                      <w:tcPr>
                        <w:tcW w:w="2447" w:type="dxa"/>
                        <w:vMerge w:val="restart"/>
                      </w:tcPr>
                      <w:p>
                        <w:pPr>
                          <w:rPr>
                            <w:sz w:val="18"/>
                            <w:szCs w:val="18"/>
                          </w:rPr>
                        </w:pPr>
                        <w:r>
                          <w:rPr>
                            <w:sz w:val="18"/>
                            <w:szCs w:val="18"/>
                          </w:rPr>
                          <w:t xml:space="preserve">1.62.1. turintys, nikelio, chromo, fluoro junginių, berilio, švino (J, K, R); </w:t>
                        </w:r>
                      </w:p>
                    </w:tc>
                    <w:tc>
                      <w:tcPr>
                        <w:tcW w:w="1653" w:type="dxa"/>
                        <w:vMerge w:val="restart"/>
                      </w:tcPr>
                      <w:p>
                        <w:pPr>
                          <w:rPr>
                            <w:sz w:val="18"/>
                            <w:szCs w:val="18"/>
                          </w:rPr>
                        </w:pPr>
                        <w:r>
                          <w:rPr>
                            <w:sz w:val="18"/>
                            <w:szCs w:val="18"/>
                          </w:rPr>
                          <w:t>Suvirinimas, pjovimas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J37–J39, J34.2</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 xml:space="preserve">7.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oftalmologas, pulmonologas,</w:t>
                        </w:r>
                      </w:p>
                      <w:p>
                        <w:pPr>
                          <w:rPr>
                            <w:sz w:val="18"/>
                            <w:szCs w:val="18"/>
                          </w:rPr>
                        </w:pPr>
                        <w:r>
                          <w:rPr>
                            <w:sz w:val="18"/>
                            <w:szCs w:val="18"/>
                          </w:rPr>
                          <w:t>dermatovenerologas, onkologas radioterapeutas, onkologas chemoterapeutas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1.62.2. turintys mangano, aliuminio, titano, vario, cinko, molibdeno, vanadžio, volframo</w:t>
                        </w:r>
                      </w:p>
                    </w:tc>
                    <w:tc>
                      <w:tcPr>
                        <w:tcW w:w="1653" w:type="dxa"/>
                        <w:vMerge w:val="restart"/>
                      </w:tcPr>
                      <w:p>
                        <w:pPr>
                          <w:rPr>
                            <w:sz w:val="18"/>
                            <w:szCs w:val="18"/>
                          </w:rPr>
                        </w:pPr>
                        <w:r>
                          <w:rPr>
                            <w:sz w:val="18"/>
                            <w:szCs w:val="18"/>
                          </w:rPr>
                          <w:t>Suvirinimas, pjovimas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J37–J39, J34.2</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 xml:space="preserve">7. Lėtinės odos ligos  L02, L08, L10–L14, L20–L30, L40, L50–L54</w:t>
                        </w:r>
                      </w:p>
                      <w:p>
                        <w:pPr>
                          <w:rPr>
                            <w:sz w:val="18"/>
                            <w:szCs w:val="18"/>
                          </w:rPr>
                        </w:pPr>
                        <w:r>
                          <w:rPr>
                            <w:sz w:val="18"/>
                            <w:szCs w:val="18"/>
                          </w:rPr>
                          <w:t>8. Galūnių polineuropatijos G60–G64</w:t>
                        </w:r>
                      </w:p>
                      <w:p>
                        <w:pPr>
                          <w:rPr>
                            <w:sz w:val="18"/>
                            <w:szCs w:val="18"/>
                          </w:rPr>
                        </w:pPr>
                        <w:r>
                          <w:rPr>
                            <w:sz w:val="18"/>
                            <w:szCs w:val="18"/>
                          </w:rPr>
                          <w:t>9. CNS ligos G00–G09, G10–G13, G30–G32</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neurologas, pulmonologas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1.63. Talis ir jo junginiai (talio bromidas, talio jodidas, talio chloridas, talio hidroksidas, talio nitratas ir kt.)</w:t>
                        </w:r>
                      </w:p>
                    </w:tc>
                    <w:tc>
                      <w:tcPr>
                        <w:tcW w:w="1653" w:type="dxa"/>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 xml:space="preserve">Kraujo tyrimas hematologiniu analizatoriumi (eritrocitai, hemoglobinas, leukocitai, trombocitai), ENG </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 xml:space="preserve">2. Lėtinis gingivitas, stomatitas, paradontozė  K05.1,  K12, K05.3</w:t>
                        </w:r>
                      </w:p>
                      <w:p>
                        <w:pPr>
                          <w:rPr>
                            <w:sz w:val="18"/>
                            <w:szCs w:val="18"/>
                          </w:rPr>
                        </w:pPr>
                        <w:r>
                          <w:rPr>
                            <w:sz w:val="18"/>
                            <w:szCs w:val="18"/>
                          </w:rPr>
                          <w:t xml:space="preserve">3. Priekinės akių dalies ligos (vokų, junginės, ragenos, ašarų takų)  H00–H06, H10–H13, H15–H20</w:t>
                        </w:r>
                      </w:p>
                      <w:p>
                        <w:pPr>
                          <w:rPr>
                            <w:sz w:val="18"/>
                            <w:szCs w:val="18"/>
                          </w:rPr>
                        </w:pPr>
                        <w:r>
                          <w:rPr>
                            <w:sz w:val="18"/>
                            <w:szCs w:val="18"/>
                          </w:rPr>
                          <w:t xml:space="preserve">4. Viršutinių kvėpavimo takų atrofiniai pakitimai   J30–J31, J37–J39</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w:t>
                        </w:r>
                      </w:p>
                      <w:p>
                        <w:pPr>
                          <w:rPr>
                            <w:sz w:val="18"/>
                            <w:szCs w:val="18"/>
                          </w:rPr>
                        </w:pPr>
                        <w:r>
                          <w:rPr>
                            <w:sz w:val="18"/>
                            <w:szCs w:val="18"/>
                          </w:rPr>
                          <w:t xml:space="preserve">neurologas, </w:t>
                        </w:r>
                      </w:p>
                      <w:p>
                        <w:pPr>
                          <w:rPr>
                            <w:sz w:val="18"/>
                            <w:szCs w:val="18"/>
                          </w:rPr>
                        </w:pPr>
                        <w:r>
                          <w:rPr>
                            <w:sz w:val="18"/>
                            <w:szCs w:val="18"/>
                          </w:rPr>
                          <w:t>oftalmologas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1.64. Taurieji metalai (auksas, sidabras, jų junginiai ir lydiniai) (J) </w:t>
                        </w:r>
                      </w:p>
                    </w:tc>
                    <w:tc>
                      <w:tcPr>
                        <w:tcW w:w="1653" w:type="dxa"/>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 xml:space="preserve">Kraujo tyrimas hematologiniu analizatoriumi (eritrocitai, hemoglobinas, leukocitai, trombocitai), ENG </w:t>
                        </w:r>
                      </w:p>
                    </w:tc>
                    <w:tc>
                      <w:tcPr>
                        <w:tcW w:w="2437" w:type="dxa"/>
                        <w:vMerge w:val="restart"/>
                      </w:tcPr>
                      <w:p>
                        <w:pPr>
                          <w:rPr>
                            <w:sz w:val="18"/>
                            <w:szCs w:val="18"/>
                          </w:rPr>
                        </w:pPr>
                        <w:r>
                          <w:rPr>
                            <w:sz w:val="18"/>
                            <w:szCs w:val="18"/>
                          </w:rPr>
                          <w:t>1. Astma J45</w:t>
                        </w:r>
                      </w:p>
                      <w:p>
                        <w:pPr>
                          <w:rPr>
                            <w:sz w:val="18"/>
                            <w:szCs w:val="18"/>
                          </w:rPr>
                        </w:pPr>
                        <w:r>
                          <w:rPr>
                            <w:sz w:val="18"/>
                            <w:szCs w:val="18"/>
                          </w:rPr>
                          <w:t xml:space="preserve">2. Priekinės akių dalies ligos (vokų, junginės, ragenos, ašarų takų)  H00–H06, H10–H13, H15–H20</w:t>
                        </w:r>
                      </w:p>
                      <w:p>
                        <w:pPr>
                          <w:rPr>
                            <w:sz w:val="18"/>
                            <w:szCs w:val="18"/>
                          </w:rPr>
                        </w:pPr>
                        <w:r>
                          <w:rPr>
                            <w:sz w:val="18"/>
                            <w:szCs w:val="18"/>
                          </w:rPr>
                          <w:t xml:space="preserve">3. Lėtinės  obstrukcinės plaučių ligos J44–J47</w:t>
                        </w:r>
                      </w:p>
                      <w:p>
                        <w:pPr>
                          <w:rPr>
                            <w:sz w:val="18"/>
                            <w:szCs w:val="18"/>
                          </w:rPr>
                        </w:pPr>
                        <w:r>
                          <w:rPr>
                            <w:sz w:val="18"/>
                            <w:szCs w:val="18"/>
                          </w:rPr>
                          <w:t>4. Lėtinis kvėpavimo nepakankamumas I–II? J96.1</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pulmonologas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1.65. Tetraetilšvinas (R, O)</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Neurologas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leukograma</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 xml:space="preserve">2. CNS ligos  G00–G09, G10–G13, G30–G32</w:t>
                        </w:r>
                      </w:p>
                      <w:p>
                        <w:pPr>
                          <w:tabs>
                            <w:tab w:val="num" w:pos="286"/>
                          </w:tabs>
                          <w:rPr>
                            <w:sz w:val="18"/>
                            <w:szCs w:val="18"/>
                          </w:rPr>
                        </w:pPr>
                        <w:r>
                          <w:rPr>
                            <w:sz w:val="18"/>
                            <w:szCs w:val="18"/>
                          </w:rPr>
                          <w:t xml:space="preserve">3. Kraujo ir kraujodaros organų ligos  D50–D53, D55–D59, D60–D64, D65–D69, D70–D77 </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hematologas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1.66. Tetranatrioetilendiamintetraacetatas</w:t>
                        </w:r>
                      </w:p>
                    </w:tc>
                    <w:tc>
                      <w:tcPr>
                        <w:tcW w:w="1653" w:type="dxa"/>
                        <w:vMerge w:val="restart"/>
                      </w:tcPr>
                      <w:p>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1. Astma J45</w:t>
                        </w:r>
                      </w:p>
                      <w:p>
                        <w:pPr>
                          <w:rPr>
                            <w:sz w:val="18"/>
                            <w:szCs w:val="18"/>
                          </w:rPr>
                        </w:pPr>
                        <w:r>
                          <w:rPr>
                            <w:sz w:val="18"/>
                            <w:szCs w:val="18"/>
                          </w:rPr>
                          <w:t xml:space="preserve">2. Lėtinės  obstrukcinės plaučių ligos J44–J47</w:t>
                        </w:r>
                      </w:p>
                      <w:p>
                        <w:pPr>
                          <w:rPr>
                            <w:sz w:val="18"/>
                            <w:szCs w:val="18"/>
                          </w:rPr>
                        </w:pPr>
                        <w:r>
                          <w:rPr>
                            <w:sz w:val="18"/>
                            <w:szCs w:val="18"/>
                          </w:rPr>
                          <w:t>3. Lėtinis kvėpavimo nepakankamumas I–II? J96.1</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–pulmonologas</w:t>
                        </w:r>
                      </w:p>
                    </w:tc>
                    <w:tc>
                      <w:tcPr>
                        <w:tcW w:w="2755" w:type="dxa"/>
                      </w:tcPr>
                      <w:p>
                        <w:pPr>
                          <w:rPr>
                            <w:sz w:val="18"/>
                            <w:szCs w:val="18"/>
                          </w:rPr>
                        </w:pPr>
                        <w:r>
                          <w:rPr>
                            <w:sz w:val="18"/>
                            <w:szCs w:val="18"/>
                          </w:rPr>
                          <w:t>Esant indikacijų – KLR</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1.67. Urzolis ir urzoliniai dažai (J) </w:t>
                        </w:r>
                      </w:p>
                    </w:tc>
                    <w:tc>
                      <w:tcPr>
                        <w:tcW w:w="1653" w:type="dxa"/>
                        <w:vMerge w:val="restart"/>
                      </w:tcPr>
                      <w:p>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1. Astma J45</w:t>
                        </w:r>
                      </w:p>
                      <w:p>
                        <w:pPr>
                          <w:rPr>
                            <w:sz w:val="18"/>
                            <w:szCs w:val="18"/>
                          </w:rPr>
                        </w:pPr>
                        <w:r>
                          <w:rPr>
                            <w:sz w:val="18"/>
                            <w:szCs w:val="18"/>
                          </w:rPr>
                          <w:t xml:space="preserve">2. Viršutinių kvėpavimo takų atrofiniai pakitimai. Hipertrofinis laringitas  J30–J31, J37–J39</w:t>
                        </w:r>
                      </w:p>
                      <w:p>
                        <w:pPr>
                          <w:rPr>
                            <w:sz w:val="18"/>
                            <w:szCs w:val="18"/>
                          </w:rPr>
                        </w:pPr>
                        <w:r>
                          <w:rPr>
                            <w:sz w:val="18"/>
                            <w:szCs w:val="18"/>
                          </w:rPr>
                          <w:t>3. Lėtinės obstrukcinės plaučių ligos J44–J47</w:t>
                        </w:r>
                      </w:p>
                      <w:p>
                        <w:pPr>
                          <w:rPr>
                            <w:sz w:val="18"/>
                            <w:szCs w:val="18"/>
                          </w:rPr>
                        </w:pPr>
                        <w:r>
                          <w:rPr>
                            <w:sz w:val="18"/>
                            <w:szCs w:val="18"/>
                          </w:rPr>
                          <w:t>4. Lėtinis kvėpavimo nepakankamumas I–II? J96.1</w:t>
                        </w:r>
                      </w:p>
                      <w:p>
                        <w:pPr>
                          <w:rPr>
                            <w:sz w:val="18"/>
                            <w:szCs w:val="18"/>
                          </w:rPr>
                        </w:pPr>
                        <w:r>
                          <w:rPr>
                            <w:sz w:val="18"/>
                            <w:szCs w:val="18"/>
                          </w:rPr>
                          <w:t xml:space="preserve">5. Akių ligos (vokų, junginės, ragenos, ašarų takų)  H00–H06, H10–H13, H15–H20</w:t>
                        </w:r>
                      </w:p>
                      <w:p>
                        <w:pPr>
                          <w:rPr>
                            <w:sz w:val="18"/>
                            <w:szCs w:val="18"/>
                          </w:rPr>
                        </w:pPr>
                        <w:r>
                          <w:rPr>
                            <w:sz w:val="18"/>
                            <w:szCs w:val="18"/>
                          </w:rPr>
                          <w:t>6. Odos alerginės ligos L23</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pulmonologas, radiologas</w:t>
                        </w:r>
                      </w:p>
                    </w:tc>
                    <w:tc>
                      <w:tcPr>
                        <w:tcW w:w="2755" w:type="dxa"/>
                      </w:tcPr>
                      <w:p>
                        <w:pPr>
                          <w:rPr>
                            <w:sz w:val="18"/>
                            <w:szCs w:val="18"/>
                          </w:rPr>
                        </w:pPr>
                        <w:r>
                          <w:rPr>
                            <w:sz w:val="18"/>
                            <w:szCs w:val="18"/>
                          </w:rPr>
                          <w:t>Esant indikacijų – KLR</w:t>
                        </w:r>
                      </w:p>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1.68. Vandenilio peroksidas (Ū) </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 xml:space="preserve">1. Viršutinių kvėpavimo takų atrofiniai pakitimai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pulmonologas, dermatovenerologas, radiologas</w:t>
                        </w:r>
                      </w:p>
                    </w:tc>
                    <w:tc>
                      <w:tcPr>
                        <w:tcW w:w="2755" w:type="dxa"/>
                      </w:tcPr>
                      <w:p>
                        <w:pPr>
                          <w:rPr>
                            <w:sz w:val="18"/>
                            <w:szCs w:val="18"/>
                          </w:rPr>
                        </w:pPr>
                        <w:r>
                          <w:rPr>
                            <w:sz w:val="18"/>
                            <w:szCs w:val="18"/>
                          </w:rPr>
                          <w:t>Esant indikacijų – KLR</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1.69. Kitos pavojingos cheminės medžiagos, neišvardytos šiame sąraše ir naudojamos Lietuvoje</w:t>
                        </w:r>
                      </w:p>
                    </w:tc>
                    <w:tc>
                      <w:tcPr>
                        <w:tcW w:w="1653" w:type="dxa"/>
                        <w:vMerge w:val="restart"/>
                      </w:tcPr>
                      <w:p>
                        <w:pPr>
                          <w:rPr>
                            <w:sz w:val="18"/>
                            <w:szCs w:val="18"/>
                          </w:rPr>
                        </w:pP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w:t>
                        </w:r>
                      </w:p>
                    </w:tc>
                    <w:tc>
                      <w:tcPr>
                        <w:tcW w:w="2437" w:type="dxa"/>
                        <w:vMerge w:val="restart"/>
                      </w:tcPr>
                      <w:p>
                        <w:pPr>
                          <w:rPr>
                            <w:sz w:val="18"/>
                            <w:szCs w:val="18"/>
                          </w:rPr>
                        </w:pPr>
                        <w:r>
                          <w:rPr>
                            <w:sz w:val="18"/>
                            <w:szCs w:val="18"/>
                          </w:rPr>
                          <w:t>1. Viršutinių kvėpavimo takų atrofiniai pakitimai, nosies pertvaros iškrypimai ir nosies kvėpavimo funkcijos sutrikimas J30–J31, J34.2,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 xml:space="preserve">7. Lėtinės odos ligos  L02, L08, L10–L14, L20–L30, L40, L50–L54</w:t>
                        </w:r>
                      </w:p>
                      <w:p>
                        <w:pPr>
                          <w:rPr>
                            <w:sz w:val="18"/>
                            <w:szCs w:val="18"/>
                          </w:rPr>
                        </w:pPr>
                        <w:r>
                          <w:rPr>
                            <w:sz w:val="18"/>
                            <w:szCs w:val="18"/>
                          </w:rPr>
                          <w:t xml:space="preserve">8. Lėtinės kepenų ligos  K70–K77</w:t>
                        </w:r>
                      </w:p>
                      <w:p>
                        <w:pPr>
                          <w:rPr>
                            <w:sz w:val="18"/>
                            <w:szCs w:val="18"/>
                          </w:rPr>
                        </w:pPr>
                        <w:r>
                          <w:rPr>
                            <w:sz w:val="18"/>
                            <w:szCs w:val="18"/>
                          </w:rPr>
                          <w:t xml:space="preserve">9. Lėtinės inkstų ligos  N00–N08, N10–N16, N17–N19, N20–N23</w:t>
                        </w:r>
                      </w:p>
                      <w:p>
                        <w:pPr>
                          <w:rPr>
                            <w:sz w:val="18"/>
                            <w:szCs w:val="18"/>
                          </w:rPr>
                        </w:pPr>
                        <w:r>
                          <w:rPr>
                            <w:sz w:val="18"/>
                            <w:szCs w:val="18"/>
                          </w:rPr>
                          <w:t xml:space="preserve">10. Kraujo ir kraujodaros organų ligos  D50–D53, D55–D59, D60–D64, D65–D69, D70–D77 </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oftalmologas, pulmonologas, dermatovenerologas, nefrologas, gastroenterologas, hematologas, radiologas,</w:t>
                        </w:r>
                      </w:p>
                      <w:p>
                        <w:pPr>
                          <w:rPr>
                            <w:sz w:val="18"/>
                            <w:szCs w:val="18"/>
                          </w:rPr>
                        </w:pPr>
                        <w:r>
                          <w:rPr>
                            <w:sz w:val="18"/>
                            <w:szCs w:val="18"/>
                          </w:rPr>
                          <w:t xml:space="preserve">klinikinės imunologijos ir alergologijos gydytojas, </w:t>
                        </w:r>
                      </w:p>
                    </w:tc>
                    <w:tc>
                      <w:tcPr>
                        <w:tcW w:w="2755" w:type="dxa"/>
                      </w:tcPr>
                      <w:p>
                        <w:pPr>
                          <w:rPr>
                            <w:sz w:val="18"/>
                            <w:szCs w:val="18"/>
                          </w:rPr>
                        </w:pPr>
                        <w:r>
                          <w:rPr>
                            <w:sz w:val="18"/>
                            <w:szCs w:val="18"/>
                          </w:rPr>
                          <w:t>Esant indikacijų – leukograma</w:t>
                        </w:r>
                      </w:p>
                    </w:tc>
                    <w:tc>
                      <w:tcPr>
                        <w:tcW w:w="2437" w:type="dxa"/>
                        <w:vMerge/>
                      </w:tcPr>
                      <w:p>
                        <w:pPr>
                          <w:rPr>
                            <w:sz w:val="18"/>
                            <w:szCs w:val="18"/>
                          </w:rPr>
                        </w:pPr>
                      </w:p>
                    </w:tc>
                  </w:tr>
                </w:tbl>
                <w:p/>
                <w:tbl>
                  <w:tblPr>
                    <w:tblW w:w="147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40" w:firstRow="0" w:lastRow="1" w:firstColumn="0" w:lastColumn="0" w:noHBand="0" w:noVBand="0"/>
                  </w:tblPr>
                  <w:tblGrid>
                    <w:gridCol w:w="2435"/>
                    <w:gridCol w:w="1665"/>
                    <w:gridCol w:w="1402"/>
                    <w:gridCol w:w="1923"/>
                    <w:gridCol w:w="2090"/>
                    <w:gridCol w:w="2969"/>
                    <w:gridCol w:w="2215"/>
                    <w:gridCol w:w="8"/>
                  </w:tblGrid>
                  <w:tr>
                    <w:tc>
                      <w:tcPr>
                        <w:tcW w:w="14707" w:type="dxa"/>
                        <w:gridSpan w:val="8"/>
                      </w:tcPr>
                      <w:p>
                        <w:pPr>
                          <w:jc w:val="center"/>
                          <w:rPr>
                            <w:sz w:val="18"/>
                            <w:szCs w:val="18"/>
                          </w:rPr>
                        </w:pPr>
                        <w:r>
                          <w:rPr>
                            <w:sz w:val="18"/>
                            <w:szCs w:val="18"/>
                          </w:rPr>
                          <w:t>2. BIOLOGINIAI VEIKSNIAI</w:t>
                        </w:r>
                      </w:p>
                    </w:tc>
                  </w:tr>
                  <w:tr>
                    <w:trPr>
                      <w:gridAfter w:val="1"/>
                      <w:wAfter w:w="8" w:type="dxa"/>
                      <w:trHeight w:val="1861"/>
                    </w:trPr>
                    <w:tc>
                      <w:tcPr>
                        <w:tcW w:w="2435" w:type="dxa"/>
                        <w:vMerge w:val="restart"/>
                      </w:tcPr>
                      <w:p>
                        <w:pPr>
                          <w:rPr>
                            <w:sz w:val="18"/>
                            <w:szCs w:val="18"/>
                          </w:rPr>
                        </w:pPr>
                        <w:r>
                          <w:rPr>
                            <w:sz w:val="18"/>
                            <w:szCs w:val="18"/>
                          </w:rPr>
                          <w:t>2.1. Alergenai, skirti diagnostikai ir gydymui; kraujo preparatai, imunobiologiniai preparatai</w:t>
                        </w:r>
                      </w:p>
                    </w:tc>
                    <w:tc>
                      <w:tcPr>
                        <w:tcW w:w="1665" w:type="dxa"/>
                        <w:vMerge w:val="restart"/>
                      </w:tcPr>
                      <w:p>
                        <w:pPr>
                          <w:rPr>
                            <w:sz w:val="18"/>
                            <w:szCs w:val="18"/>
                          </w:rPr>
                        </w:pPr>
                        <w:r>
                          <w:rPr>
                            <w:sz w:val="18"/>
                            <w:szCs w:val="18"/>
                          </w:rPr>
                          <w:t xml:space="preserve">Gamyba </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969" w:type="dxa"/>
                        <w:vMerge w:val="restart"/>
                      </w:tcPr>
                      <w:p>
                        <w:pPr>
                          <w:rPr>
                            <w:sz w:val="18"/>
                            <w:szCs w:val="18"/>
                          </w:rPr>
                        </w:pPr>
                        <w:r>
                          <w:rPr>
                            <w:sz w:val="18"/>
                            <w:szCs w:val="18"/>
                          </w:rPr>
                          <w:t>Kraujo tyrimas hematologiniu analizatoriumi (eritrocitai, hemoglobinas, leukocitai, trombocitai), šlapimo tyrimas analizatoriumi, KLR, IKFT, esant indikacijų – plaučių funkciniai mėginiai, šlapimo nuosėdų mikroskopija, forminių elementų kiekio nustatymas šlapime</w:t>
                        </w:r>
                      </w:p>
                    </w:tc>
                    <w:tc>
                      <w:tcPr>
                        <w:tcW w:w="2215" w:type="dxa"/>
                        <w:vMerge w:val="restart"/>
                      </w:tcPr>
                      <w:p>
                        <w:pPr>
                          <w:rPr>
                            <w:sz w:val="18"/>
                            <w:szCs w:val="18"/>
                          </w:rPr>
                        </w:pPr>
                        <w:r>
                          <w:rPr>
                            <w:sz w:val="18"/>
                            <w:szCs w:val="18"/>
                          </w:rPr>
                          <w:t>1. Išplitę viršutinių kvėpavimo takų atrofiniai pakitimai, hipertrofinis laringitas J30– J31, J37– J39</w:t>
                        </w:r>
                      </w:p>
                      <w:p>
                        <w:pPr>
                          <w:rPr>
                            <w:sz w:val="18"/>
                            <w:szCs w:val="18"/>
                          </w:rPr>
                        </w:pPr>
                        <w:r>
                          <w:rPr>
                            <w:sz w:val="18"/>
                            <w:szCs w:val="18"/>
                          </w:rPr>
                          <w:t xml:space="preserve">2. Lėtinės plaučių ligos </w:t>
                          <w:br/>
                          <w:t>J44–J47</w:t>
                        </w:r>
                      </w:p>
                      <w:p>
                        <w:pPr>
                          <w:rPr>
                            <w:sz w:val="18"/>
                            <w:szCs w:val="18"/>
                          </w:rPr>
                        </w:pPr>
                        <w:r>
                          <w:rPr>
                            <w:sz w:val="18"/>
                            <w:szCs w:val="18"/>
                          </w:rPr>
                          <w:t>3. Lėtinis kvėpavimo nepakankamumas J96.1;</w:t>
                        </w:r>
                      </w:p>
                      <w:p>
                        <w:pPr>
                          <w:rPr>
                            <w:sz w:val="18"/>
                            <w:szCs w:val="18"/>
                          </w:rPr>
                        </w:pPr>
                        <w:r>
                          <w:rPr>
                            <w:sz w:val="18"/>
                            <w:szCs w:val="18"/>
                          </w:rPr>
                          <w:t>4. Lėtinės odos ligos L02, L08, L10– L14, L20–L30, L40, L50–L54</w:t>
                        </w:r>
                      </w:p>
                      <w:p>
                        <w:pPr>
                          <w:rPr>
                            <w:sz w:val="18"/>
                            <w:szCs w:val="18"/>
                          </w:rPr>
                        </w:pPr>
                        <w:r>
                          <w:rPr>
                            <w:sz w:val="18"/>
                            <w:szCs w:val="18"/>
                          </w:rPr>
                          <w:t>5.Lėtinės kepenų ligos K70–K77</w:t>
                        </w:r>
                      </w:p>
                      <w:p>
                        <w:pPr>
                          <w:rPr>
                            <w:sz w:val="18"/>
                            <w:szCs w:val="18"/>
                          </w:rPr>
                        </w:pPr>
                        <w:r>
                          <w:rPr>
                            <w:sz w:val="18"/>
                            <w:szCs w:val="18"/>
                          </w:rPr>
                          <w:t>6. Lėtinės inkstų ligos N00–N08, N10–N23</w:t>
                        </w:r>
                      </w:p>
                      <w:p>
                        <w:pPr>
                          <w:rPr>
                            <w:sz w:val="18"/>
                            <w:szCs w:val="18"/>
                          </w:rPr>
                        </w:pPr>
                        <w:r>
                          <w:rPr>
                            <w:sz w:val="18"/>
                            <w:szCs w:val="18"/>
                            <w:lang w:val="fr-FR"/>
                          </w:rPr>
                          <w:t>7. Navikiniai susirgimai anamnezėje C00–D48</w:t>
                        </w:r>
                      </w:p>
                    </w:tc>
                  </w:tr>
                  <w:tr>
                    <w:trPr>
                      <w:gridAfter w:val="1"/>
                      <w:wAfter w:w="8" w:type="dxa"/>
                      <w:trHeight w:val="1861"/>
                    </w:trPr>
                    <w:tc>
                      <w:tcPr>
                        <w:tcW w:w="2435" w:type="dxa"/>
                        <w:vMerge/>
                      </w:tcPr>
                      <w:p>
                        <w:pPr>
                          <w:rPr>
                            <w:sz w:val="18"/>
                            <w:szCs w:val="18"/>
                          </w:rPr>
                        </w:pPr>
                      </w:p>
                    </w:tc>
                    <w:tc>
                      <w:tcPr>
                        <w:tcW w:w="1665"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Otorinolaringologas </w:t>
                        </w:r>
                      </w:p>
                      <w:p>
                        <w:pPr>
                          <w:rPr>
                            <w:sz w:val="18"/>
                            <w:szCs w:val="18"/>
                          </w:rPr>
                        </w:pPr>
                        <w:r>
                          <w:rPr>
                            <w:sz w:val="18"/>
                            <w:szCs w:val="18"/>
                          </w:rPr>
                          <w:t xml:space="preserve">esant indikacijų – </w:t>
                        </w:r>
                        <w:r>
                          <w:rPr>
                            <w:bCs/>
                            <w:sz w:val="18"/>
                            <w:szCs w:val="18"/>
                          </w:rPr>
                          <w:t>kitų profesinių kvalifikacijų gydytojai</w:t>
                        </w:r>
                      </w:p>
                    </w:tc>
                    <w:tc>
                      <w:tcPr>
                        <w:tcW w:w="2969" w:type="dxa"/>
                        <w:vMerge/>
                      </w:tcPr>
                      <w:p>
                        <w:pPr>
                          <w:rPr>
                            <w:sz w:val="18"/>
                            <w:szCs w:val="18"/>
                          </w:rPr>
                        </w:pPr>
                      </w:p>
                    </w:tc>
                    <w:tc>
                      <w:tcPr>
                        <w:tcW w:w="2215" w:type="dxa"/>
                        <w:vMerge/>
                      </w:tcPr>
                      <w:p>
                        <w:pPr>
                          <w:rPr>
                            <w:sz w:val="18"/>
                            <w:szCs w:val="18"/>
                          </w:rPr>
                        </w:pPr>
                      </w:p>
                    </w:tc>
                  </w:tr>
                  <w:tr>
                    <w:trPr>
                      <w:gridAfter w:val="1"/>
                      <w:wAfter w:w="8" w:type="dxa"/>
                      <w:trHeight w:val="1450"/>
                    </w:trPr>
                    <w:tc>
                      <w:tcPr>
                        <w:tcW w:w="2435" w:type="dxa"/>
                        <w:vMerge w:val="restart"/>
                      </w:tcPr>
                      <w:p>
                        <w:pPr>
                          <w:rPr>
                            <w:sz w:val="18"/>
                            <w:szCs w:val="18"/>
                          </w:rPr>
                        </w:pPr>
                        <w:r>
                          <w:rPr>
                            <w:sz w:val="18"/>
                            <w:szCs w:val="18"/>
                          </w:rPr>
                          <w:t>2.2. Antibiotikai („A“)</w:t>
                        </w:r>
                      </w:p>
                    </w:tc>
                    <w:tc>
                      <w:tcPr>
                        <w:tcW w:w="1665" w:type="dxa"/>
                        <w:vMerge w:val="restart"/>
                      </w:tcPr>
                      <w:p>
                        <w:pPr>
                          <w:rPr>
                            <w:sz w:val="18"/>
                            <w:szCs w:val="18"/>
                          </w:rPr>
                        </w:pPr>
                        <w:r>
                          <w:rPr>
                            <w:sz w:val="18"/>
                            <w:szCs w:val="18"/>
                          </w:rPr>
                          <w:t>Naudojimas medicinoje, veterinarijoje ir vaistinėse</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969" w:type="dxa"/>
                        <w:vMerge w:val="restart"/>
                      </w:tcPr>
                      <w:p>
                        <w:pPr>
                          <w:rPr>
                            <w:sz w:val="18"/>
                            <w:szCs w:val="18"/>
                          </w:rPr>
                        </w:pPr>
                        <w:r>
                          <w:rPr>
                            <w:sz w:val="18"/>
                            <w:szCs w:val="18"/>
                          </w:rPr>
                          <w:t>Kraujo tyrimas hematologiniu analizatoriumi (eritrocitai, hemoglobinas, leukocitai, trombocitai), šlapimo tyrimas analizatoriumi, KLR, IKFT, esant indikacijų – plaučių funkciniai mėginiai, šlapimo nuosėdų mikroskopija, forminių elementų kiekio nustatymas šlapime</w:t>
                        </w:r>
                      </w:p>
                    </w:tc>
                    <w:tc>
                      <w:tcPr>
                        <w:tcW w:w="2215" w:type="dxa"/>
                        <w:vMerge w:val="restart"/>
                      </w:tcPr>
                      <w:p>
                        <w:pPr>
                          <w:rPr>
                            <w:sz w:val="18"/>
                            <w:szCs w:val="18"/>
                          </w:rPr>
                        </w:pPr>
                        <w:r>
                          <w:rPr>
                            <w:sz w:val="18"/>
                            <w:szCs w:val="18"/>
                          </w:rPr>
                          <w:t>1. Išplitę viršutinių kvėpavimo takų atrofiniai pakitimai, hipertrofinis laringitas J30– J31, J37– J39</w:t>
                        </w:r>
                      </w:p>
                      <w:p>
                        <w:pPr>
                          <w:rPr>
                            <w:sz w:val="18"/>
                            <w:szCs w:val="18"/>
                          </w:rPr>
                        </w:pPr>
                        <w:r>
                          <w:rPr>
                            <w:sz w:val="18"/>
                            <w:szCs w:val="18"/>
                          </w:rPr>
                          <w:t>2. Lėtinės plaučių ligos J 44– J47</w:t>
                        </w:r>
                      </w:p>
                      <w:p>
                        <w:pPr>
                          <w:rPr>
                            <w:sz w:val="18"/>
                            <w:szCs w:val="18"/>
                          </w:rPr>
                        </w:pPr>
                        <w:r>
                          <w:rPr>
                            <w:sz w:val="18"/>
                            <w:szCs w:val="18"/>
                          </w:rPr>
                          <w:t>3. Lėtinis kvėpavimo nepakankamumas J96.1;</w:t>
                        </w:r>
                      </w:p>
                      <w:p>
                        <w:pPr>
                          <w:rPr>
                            <w:sz w:val="18"/>
                            <w:szCs w:val="18"/>
                          </w:rPr>
                        </w:pPr>
                        <w:r>
                          <w:rPr>
                            <w:sz w:val="18"/>
                            <w:szCs w:val="18"/>
                          </w:rPr>
                          <w:t>4. Lėtinės odos ligos L02, L08, L10– L14, L20–L30, L40, L50–L54;</w:t>
                        </w:r>
                      </w:p>
                      <w:p>
                        <w:pPr>
                          <w:rPr>
                            <w:sz w:val="18"/>
                            <w:szCs w:val="18"/>
                          </w:rPr>
                        </w:pPr>
                        <w:r>
                          <w:rPr>
                            <w:sz w:val="18"/>
                            <w:szCs w:val="18"/>
                          </w:rPr>
                          <w:t>5. Lėtinės kepenų ligos K70–K77</w:t>
                        </w:r>
                      </w:p>
                    </w:tc>
                  </w:tr>
                  <w:tr>
                    <w:trPr>
                      <w:gridAfter w:val="1"/>
                      <w:wAfter w:w="8" w:type="dxa"/>
                      <w:trHeight w:val="1449"/>
                    </w:trPr>
                    <w:tc>
                      <w:tcPr>
                        <w:tcW w:w="2435" w:type="dxa"/>
                        <w:vMerge/>
                      </w:tcPr>
                      <w:p>
                        <w:pPr>
                          <w:rPr>
                            <w:sz w:val="18"/>
                            <w:szCs w:val="18"/>
                          </w:rPr>
                        </w:pPr>
                      </w:p>
                    </w:tc>
                    <w:tc>
                      <w:tcPr>
                        <w:tcW w:w="1665"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Otorinolaringologas </w:t>
                        </w:r>
                      </w:p>
                      <w:p>
                        <w:pPr>
                          <w:rPr>
                            <w:sz w:val="18"/>
                            <w:szCs w:val="18"/>
                          </w:rPr>
                        </w:pPr>
                        <w:r>
                          <w:rPr>
                            <w:sz w:val="18"/>
                            <w:szCs w:val="18"/>
                          </w:rPr>
                          <w:t xml:space="preserve">esant indikacijų – </w:t>
                        </w:r>
                        <w:r>
                          <w:rPr>
                            <w:bCs/>
                            <w:sz w:val="18"/>
                            <w:szCs w:val="18"/>
                          </w:rPr>
                          <w:t>kitų profesinių kvalifikacijų gydytojai</w:t>
                        </w:r>
                      </w:p>
                    </w:tc>
                    <w:tc>
                      <w:tcPr>
                        <w:tcW w:w="2969" w:type="dxa"/>
                        <w:vMerge/>
                      </w:tcPr>
                      <w:p>
                        <w:pPr>
                          <w:rPr>
                            <w:sz w:val="18"/>
                            <w:szCs w:val="18"/>
                          </w:rPr>
                        </w:pPr>
                      </w:p>
                    </w:tc>
                    <w:tc>
                      <w:tcPr>
                        <w:tcW w:w="2215" w:type="dxa"/>
                        <w:vMerge/>
                      </w:tcPr>
                      <w:p>
                        <w:pPr>
                          <w:rPr>
                            <w:sz w:val="18"/>
                            <w:szCs w:val="18"/>
                          </w:rPr>
                        </w:pPr>
                      </w:p>
                    </w:tc>
                  </w:tr>
                  <w:tr>
                    <w:trPr>
                      <w:gridAfter w:val="1"/>
                      <w:wAfter w:w="8" w:type="dxa"/>
                      <w:trHeight w:val="416"/>
                    </w:trPr>
                    <w:tc>
                      <w:tcPr>
                        <w:tcW w:w="2435" w:type="dxa"/>
                        <w:vMerge w:val="restart"/>
                      </w:tcPr>
                      <w:p>
                        <w:pPr>
                          <w:rPr>
                            <w:sz w:val="18"/>
                            <w:szCs w:val="18"/>
                          </w:rPr>
                        </w:pPr>
                        <w:r>
                          <w:rPr>
                            <w:sz w:val="18"/>
                            <w:szCs w:val="18"/>
                          </w:rPr>
                          <w:t>2.3. Fermentiniai preparatai, biostimuliatoriai („A“)</w:t>
                        </w:r>
                      </w:p>
                    </w:tc>
                    <w:tc>
                      <w:tcPr>
                        <w:tcW w:w="1665" w:type="dxa"/>
                        <w:vMerge w:val="restart"/>
                      </w:tcPr>
                      <w:p>
                        <w:pPr>
                          <w:rPr>
                            <w:sz w:val="18"/>
                            <w:szCs w:val="18"/>
                          </w:rPr>
                        </w:pPr>
                        <w:r>
                          <w:rPr>
                            <w:sz w:val="18"/>
                            <w:szCs w:val="18"/>
                          </w:rPr>
                          <w:t>Gamyba ir panaudojimas medicinoje, vaistinėse, žemės ūkyje ir kt.</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Esant indikacijų – radiologas</w:t>
                        </w:r>
                      </w:p>
                    </w:tc>
                    <w:tc>
                      <w:tcPr>
                        <w:tcW w:w="2969" w:type="dxa"/>
                        <w:vMerge w:val="restart"/>
                      </w:tcPr>
                      <w:p>
                        <w:pPr>
                          <w:rPr>
                            <w:sz w:val="18"/>
                            <w:szCs w:val="18"/>
                          </w:rPr>
                        </w:pPr>
                        <w:r>
                          <w:rPr>
                            <w:sz w:val="18"/>
                            <w:szCs w:val="18"/>
                          </w:rPr>
                          <w:t>Kraujo tyrimas hematologiniu analizatoriumi (eritrocitai, hemoglobinas, leukocitai, trombocitai),</w:t>
                        </w:r>
                      </w:p>
                      <w:p>
                        <w:pPr>
                          <w:rPr>
                            <w:sz w:val="18"/>
                            <w:szCs w:val="18"/>
                          </w:rPr>
                        </w:pPr>
                        <w:r>
                          <w:rPr>
                            <w:sz w:val="18"/>
                            <w:szCs w:val="18"/>
                          </w:rPr>
                          <w:t>esant indikacijų – KLR</w:t>
                        </w:r>
                      </w:p>
                    </w:tc>
                    <w:tc>
                      <w:tcPr>
                        <w:tcW w:w="2215" w:type="dxa"/>
                        <w:vMerge w:val="restart"/>
                      </w:tcPr>
                      <w:p>
                        <w:pPr>
                          <w:rPr>
                            <w:sz w:val="18"/>
                            <w:szCs w:val="18"/>
                          </w:rPr>
                        </w:pPr>
                        <w:r>
                          <w:rPr>
                            <w:sz w:val="18"/>
                            <w:szCs w:val="18"/>
                          </w:rPr>
                          <w:t>1. Alerginės odos ligos L23; L24</w:t>
                        </w:r>
                      </w:p>
                      <w:p>
                        <w:pPr>
                          <w:rPr>
                            <w:sz w:val="18"/>
                            <w:szCs w:val="18"/>
                          </w:rPr>
                        </w:pPr>
                        <w:r>
                          <w:rPr>
                            <w:sz w:val="18"/>
                            <w:szCs w:val="18"/>
                          </w:rPr>
                          <w:t>2. Viršutinių kvėpavimo takų atrofiniai pakitimai ir alerginės ligos J30– J31</w:t>
                        </w:r>
                      </w:p>
                    </w:tc>
                  </w:tr>
                  <w:tr>
                    <w:trPr>
                      <w:gridAfter w:val="1"/>
                      <w:wAfter w:w="8" w:type="dxa"/>
                      <w:trHeight w:val="1039"/>
                    </w:trPr>
                    <w:tc>
                      <w:tcPr>
                        <w:tcW w:w="2435" w:type="dxa"/>
                        <w:vMerge/>
                      </w:tcPr>
                      <w:p>
                        <w:pPr>
                          <w:rPr>
                            <w:sz w:val="18"/>
                            <w:szCs w:val="18"/>
                          </w:rPr>
                        </w:pPr>
                      </w:p>
                    </w:tc>
                    <w:tc>
                      <w:tcPr>
                        <w:tcW w:w="1665"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Otorinolaringologas</w:t>
                        </w:r>
                      </w:p>
                      <w:p>
                        <w:pPr>
                          <w:rPr>
                            <w:sz w:val="18"/>
                            <w:szCs w:val="18"/>
                          </w:rPr>
                        </w:pPr>
                        <w:r>
                          <w:rPr>
                            <w:sz w:val="18"/>
                            <w:szCs w:val="18"/>
                          </w:rPr>
                          <w:t xml:space="preserve">esant indikacijų – ir </w:t>
                        </w:r>
                        <w:r>
                          <w:rPr>
                            <w:bCs/>
                            <w:sz w:val="18"/>
                            <w:szCs w:val="18"/>
                          </w:rPr>
                          <w:t>kitų profesinių kvalifikacijų gydytojai</w:t>
                        </w:r>
                      </w:p>
                    </w:tc>
                    <w:tc>
                      <w:tcPr>
                        <w:tcW w:w="2969" w:type="dxa"/>
                        <w:vMerge/>
                      </w:tcPr>
                      <w:p>
                        <w:pPr>
                          <w:rPr>
                            <w:sz w:val="18"/>
                            <w:szCs w:val="18"/>
                          </w:rPr>
                        </w:pPr>
                      </w:p>
                    </w:tc>
                    <w:tc>
                      <w:tcPr>
                        <w:tcW w:w="2215" w:type="dxa"/>
                        <w:vMerge/>
                      </w:tcPr>
                      <w:p>
                        <w:pPr>
                          <w:rPr>
                            <w:sz w:val="18"/>
                            <w:szCs w:val="18"/>
                          </w:rPr>
                        </w:pPr>
                      </w:p>
                    </w:tc>
                  </w:tr>
                  <w:tr>
                    <w:trPr>
                      <w:gridAfter w:val="1"/>
                      <w:wAfter w:w="8" w:type="dxa"/>
                      <w:trHeight w:val="725"/>
                    </w:trPr>
                    <w:tc>
                      <w:tcPr>
                        <w:tcW w:w="2435" w:type="dxa"/>
                        <w:vMerge w:val="restart"/>
                      </w:tcPr>
                      <w:p>
                        <w:pPr>
                          <w:rPr>
                            <w:sz w:val="18"/>
                            <w:szCs w:val="18"/>
                          </w:rPr>
                        </w:pPr>
                        <w:r>
                          <w:rPr>
                            <w:sz w:val="18"/>
                            <w:szCs w:val="18"/>
                          </w:rPr>
                          <w:t>2.4. Grybai – producentai, baltymų – vitaminų koncentratai, pašarinės mielės, kombinuotieji pašarai („A“)</w:t>
                        </w:r>
                      </w:p>
                    </w:tc>
                    <w:tc>
                      <w:tcPr>
                        <w:tcW w:w="1665" w:type="dxa"/>
                        <w:vMerge w:val="restart"/>
                      </w:tcPr>
                      <w:p>
                        <w:pPr>
                          <w:rPr>
                            <w:sz w:val="18"/>
                            <w:szCs w:val="18"/>
                          </w:rPr>
                        </w:pPr>
                        <w:r>
                          <w:rPr>
                            <w:sz w:val="18"/>
                            <w:szCs w:val="18"/>
                          </w:rPr>
                          <w:t>Gamyba ir produktų, gautų mikrobiologinės sintezės būdu, naudojimas. Transportavimo taros plovimas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Esant indikacijų – radiologas</w:t>
                        </w:r>
                      </w:p>
                    </w:tc>
                    <w:tc>
                      <w:tcPr>
                        <w:tcW w:w="2969" w:type="dxa"/>
                        <w:vMerge w:val="restart"/>
                      </w:tcPr>
                      <w:p>
                        <w:pPr>
                          <w:rPr>
                            <w:sz w:val="18"/>
                            <w:szCs w:val="18"/>
                          </w:rPr>
                        </w:pPr>
                        <w:r>
                          <w:rPr>
                            <w:sz w:val="18"/>
                            <w:szCs w:val="18"/>
                          </w:rPr>
                          <w:t>Kraujo tyrimas hematologiniu analizatoriumi (eritrocitai, hemoglobinas, leukocitai, trombocitai),</w:t>
                        </w:r>
                      </w:p>
                      <w:p>
                        <w:pPr>
                          <w:rPr>
                            <w:sz w:val="18"/>
                            <w:szCs w:val="18"/>
                          </w:rPr>
                        </w:pPr>
                        <w:r>
                          <w:rPr>
                            <w:sz w:val="18"/>
                            <w:szCs w:val="18"/>
                          </w:rPr>
                          <w:t>esant indikacijų – KLR</w:t>
                        </w:r>
                      </w:p>
                    </w:tc>
                    <w:tc>
                      <w:tcPr>
                        <w:tcW w:w="2215" w:type="dxa"/>
                        <w:vMerge w:val="restart"/>
                      </w:tcPr>
                      <w:p>
                        <w:pPr>
                          <w:rPr>
                            <w:sz w:val="18"/>
                            <w:szCs w:val="18"/>
                          </w:rPr>
                        </w:pPr>
                        <w:r>
                          <w:rPr>
                            <w:sz w:val="18"/>
                            <w:szCs w:val="18"/>
                          </w:rPr>
                          <w:t>1. Alerginės odos ligos L23; L24</w:t>
                        </w:r>
                      </w:p>
                      <w:p>
                        <w:pPr>
                          <w:rPr>
                            <w:sz w:val="18"/>
                            <w:szCs w:val="18"/>
                          </w:rPr>
                        </w:pPr>
                        <w:r>
                          <w:rPr>
                            <w:sz w:val="18"/>
                            <w:szCs w:val="18"/>
                          </w:rPr>
                          <w:t>2. Viršutinių kvėpavimo takų atrofiniai pakitimai ir alerginės ligos J30–J31</w:t>
                        </w:r>
                      </w:p>
                      <w:p>
                        <w:pPr>
                          <w:rPr>
                            <w:sz w:val="18"/>
                            <w:szCs w:val="18"/>
                          </w:rPr>
                        </w:pPr>
                        <w:r>
                          <w:rPr>
                            <w:sz w:val="18"/>
                            <w:szCs w:val="18"/>
                          </w:rPr>
                          <w:t>3. Lėtinės plaučių ligos J41– J47</w:t>
                        </w:r>
                      </w:p>
                    </w:tc>
                  </w:tr>
                  <w:tr>
                    <w:trPr>
                      <w:gridAfter w:val="1"/>
                      <w:wAfter w:w="8" w:type="dxa"/>
                      <w:trHeight w:val="724"/>
                    </w:trPr>
                    <w:tc>
                      <w:tcPr>
                        <w:tcW w:w="2435" w:type="dxa"/>
                        <w:vMerge/>
                      </w:tcPr>
                      <w:p>
                        <w:pPr>
                          <w:rPr>
                            <w:sz w:val="18"/>
                            <w:szCs w:val="18"/>
                          </w:rPr>
                        </w:pPr>
                      </w:p>
                    </w:tc>
                    <w:tc>
                      <w:tcPr>
                        <w:tcW w:w="1665"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Otorinolaringologas</w:t>
                        </w:r>
                      </w:p>
                      <w:p>
                        <w:pPr>
                          <w:rPr>
                            <w:sz w:val="18"/>
                            <w:szCs w:val="18"/>
                          </w:rPr>
                        </w:pPr>
                        <w:r>
                          <w:rPr>
                            <w:sz w:val="18"/>
                            <w:szCs w:val="18"/>
                          </w:rPr>
                          <w:t xml:space="preserve">esant indikacijų – ir </w:t>
                        </w:r>
                        <w:r>
                          <w:rPr>
                            <w:bCs/>
                            <w:sz w:val="18"/>
                            <w:szCs w:val="18"/>
                          </w:rPr>
                          <w:t>kitų profesinių kvalifikacijų gydytojai</w:t>
                        </w:r>
                      </w:p>
                    </w:tc>
                    <w:tc>
                      <w:tcPr>
                        <w:tcW w:w="2969" w:type="dxa"/>
                        <w:vMerge/>
                      </w:tcPr>
                      <w:p>
                        <w:pPr>
                          <w:rPr>
                            <w:sz w:val="18"/>
                            <w:szCs w:val="18"/>
                          </w:rPr>
                        </w:pPr>
                      </w:p>
                    </w:tc>
                    <w:tc>
                      <w:tcPr>
                        <w:tcW w:w="2215" w:type="dxa"/>
                        <w:vMerge/>
                      </w:tcPr>
                      <w:p>
                        <w:pPr>
                          <w:rPr>
                            <w:sz w:val="18"/>
                            <w:szCs w:val="18"/>
                          </w:rPr>
                        </w:pPr>
                      </w:p>
                    </w:tc>
                  </w:tr>
                  <w:tr>
                    <w:trPr>
                      <w:gridAfter w:val="1"/>
                      <w:wAfter w:w="8" w:type="dxa"/>
                    </w:trPr>
                    <w:tc>
                      <w:tcPr>
                        <w:tcW w:w="2435" w:type="dxa"/>
                      </w:tcPr>
                      <w:p>
                        <w:pPr>
                          <w:rPr>
                            <w:sz w:val="18"/>
                            <w:szCs w:val="18"/>
                          </w:rPr>
                        </w:pPr>
                        <w:r>
                          <w:rPr>
                            <w:sz w:val="18"/>
                            <w:szCs w:val="18"/>
                          </w:rPr>
                          <w:t>2.5. Helmintais užkrėsta medžiaga</w:t>
                        </w:r>
                      </w:p>
                    </w:tc>
                    <w:tc>
                      <w:tcPr>
                        <w:tcW w:w="1665" w:type="dxa"/>
                      </w:tcPr>
                      <w:p>
                        <w:pPr>
                          <w:rPr>
                            <w:sz w:val="18"/>
                            <w:szCs w:val="18"/>
                          </w:rPr>
                        </w:pPr>
                        <w:r>
                          <w:rPr>
                            <w:sz w:val="18"/>
                            <w:szCs w:val="18"/>
                          </w:rPr>
                          <w:t>Kontaktavimas su užkrėsta helmintais medžiaga, infekciniais ligoniais</w:t>
                        </w:r>
                      </w:p>
                    </w:tc>
                    <w:tc>
                      <w:tcPr>
                        <w:tcW w:w="1402" w:type="dxa"/>
                      </w:tcPr>
                      <w:p>
                        <w:pPr>
                          <w:rPr>
                            <w:sz w:val="18"/>
                            <w:szCs w:val="18"/>
                          </w:rPr>
                        </w:pPr>
                        <w:r>
                          <w:rPr>
                            <w:sz w:val="18"/>
                            <w:szCs w:val="18"/>
                          </w:rPr>
                          <w:t>1 kartą per 2 metus</w:t>
                        </w:r>
                      </w:p>
                    </w:tc>
                    <w:tc>
                      <w:tcPr>
                        <w:tcW w:w="1923" w:type="dxa"/>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 xml:space="preserve">Esant indikacijų – radiologas ir </w:t>
                        </w:r>
                        <w:r>
                          <w:rPr>
                            <w:bCs/>
                            <w:sz w:val="18"/>
                            <w:szCs w:val="18"/>
                          </w:rPr>
                          <w:t>kitų profesinių kvalifikacijų gydytojai</w:t>
                        </w:r>
                      </w:p>
                    </w:tc>
                    <w:tc>
                      <w:tcPr>
                        <w:tcW w:w="2969" w:type="dxa"/>
                      </w:tcPr>
                      <w:p>
                        <w:pPr>
                          <w:rPr>
                            <w:sz w:val="18"/>
                            <w:szCs w:val="18"/>
                          </w:rPr>
                        </w:pPr>
                        <w:r>
                          <w:rPr>
                            <w:sz w:val="18"/>
                            <w:szCs w:val="18"/>
                          </w:rPr>
                          <w:t>Kraujo tyrimas hematologiniu analizatoriumi (eritrocitai, hemoglobinas, leukocitai, trombocitai), KLR,</w:t>
                        </w:r>
                      </w:p>
                      <w:p>
                        <w:pPr>
                          <w:rPr>
                            <w:sz w:val="18"/>
                            <w:szCs w:val="18"/>
                          </w:rPr>
                        </w:pPr>
                        <w:r>
                          <w:rPr>
                            <w:sz w:val="18"/>
                            <w:szCs w:val="18"/>
                          </w:rPr>
                          <w:t>esant indikacijų – išmatų tyrimas dėl helmintų ir kiti tyrimai</w:t>
                        </w:r>
                      </w:p>
                    </w:tc>
                    <w:tc>
                      <w:tcPr>
                        <w:tcW w:w="2215" w:type="dxa"/>
                      </w:tcPr>
                      <w:p>
                        <w:pPr>
                          <w:rPr>
                            <w:sz w:val="18"/>
                            <w:szCs w:val="18"/>
                          </w:rPr>
                        </w:pPr>
                        <w:r>
                          <w:rPr>
                            <w:sz w:val="18"/>
                            <w:szCs w:val="18"/>
                          </w:rPr>
                          <w:t>Bendrosios kontraindikacijos</w:t>
                        </w:r>
                      </w:p>
                    </w:tc>
                  </w:tr>
                  <w:tr>
                    <w:trPr>
                      <w:gridAfter w:val="1"/>
                      <w:wAfter w:w="8" w:type="dxa"/>
                    </w:trPr>
                    <w:tc>
                      <w:tcPr>
                        <w:tcW w:w="2435" w:type="dxa"/>
                      </w:tcPr>
                      <w:p>
                        <w:pPr>
                          <w:rPr>
                            <w:sz w:val="18"/>
                            <w:szCs w:val="18"/>
                          </w:rPr>
                        </w:pPr>
                        <w:r>
                          <w:rPr>
                            <w:sz w:val="18"/>
                            <w:szCs w:val="18"/>
                          </w:rPr>
                          <w:t>2.5.1. Pavojingos biologinės medžiagos (I – IV rizikos grupės, iš jų infekcinių ir virusinių ligų sukėlėjai)</w:t>
                        </w:r>
                      </w:p>
                    </w:tc>
                    <w:tc>
                      <w:tcPr>
                        <w:tcW w:w="1665" w:type="dxa"/>
                      </w:tcPr>
                      <w:p>
                        <w:pPr>
                          <w:rPr>
                            <w:sz w:val="18"/>
                            <w:szCs w:val="18"/>
                          </w:rPr>
                        </w:pPr>
                        <w:r>
                          <w:rPr>
                            <w:sz w:val="18"/>
                            <w:szCs w:val="18"/>
                          </w:rPr>
                          <w:t>Darbai maisto gamybos įmonėse, darbai, kurių metu kontaktuojama su gyvūnais ir gyvūninės kilmės produktais; darbai sveikatos apsaugos įstaigose, įskaitant darbą izoliatoriuose ir lavoninėse; darbai klinikinėse, veterinarijos ir diagnostikos laboratorijose; darbai žemės ūkyje; darbai atliekų perdirbimo (utilizavimo) įmonėse, vandens valymo įrenginiuose ir kt.</w:t>
                        </w:r>
                      </w:p>
                    </w:tc>
                    <w:tc>
                      <w:tcPr>
                        <w:tcW w:w="1402" w:type="dxa"/>
                      </w:tcPr>
                      <w:p>
                        <w:pPr>
                          <w:rPr>
                            <w:sz w:val="18"/>
                            <w:szCs w:val="18"/>
                          </w:rPr>
                        </w:pPr>
                        <w:r>
                          <w:rPr>
                            <w:sz w:val="18"/>
                            <w:szCs w:val="18"/>
                          </w:rPr>
                          <w:t>1 kartą per 2 metus</w:t>
                        </w:r>
                      </w:p>
                    </w:tc>
                    <w:tc>
                      <w:tcPr>
                        <w:tcW w:w="1923" w:type="dxa"/>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 xml:space="preserve">Esant indikacijų – radiologas ir </w:t>
                        </w:r>
                        <w:r>
                          <w:rPr>
                            <w:bCs/>
                            <w:sz w:val="18"/>
                            <w:szCs w:val="18"/>
                          </w:rPr>
                          <w:t>kitų profesinių kvalifikacijų gydytojai</w:t>
                        </w:r>
                      </w:p>
                    </w:tc>
                    <w:tc>
                      <w:tcPr>
                        <w:tcW w:w="2969" w:type="dxa"/>
                      </w:tcPr>
                      <w:p>
                        <w:pPr>
                          <w:rPr>
                            <w:sz w:val="18"/>
                            <w:szCs w:val="18"/>
                          </w:rPr>
                        </w:pPr>
                        <w:r>
                          <w:rPr>
                            <w:sz w:val="18"/>
                            <w:szCs w:val="18"/>
                          </w:rPr>
                          <w:t xml:space="preserve">Kraujo tyrimas hematologiniu analizatoriumi (eritrocitai, hemoglobinas, leukocitai, trombocitai), esant indikacijų – KLR  </w:t>
                        </w:r>
                      </w:p>
                    </w:tc>
                    <w:tc>
                      <w:tcPr>
                        <w:tcW w:w="2215" w:type="dxa"/>
                      </w:tcPr>
                      <w:p>
                        <w:pPr>
                          <w:rPr>
                            <w:sz w:val="18"/>
                            <w:szCs w:val="18"/>
                          </w:rPr>
                        </w:pPr>
                        <w:r>
                          <w:rPr>
                            <w:sz w:val="18"/>
                            <w:szCs w:val="18"/>
                          </w:rPr>
                          <w:t>Bendrosios kontraindikacijos</w:t>
                        </w:r>
                      </w:p>
                    </w:tc>
                  </w:tr>
                </w:tbl>
                <w:p/>
                <w:tbl>
                  <w:tblPr>
                    <w:tblW w:w="14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40" w:firstRow="0" w:lastRow="1" w:firstColumn="0" w:lastColumn="0" w:noHBand="0" w:noVBand="0"/>
                  </w:tblPr>
                  <w:tblGrid>
                    <w:gridCol w:w="2383"/>
                    <w:gridCol w:w="1702"/>
                    <w:gridCol w:w="1459"/>
                    <w:gridCol w:w="1938"/>
                    <w:gridCol w:w="2106"/>
                    <w:gridCol w:w="2984"/>
                    <w:gridCol w:w="2168"/>
                  </w:tblGrid>
                  <w:tr>
                    <w:tc>
                      <w:tcPr>
                        <w:tcW w:w="14740" w:type="dxa"/>
                        <w:gridSpan w:val="7"/>
                      </w:tcPr>
                      <w:p>
                        <w:pPr>
                          <w:jc w:val="center"/>
                          <w:rPr>
                            <w:b/>
                            <w:sz w:val="18"/>
                            <w:szCs w:val="18"/>
                          </w:rPr>
                        </w:pPr>
                        <w:r>
                          <w:rPr>
                            <w:b/>
                            <w:sz w:val="18"/>
                            <w:szCs w:val="18"/>
                          </w:rPr>
                          <w:t xml:space="preserve">3. FIZIKINIAI VEIKSNIAI </w:t>
                        </w:r>
                      </w:p>
                    </w:tc>
                  </w:tr>
                  <w:tr>
                    <w:trPr>
                      <w:trHeight w:val="126"/>
                    </w:trPr>
                    <w:tc>
                      <w:tcPr>
                        <w:tcW w:w="2383" w:type="dxa"/>
                        <w:vMerge w:val="restart"/>
                      </w:tcPr>
                      <w:p>
                        <w:pPr>
                          <w:rPr>
                            <w:sz w:val="18"/>
                            <w:szCs w:val="18"/>
                          </w:rPr>
                        </w:pPr>
                        <w:r>
                          <w:rPr>
                            <w:sz w:val="18"/>
                            <w:szCs w:val="18"/>
                          </w:rPr>
                          <w:t>3.1. Jonizuojančiosios spinduliuotės šaltiniai („A“, „C“)</w:t>
                        </w:r>
                      </w:p>
                    </w:tc>
                    <w:tc>
                      <w:tcPr>
                        <w:tcW w:w="1702" w:type="dxa"/>
                        <w:vMerge w:val="restart"/>
                      </w:tcPr>
                      <w:p>
                        <w:pPr>
                          <w:rPr>
                            <w:sz w:val="18"/>
                            <w:szCs w:val="18"/>
                          </w:rPr>
                        </w:pPr>
                        <w:r>
                          <w:rPr>
                            <w:sz w:val="18"/>
                            <w:szCs w:val="18"/>
                          </w:rPr>
                          <w:t>1. Darbai su jonizuojančiosios spinduliuotės generatoriais ir uždaraisiais ir jonizuojančiosios spinduliuotės šaltiniais ( „A“ kategorijos darbuotojai)</w:t>
                        </w:r>
                      </w:p>
                    </w:tc>
                    <w:tc>
                      <w:tcPr>
                        <w:tcW w:w="1459" w:type="dxa"/>
                        <w:vMerge w:val="restart"/>
                      </w:tcPr>
                      <w:p>
                        <w:pPr>
                          <w:rPr>
                            <w:sz w:val="18"/>
                            <w:szCs w:val="18"/>
                          </w:rPr>
                        </w:pPr>
                        <w:r>
                          <w:rPr>
                            <w:sz w:val="18"/>
                            <w:szCs w:val="18"/>
                          </w:rPr>
                          <w:t>1 kartą per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r>
                          <w:rPr>
                            <w:sz w:val="18"/>
                            <w:szCs w:val="18"/>
                          </w:rPr>
                          <w:t xml:space="preserve">Oftalmologas, esant indikacijų – neurologas, psichiatras ir kitų profesinių kvalifikacijų gydytojai </w:t>
                        </w:r>
                      </w:p>
                    </w:tc>
                    <w:tc>
                      <w:tcPr>
                        <w:tcW w:w="2984" w:type="dxa"/>
                        <w:vMerge w:val="restart"/>
                      </w:tcPr>
                      <w:p>
                        <w:pPr>
                          <w:rPr>
                            <w:sz w:val="18"/>
                            <w:szCs w:val="18"/>
                          </w:rPr>
                        </w:pPr>
                        <w:r>
                          <w:rPr>
                            <w:sz w:val="18"/>
                            <w:szCs w:val="18"/>
                          </w:rPr>
                          <w:t xml:space="preserve">Kraujo tyrimas hematologiniu analizatoriumi (eritrocitai, hemoglobinas, leukocitai, trombocitai), leukograma, regėjimo aštrumas, </w:t>
                        </w:r>
                      </w:p>
                      <w:p>
                        <w:pPr>
                          <w:rPr>
                            <w:sz w:val="18"/>
                            <w:szCs w:val="18"/>
                          </w:rPr>
                        </w:pPr>
                        <w:r>
                          <w:rPr>
                            <w:sz w:val="18"/>
                            <w:szCs w:val="18"/>
                          </w:rPr>
                          <w:t xml:space="preserve">akipločio ištyrimas, </w:t>
                        </w:r>
                      </w:p>
                      <w:p>
                        <w:pPr>
                          <w:rPr>
                            <w:sz w:val="18"/>
                            <w:szCs w:val="18"/>
                          </w:rPr>
                        </w:pPr>
                        <w:r>
                          <w:rPr>
                            <w:sz w:val="18"/>
                            <w:szCs w:val="18"/>
                          </w:rPr>
                          <w:t xml:space="preserve">esant indikacijų – IKFT, KLR </w:t>
                        </w:r>
                      </w:p>
                    </w:tc>
                    <w:tc>
                      <w:tcPr>
                        <w:tcW w:w="2168" w:type="dxa"/>
                        <w:vMerge w:val="restart"/>
                      </w:tcPr>
                      <w:p>
                        <w:pPr>
                          <w:rPr>
                            <w:sz w:val="18"/>
                            <w:szCs w:val="18"/>
                          </w:rPr>
                        </w:pPr>
                        <w:r>
                          <w:rPr>
                            <w:sz w:val="18"/>
                            <w:szCs w:val="18"/>
                          </w:rPr>
                          <w:t>1. Regėjimas su korekcija ne mažesnis kaip 0.5 – viena ir 0.2 – kita akimi. Refrakcija skiaskopiškai: trumparegystė, esant normaliam akies dugnui iki 10.0 D, toliaregystė – iki 8.0 D, astigmatizmas – ne mažiau kaip 3.0 D</w:t>
                        </w:r>
                      </w:p>
                      <w:p>
                        <w:pPr>
                          <w:tabs>
                            <w:tab w:val="center" w:pos="33"/>
                          </w:tabs>
                          <w:rPr>
                            <w:sz w:val="18"/>
                            <w:szCs w:val="18"/>
                          </w:rPr>
                        </w:pPr>
                        <w:r>
                          <w:rPr>
                            <w:sz w:val="18"/>
                            <w:szCs w:val="18"/>
                          </w:rPr>
                          <w:t>2. Katarakta H26 – H28. Individualiu atveju dėl galimybės dirbti sprendžia gydytojas oftalmologas.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eastAsia="Courier New"/>
                            <w:sz w:val="18"/>
                            <w:szCs w:val="18"/>
                          </w:rPr>
                        </w:pPr>
                        <w:r>
                          <w:rPr>
                            <w:rFonts w:eastAsia="Courier New"/>
                            <w:sz w:val="18"/>
                            <w:szCs w:val="18"/>
                          </w:rPr>
                          <w:t xml:space="preserve">3. Kraujo ir kraujodaros organų ligos D50–D53, D55–D59, D60–D64, D65–D69, D70–D77. </w:t>
                        </w:r>
                      </w:p>
                      <w:p>
                        <w:pPr>
                          <w:tabs>
                            <w:tab w:val="left" w:pos="177"/>
                            <w:tab w:val="left" w:pos="318"/>
                          </w:tabs>
                          <w:rPr>
                            <w:sz w:val="18"/>
                            <w:szCs w:val="18"/>
                          </w:rPr>
                        </w:pPr>
                        <w:r>
                          <w:rPr>
                            <w:sz w:val="18"/>
                            <w:szCs w:val="18"/>
                          </w:rPr>
                          <w:t xml:space="preserve">4. </w:t>
                        </w:r>
                        <w:r>
                          <w:rPr>
                            <w:bCs/>
                            <w:sz w:val="18"/>
                            <w:szCs w:val="18"/>
                          </w:rPr>
                          <w:t xml:space="preserve">Obliteruojantis endarteritas, </w:t>
                        </w:r>
                        <w:r>
                          <w:rPr>
                            <w:sz w:val="18"/>
                            <w:szCs w:val="18"/>
                          </w:rPr>
                          <w:t xml:space="preserve">Raynaud sindromas </w:t>
                        </w:r>
                        <w:r>
                          <w:rPr>
                            <w:bCs/>
                            <w:sz w:val="18"/>
                            <w:szCs w:val="18"/>
                          </w:rPr>
                          <w:t>I70–</w:t>
                        </w:r>
                        <w:r>
                          <w:rPr>
                            <w:sz w:val="18"/>
                            <w:szCs w:val="18"/>
                          </w:rPr>
                          <w:t>I73.0</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eastAsia="Courier New"/>
                            <w:sz w:val="18"/>
                            <w:szCs w:val="18"/>
                          </w:rPr>
                        </w:pPr>
                        <w:r>
                          <w:rPr>
                            <w:rFonts w:eastAsia="Courier New"/>
                            <w:sz w:val="18"/>
                            <w:szCs w:val="18"/>
                          </w:rPr>
                          <w:t>5. Navikiniai susirgimai anamnezėje C00–D48.</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eastAsia="Courier New"/>
                            <w:sz w:val="18"/>
                            <w:szCs w:val="18"/>
                          </w:rPr>
                        </w:pPr>
                        <w:r>
                          <w:rPr>
                            <w:rFonts w:eastAsia="Courier New"/>
                            <w:sz w:val="18"/>
                            <w:szCs w:val="18"/>
                          </w:rPr>
                          <w:t>6. Susirgimai, neleidžiantys naudotis individualiųjų saugos priemonių, skirtų apsisaugoti nuo jonizuojančiosios spinduliuotės poveikio.</w:t>
                        </w:r>
                      </w:p>
                      <w:p>
                        <w:pPr>
                          <w:rPr>
                            <w:sz w:val="18"/>
                            <w:szCs w:val="18"/>
                          </w:rPr>
                        </w:pPr>
                        <w:r>
                          <w:rPr>
                            <w:sz w:val="18"/>
                            <w:szCs w:val="18"/>
                          </w:rPr>
                          <w:t>7. II–IV stadijų spindulinė liga, esant nuolatiniam kenkimui (esant spindulinės ligos I stadijai, apie tinkamumą dirbti sprendžiama individualiai) T66</w:t>
                        </w:r>
                      </w:p>
                      <w:p>
                        <w:pPr>
                          <w:rPr>
                            <w:sz w:val="18"/>
                            <w:szCs w:val="18"/>
                          </w:rPr>
                        </w:pPr>
                        <w:r>
                          <w:rPr>
                            <w:sz w:val="18"/>
                            <w:szCs w:val="18"/>
                          </w:rPr>
                          <w:t xml:space="preserve">8. Prienosinių ančių lėtinės pūlinės ligos J32 </w:t>
                        </w:r>
                      </w:p>
                      <w:p>
                        <w:pPr>
                          <w:rPr>
                            <w:sz w:val="18"/>
                            <w:szCs w:val="18"/>
                          </w:rPr>
                        </w:pPr>
                        <w:r>
                          <w:rPr>
                            <w:sz w:val="18"/>
                            <w:szCs w:val="18"/>
                          </w:rPr>
                          <w:t xml:space="preserve">9. Lėtiniai otitai su dažnais paūmėjimais H65–H75 </w:t>
                        </w:r>
                      </w:p>
                      <w:p>
                        <w:pPr>
                          <w:rPr>
                            <w:sz w:val="18"/>
                            <w:szCs w:val="18"/>
                          </w:rPr>
                        </w:pPr>
                        <w:r>
                          <w:rPr>
                            <w:sz w:val="18"/>
                            <w:szCs w:val="18"/>
                          </w:rPr>
                          <w:t>10. Cukrinis diabetas E10–E14</w:t>
                        </w:r>
                      </w:p>
                      <w:p>
                        <w:pPr>
                          <w:rPr>
                            <w:sz w:val="18"/>
                            <w:szCs w:val="18"/>
                          </w:rPr>
                        </w:pPr>
                        <w:r>
                          <w:rPr>
                            <w:sz w:val="18"/>
                            <w:szCs w:val="18"/>
                          </w:rPr>
                          <w:t>11. Psichikos ir elgesio sutrikimai</w:t>
                        </w:r>
                      </w:p>
                      <w:p>
                        <w:pPr>
                          <w:ind w:firstLine="50"/>
                          <w:rPr>
                            <w:sz w:val="18"/>
                            <w:szCs w:val="18"/>
                          </w:rPr>
                        </w:pPr>
                        <w:r>
                          <w:rPr>
                            <w:sz w:val="18"/>
                            <w:szCs w:val="18"/>
                          </w:rPr>
                          <w:t>F20–F29 (kiti psichikos ir elgesio sutrikimai</w:t>
                        </w:r>
                        <w:r>
                          <w:rPr>
                            <w:b/>
                            <w:sz w:val="18"/>
                            <w:szCs w:val="18"/>
                          </w:rPr>
                          <w:t> –</w:t>
                        </w:r>
                        <w:r>
                          <w:rPr>
                            <w:sz w:val="18"/>
                            <w:szCs w:val="18"/>
                          </w:rPr>
                          <w:t xml:space="preserve"> paūmėjimo metu)</w:t>
                        </w:r>
                      </w:p>
                    </w:tc>
                  </w:tr>
                  <w:tr>
                    <w:trPr>
                      <w:trHeight w:val="120"/>
                    </w:trPr>
                    <w:tc>
                      <w:tcPr>
                        <w:tcW w:w="2383" w:type="dxa"/>
                        <w:vMerge/>
                      </w:tcPr>
                      <w:p>
                        <w:pPr>
                          <w:rPr>
                            <w:sz w:val="18"/>
                            <w:szCs w:val="18"/>
                          </w:rPr>
                        </w:pPr>
                      </w:p>
                    </w:tc>
                    <w:tc>
                      <w:tcPr>
                        <w:tcW w:w="1702" w:type="dxa"/>
                        <w:vMerge/>
                      </w:tcPr>
                      <w:p>
                        <w:pPr>
                          <w:rPr>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Oftalmologas, esant indikacijų – neurologas, psichiatras ir kitų profesinių kvalifikacijų gydytojai</w:t>
                        </w:r>
                      </w:p>
                    </w:tc>
                    <w:tc>
                      <w:tcPr>
                        <w:tcW w:w="2984" w:type="dxa"/>
                        <w:vMerge/>
                      </w:tcPr>
                      <w:p>
                        <w:pPr>
                          <w:rPr>
                            <w:sz w:val="18"/>
                            <w:szCs w:val="18"/>
                          </w:rPr>
                        </w:pPr>
                      </w:p>
                    </w:tc>
                    <w:tc>
                      <w:tcPr>
                        <w:tcW w:w="2168" w:type="dxa"/>
                        <w:vMerge/>
                      </w:tcPr>
                      <w:p>
                        <w:pPr>
                          <w:rPr>
                            <w:sz w:val="18"/>
                            <w:szCs w:val="18"/>
                          </w:rPr>
                        </w:pPr>
                      </w:p>
                    </w:tc>
                  </w:tr>
                  <w:tr>
                    <w:trPr>
                      <w:trHeight w:val="47"/>
                    </w:trPr>
                    <w:tc>
                      <w:tcPr>
                        <w:tcW w:w="2383" w:type="dxa"/>
                        <w:vMerge/>
                      </w:tcPr>
                      <w:p>
                        <w:pPr>
                          <w:rPr>
                            <w:sz w:val="18"/>
                            <w:szCs w:val="18"/>
                          </w:rPr>
                        </w:pPr>
                      </w:p>
                    </w:tc>
                    <w:tc>
                      <w:tcPr>
                        <w:tcW w:w="1702" w:type="dxa"/>
                        <w:vMerge w:val="restart"/>
                      </w:tcPr>
                      <w:p>
                        <w:pPr>
                          <w:rPr>
                            <w:sz w:val="18"/>
                            <w:szCs w:val="18"/>
                          </w:rPr>
                        </w:pPr>
                        <w:r>
                          <w:rPr>
                            <w:sz w:val="18"/>
                            <w:szCs w:val="18"/>
                          </w:rPr>
                          <w:t>2. Darbai su atvirais jonizuojančiosios spinduliuotės šaltiniais, atominėje elektrinėje bei radioaktyviųjų atliekų ir panaudoto branduolinio kuro laikino ir galutinio saugojimo saugyklose (kapinynuose) („A“ kategorijos darbuotojai)</w:t>
                        </w:r>
                      </w:p>
                    </w:tc>
                    <w:tc>
                      <w:tcPr>
                        <w:tcW w:w="1459" w:type="dxa"/>
                        <w:vMerge w:val="restart"/>
                      </w:tcPr>
                      <w:p>
                        <w:pPr>
                          <w:rPr>
                            <w:sz w:val="18"/>
                            <w:szCs w:val="18"/>
                          </w:rPr>
                        </w:pPr>
                        <w:r>
                          <w:rPr>
                            <w:sz w:val="18"/>
                            <w:szCs w:val="18"/>
                          </w:rPr>
                          <w:t>1 kartą per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r>
                          <w:rPr>
                            <w:sz w:val="18"/>
                            <w:szCs w:val="18"/>
                          </w:rPr>
                          <w:t xml:space="preserve">Oftalmologas, otorinolaringologas, psichiatras, esant indikacijų – nefrologas ir </w:t>
                        </w:r>
                        <w:r>
                          <w:rPr>
                            <w:bCs/>
                            <w:sz w:val="18"/>
                            <w:szCs w:val="18"/>
                          </w:rPr>
                          <w:t>kitų profesinių kvalifikacijų gydytojai</w:t>
                        </w:r>
                        <w:r>
                          <w:rPr>
                            <w:sz w:val="18"/>
                            <w:szCs w:val="18"/>
                          </w:rPr>
                          <w:t xml:space="preserve"> </w:t>
                        </w:r>
                      </w:p>
                    </w:tc>
                    <w:tc>
                      <w:tcPr>
                        <w:tcW w:w="2984" w:type="dxa"/>
                        <w:vMerge w:val="restart"/>
                      </w:tcPr>
                      <w:p>
                        <w:pPr>
                          <w:rPr>
                            <w:sz w:val="18"/>
                            <w:szCs w:val="18"/>
                          </w:rPr>
                        </w:pPr>
                        <w:r>
                          <w:rPr>
                            <w:sz w:val="18"/>
                            <w:szCs w:val="18"/>
                          </w:rPr>
                          <w:t>Kraujo tyrimas hematologiniu analizatoriumi (eritrocitai, hemoglobinas, leukocitai, trombocitai), leukograma, šlapimo tyrimas analizatoriumi,</w:t>
                        </w:r>
                      </w:p>
                      <w:p>
                        <w:pPr>
                          <w:rPr>
                            <w:sz w:val="18"/>
                            <w:szCs w:val="18"/>
                          </w:rPr>
                        </w:pPr>
                        <w:r>
                          <w:rPr>
                            <w:sz w:val="18"/>
                            <w:szCs w:val="18"/>
                          </w:rPr>
                          <w:t xml:space="preserve">regėjimo aštrumas, akipločio ištyrimas, </w:t>
                        </w:r>
                      </w:p>
                      <w:p>
                        <w:pPr>
                          <w:rPr>
                            <w:sz w:val="18"/>
                            <w:szCs w:val="18"/>
                          </w:rPr>
                        </w:pPr>
                        <w:r>
                          <w:rPr>
                            <w:sz w:val="18"/>
                            <w:szCs w:val="18"/>
                          </w:rPr>
                          <w:t>EKG,</w:t>
                        </w:r>
                      </w:p>
                      <w:p>
                        <w:pPr>
                          <w:rPr>
                            <w:sz w:val="18"/>
                            <w:szCs w:val="18"/>
                          </w:rPr>
                        </w:pPr>
                        <w:r>
                          <w:rPr>
                            <w:sz w:val="18"/>
                            <w:szCs w:val="18"/>
                          </w:rPr>
                          <w:t xml:space="preserve">esant indikacijų – IKFT, </w:t>
                        </w:r>
                      </w:p>
                      <w:p>
                        <w:pPr>
                          <w:rPr>
                            <w:sz w:val="18"/>
                            <w:szCs w:val="18"/>
                          </w:rPr>
                        </w:pPr>
                        <w:r>
                          <w:rPr>
                            <w:sz w:val="18"/>
                            <w:szCs w:val="18"/>
                          </w:rPr>
                          <w:t>KLR</w:t>
                        </w:r>
                      </w:p>
                    </w:tc>
                    <w:tc>
                      <w:tcPr>
                        <w:tcW w:w="2168" w:type="dxa"/>
                        <w:vMerge/>
                      </w:tcPr>
                      <w:p>
                        <w:pPr>
                          <w:rPr>
                            <w:sz w:val="18"/>
                            <w:szCs w:val="18"/>
                          </w:rPr>
                        </w:pPr>
                        <w:r>
                          <w:rPr>
                            <w:sz w:val="18"/>
                            <w:szCs w:val="18"/>
                          </w:rPr>
                          <w:t xml:space="preserve">1. </w:t>
                        </w:r>
                      </w:p>
                    </w:tc>
                  </w:tr>
                  <w:tr>
                    <w:trPr>
                      <w:trHeight w:val="47"/>
                    </w:trPr>
                    <w:tc>
                      <w:tcPr>
                        <w:tcW w:w="2383" w:type="dxa"/>
                        <w:vMerge/>
                      </w:tcPr>
                      <w:p>
                        <w:pPr>
                          <w:rPr>
                            <w:sz w:val="18"/>
                            <w:szCs w:val="18"/>
                          </w:rPr>
                        </w:pPr>
                      </w:p>
                    </w:tc>
                    <w:tc>
                      <w:tcPr>
                        <w:tcW w:w="1702" w:type="dxa"/>
                        <w:vMerge/>
                      </w:tcPr>
                      <w:p>
                        <w:pPr>
                          <w:rPr>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 xml:space="preserve">oftalmologas, otorinolaringologas, psichiatras, esant indikacijų – nefrologas, dermatovenerologas ir </w:t>
                        </w:r>
                        <w:r>
                          <w:rPr>
                            <w:bCs/>
                            <w:sz w:val="18"/>
                            <w:szCs w:val="18"/>
                          </w:rPr>
                          <w:t>kitų profesinių kvalifikacijų gydytojai</w:t>
                        </w:r>
                      </w:p>
                    </w:tc>
                    <w:tc>
                      <w:tcPr>
                        <w:tcW w:w="2984" w:type="dxa"/>
                        <w:vMerge/>
                      </w:tcPr>
                      <w:p>
                        <w:pPr>
                          <w:rPr>
                            <w:sz w:val="18"/>
                            <w:szCs w:val="18"/>
                          </w:rPr>
                        </w:pPr>
                      </w:p>
                    </w:tc>
                    <w:tc>
                      <w:tcPr>
                        <w:tcW w:w="2168" w:type="dxa"/>
                        <w:vMerge/>
                      </w:tcPr>
                      <w:p>
                        <w:pPr>
                          <w:rPr>
                            <w:sz w:val="18"/>
                            <w:szCs w:val="18"/>
                          </w:rPr>
                        </w:pPr>
                        <w:r>
                          <w:rPr>
                            <w:sz w:val="18"/>
                            <w:szCs w:val="18"/>
                          </w:rPr>
                          <w:t xml:space="preserve">2. </w:t>
                        </w:r>
                      </w:p>
                    </w:tc>
                  </w:tr>
                  <w:tr>
                    <w:trPr>
                      <w:trHeight w:val="47"/>
                    </w:trPr>
                    <w:tc>
                      <w:tcPr>
                        <w:tcW w:w="2383" w:type="dxa"/>
                        <w:vMerge w:val="restart"/>
                      </w:tcPr>
                      <w:p>
                        <w:pPr>
                          <w:rPr>
                            <w:sz w:val="18"/>
                            <w:szCs w:val="18"/>
                          </w:rPr>
                        </w:pPr>
                        <w:r>
                          <w:rPr>
                            <w:sz w:val="18"/>
                            <w:szCs w:val="18"/>
                          </w:rPr>
                          <w:t>3.2 .Vibracija</w:t>
                        </w:r>
                      </w:p>
                    </w:tc>
                    <w:tc>
                      <w:tcPr>
                        <w:tcW w:w="1702" w:type="dxa"/>
                        <w:vMerge w:val="restart"/>
                      </w:tcPr>
                      <w:p>
                        <w:pPr>
                          <w:rPr>
                            <w:sz w:val="18"/>
                            <w:szCs w:val="18"/>
                          </w:rPr>
                        </w:pPr>
                        <w:r>
                          <w:rPr>
                            <w:sz w:val="18"/>
                            <w:szCs w:val="18"/>
                          </w:rPr>
                          <w:t>Visi darbai, susiję su vibracijos poveikiu:</w:t>
                        </w:r>
                      </w:p>
                      <w:p>
                        <w:pPr>
                          <w:rPr>
                            <w:b/>
                            <w:sz w:val="18"/>
                            <w:szCs w:val="18"/>
                          </w:rPr>
                        </w:pPr>
                        <w:r>
                          <w:rPr>
                            <w:sz w:val="18"/>
                            <w:szCs w:val="18"/>
                          </w:rPr>
                          <w:t>rankas ir visą žmogaus kūną veikianti vibracija</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jc w:val="center"/>
                          <w:rPr>
                            <w:sz w:val="18"/>
                            <w:szCs w:val="18"/>
                          </w:rPr>
                        </w:pPr>
                        <w:r>
                          <w:rPr>
                            <w:sz w:val="18"/>
                            <w:szCs w:val="18"/>
                          </w:rPr>
                          <w:t>----</w:t>
                        </w:r>
                      </w:p>
                    </w:tc>
                    <w:tc>
                      <w:tcPr>
                        <w:tcW w:w="2984" w:type="dxa"/>
                        <w:vMerge w:val="restart"/>
                      </w:tcPr>
                      <w:p>
                        <w:pPr>
                          <w:rPr>
                            <w:sz w:val="18"/>
                            <w:szCs w:val="18"/>
                          </w:rPr>
                        </w:pPr>
                        <w:r>
                          <w:rPr>
                            <w:sz w:val="18"/>
                            <w:szCs w:val="18"/>
                          </w:rPr>
                          <w:t xml:space="preserve">Vestibulinės funkcijos tyrimas, </w:t>
                        </w:r>
                      </w:p>
                      <w:p>
                        <w:pPr>
                          <w:rPr>
                            <w:i/>
                            <w:sz w:val="18"/>
                            <w:szCs w:val="18"/>
                          </w:rPr>
                        </w:pPr>
                        <w:r>
                          <w:rPr>
                            <w:sz w:val="18"/>
                            <w:szCs w:val="18"/>
                          </w:rPr>
                          <w:t>esant indikacijų – audiograma</w:t>
                        </w:r>
                      </w:p>
                    </w:tc>
                    <w:tc>
                      <w:tcPr>
                        <w:tcW w:w="2168" w:type="dxa"/>
                        <w:vMerge w:val="restart"/>
                      </w:tcPr>
                      <w:p>
                        <w:pPr>
                          <w:rPr>
                            <w:sz w:val="18"/>
                            <w:szCs w:val="18"/>
                          </w:rPr>
                        </w:pPr>
                        <w:r>
                          <w:rPr>
                            <w:sz w:val="18"/>
                            <w:szCs w:val="18"/>
                          </w:rPr>
                          <w:t>1. Didelė komplikuota trumparegystė (daugiau kaip 8.0 D) H52.1</w:t>
                        </w:r>
                      </w:p>
                      <w:p>
                        <w:pPr>
                          <w:tabs>
                            <w:tab w:val="left" w:pos="177"/>
                            <w:tab w:val="left" w:pos="318"/>
                          </w:tabs>
                          <w:rPr>
                            <w:sz w:val="18"/>
                            <w:szCs w:val="18"/>
                          </w:rPr>
                        </w:pPr>
                        <w:r>
                          <w:rPr>
                            <w:sz w:val="18"/>
                            <w:szCs w:val="18"/>
                          </w:rPr>
                          <w:t xml:space="preserve">2. </w:t>
                        </w:r>
                        <w:r>
                          <w:rPr>
                            <w:bCs/>
                            <w:sz w:val="18"/>
                            <w:szCs w:val="18"/>
                          </w:rPr>
                          <w:t xml:space="preserve">Obliteruojantis endarteritas, </w:t>
                        </w:r>
                        <w:r>
                          <w:rPr>
                            <w:sz w:val="18"/>
                            <w:szCs w:val="18"/>
                          </w:rPr>
                          <w:t xml:space="preserve">Raynaud sindromas </w:t>
                        </w:r>
                        <w:r>
                          <w:rPr>
                            <w:bCs/>
                            <w:sz w:val="18"/>
                            <w:szCs w:val="18"/>
                          </w:rPr>
                          <w:t>I70–</w:t>
                        </w:r>
                        <w:r>
                          <w:rPr>
                            <w:sz w:val="18"/>
                            <w:szCs w:val="18"/>
                          </w:rPr>
                          <w:t>I73.0</w:t>
                        </w:r>
                      </w:p>
                      <w:p>
                        <w:pPr>
                          <w:rPr>
                            <w:sz w:val="18"/>
                            <w:szCs w:val="18"/>
                          </w:rPr>
                        </w:pPr>
                        <w:r>
                          <w:rPr>
                            <w:sz w:val="18"/>
                            <w:szCs w:val="18"/>
                          </w:rPr>
                          <w:t>3. Lėtinės periferinės nervų sistemos ir raumenų ligos G60–G64, G70–G73</w:t>
                        </w:r>
                      </w:p>
                      <w:p>
                        <w:pPr>
                          <w:tabs>
                            <w:tab w:val="center" w:pos="33"/>
                          </w:tabs>
                          <w:rPr>
                            <w:sz w:val="18"/>
                            <w:szCs w:val="18"/>
                          </w:rPr>
                        </w:pPr>
                        <w:r>
                          <w:rPr>
                            <w:sz w:val="18"/>
                            <w:szCs w:val="18"/>
                          </w:rPr>
                          <w:t>4. Įvairios etiologijos klausos susilpnėjimas viena arba abiem ausimis, kai šnabždesys girdimas mažesniu kaip 3 m atstumu H65.2; H65.3; H66.1; H66.2; H74.0, H74.1; H74.2; H74.3; H80; H83; H90; H91.0; H91.1; H91.8; H91.9; H93.3; H94, išskyrus H91.3. Individualiu atveju dėl galimybės dirbti sprendžia gydytojas otorinolaringologas</w:t>
                        </w:r>
                      </w:p>
                      <w:p>
                        <w:pPr>
                          <w:tabs>
                            <w:tab w:val="center" w:pos="33"/>
                          </w:tabs>
                          <w:rPr>
                            <w:sz w:val="18"/>
                            <w:szCs w:val="18"/>
                          </w:rPr>
                        </w:pPr>
                        <w:r>
                          <w:rPr>
                            <w:sz w:val="18"/>
                            <w:szCs w:val="18"/>
                          </w:rPr>
                          <w:t xml:space="preserve">5. Vestibulinės funkcijos sutrikimai H81; H82 </w:t>
                        </w:r>
                      </w:p>
                      <w:p>
                        <w:pPr>
                          <w:rPr>
                            <w:sz w:val="18"/>
                            <w:szCs w:val="18"/>
                          </w:rPr>
                        </w:pPr>
                        <w:r>
                          <w:rPr>
                            <w:sz w:val="18"/>
                            <w:szCs w:val="18"/>
                          </w:rPr>
                          <w:t>6. Diskogeninės juosmens srities stuburo ligos M51.1</w:t>
                        </w:r>
                      </w:p>
                    </w:tc>
                  </w:tr>
                  <w:tr>
                    <w:trPr>
                      <w:trHeight w:val="640"/>
                    </w:trPr>
                    <w:tc>
                      <w:tcPr>
                        <w:tcW w:w="2383" w:type="dxa"/>
                        <w:vMerge/>
                      </w:tcPr>
                      <w:p>
                        <w:pPr>
                          <w:rPr>
                            <w:sz w:val="18"/>
                            <w:szCs w:val="18"/>
                          </w:rPr>
                        </w:pPr>
                      </w:p>
                    </w:tc>
                    <w:tc>
                      <w:tcPr>
                        <w:tcW w:w="1702" w:type="dxa"/>
                        <w:vMerge/>
                      </w:tcPr>
                      <w:p>
                        <w:pPr>
                          <w:rPr>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 xml:space="preserve">Neurologas, </w:t>
                        </w:r>
                      </w:p>
                      <w:p>
                        <w:pPr>
                          <w:rPr>
                            <w:sz w:val="18"/>
                            <w:szCs w:val="18"/>
                          </w:rPr>
                        </w:pPr>
                        <w:r>
                          <w:rPr>
                            <w:sz w:val="18"/>
                            <w:szCs w:val="18"/>
                          </w:rPr>
                          <w:t>oftalmologas, otorinolaringologas</w:t>
                        </w:r>
                      </w:p>
                    </w:tc>
                    <w:tc>
                      <w:tcPr>
                        <w:tcW w:w="2984" w:type="dxa"/>
                        <w:vMerge/>
                      </w:tcPr>
                      <w:p>
                        <w:pPr>
                          <w:rPr>
                            <w:sz w:val="18"/>
                            <w:szCs w:val="18"/>
                          </w:rPr>
                        </w:pPr>
                      </w:p>
                    </w:tc>
                    <w:tc>
                      <w:tcPr>
                        <w:tcW w:w="2168" w:type="dxa"/>
                        <w:vMerge/>
                      </w:tcPr>
                      <w:p>
                        <w:pPr>
                          <w:rPr>
                            <w:sz w:val="18"/>
                            <w:szCs w:val="18"/>
                          </w:rPr>
                        </w:pPr>
                      </w:p>
                    </w:tc>
                  </w:tr>
                  <w:tr>
                    <w:trPr>
                      <w:trHeight w:val="47"/>
                    </w:trPr>
                    <w:tc>
                      <w:tcPr>
                        <w:tcW w:w="2383" w:type="dxa"/>
                        <w:vMerge w:val="restart"/>
                      </w:tcPr>
                      <w:p>
                        <w:pPr>
                          <w:rPr>
                            <w:sz w:val="18"/>
                            <w:szCs w:val="18"/>
                          </w:rPr>
                        </w:pPr>
                        <w:r>
                          <w:rPr>
                            <w:sz w:val="18"/>
                            <w:szCs w:val="18"/>
                          </w:rPr>
                          <w:t>3.3. Akustinis triukšmas</w:t>
                        </w:r>
                      </w:p>
                    </w:tc>
                    <w:tc>
                      <w:tcPr>
                        <w:tcW w:w="1702" w:type="dxa"/>
                        <w:vMerge w:val="restart"/>
                      </w:tcPr>
                      <w:p>
                        <w:pPr>
                          <w:rPr>
                            <w:sz w:val="18"/>
                            <w:szCs w:val="18"/>
                          </w:rPr>
                        </w:pPr>
                        <w:r>
                          <w:rPr>
                            <w:sz w:val="18"/>
                            <w:szCs w:val="18"/>
                          </w:rPr>
                          <w:t xml:space="preserve">Darbai, kai kasdienio veikiančio triukšmo lygis viršija arba gali viršyti žemutinę ekspozicijos vertę veiksmams pradėti 80 dB (A)  </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r>
                          <w:rPr>
                            <w:sz w:val="18"/>
                            <w:szCs w:val="18"/>
                          </w:rPr>
                          <w:t xml:space="preserve">Otorinolaringologas </w:t>
                        </w:r>
                      </w:p>
                    </w:tc>
                    <w:tc>
                      <w:tcPr>
                        <w:tcW w:w="2984" w:type="dxa"/>
                        <w:vMerge w:val="restart"/>
                      </w:tcPr>
                      <w:p>
                        <w:pPr>
                          <w:rPr>
                            <w:sz w:val="18"/>
                            <w:szCs w:val="18"/>
                          </w:rPr>
                        </w:pPr>
                        <w:r>
                          <w:rPr>
                            <w:sz w:val="18"/>
                            <w:szCs w:val="18"/>
                          </w:rPr>
                          <w:t xml:space="preserve">Audiograma, esant indikacijų – vestibulinės funkcijos tyrimas </w:t>
                        </w:r>
                      </w:p>
                    </w:tc>
                    <w:tc>
                      <w:tcPr>
                        <w:tcW w:w="2168" w:type="dxa"/>
                        <w:vMerge w:val="restart"/>
                      </w:tcPr>
                      <w:p>
                        <w:pPr>
                          <w:rPr>
                            <w:sz w:val="18"/>
                            <w:szCs w:val="18"/>
                          </w:rPr>
                        </w:pPr>
                        <w:r>
                          <w:rPr>
                            <w:sz w:val="18"/>
                            <w:szCs w:val="18"/>
                          </w:rPr>
                          <w:t>1. Įvairios etiologijos klausos susilpnėjimas viena arba abiem ausimis, kai šnabždesys girdimas mažesniu kaip 3 m atstumu H65.2; H65.3; H66.1; H66.2; H74.0, H74.1; H74.2; H74.3; H80; H83; H90; H91.0; H91.1; H91.8; H91.9; H93.3; H94, išskyrus H91.3. Individualiu atveju dėl galimybės dirbti sprendžia gydytojas otorinolaringologas.</w:t>
                        </w:r>
                      </w:p>
                      <w:p>
                        <w:pPr>
                          <w:rPr>
                            <w:sz w:val="18"/>
                            <w:szCs w:val="18"/>
                          </w:rPr>
                        </w:pPr>
                        <w:r>
                          <w:rPr>
                            <w:sz w:val="18"/>
                            <w:szCs w:val="18"/>
                          </w:rPr>
                          <w:t xml:space="preserve">2. Vestibulinės funkcijos sutrikimai: H81; H82 </w:t>
                        </w:r>
                      </w:p>
                      <w:p>
                        <w:pPr>
                          <w:rPr>
                            <w:sz w:val="18"/>
                            <w:szCs w:val="18"/>
                          </w:rPr>
                        </w:pPr>
                        <w:r>
                          <w:rPr>
                            <w:sz w:val="18"/>
                            <w:szCs w:val="18"/>
                          </w:rPr>
                          <w:t>3. Sunki arterinė hipertenzija I 11– I15</w:t>
                        </w:r>
                      </w:p>
                    </w:tc>
                  </w:tr>
                  <w:tr>
                    <w:trPr>
                      <w:trHeight w:val="58"/>
                    </w:trPr>
                    <w:tc>
                      <w:tcPr>
                        <w:tcW w:w="2383" w:type="dxa"/>
                        <w:vMerge/>
                      </w:tcPr>
                      <w:p>
                        <w:pPr>
                          <w:rPr>
                            <w:sz w:val="18"/>
                            <w:szCs w:val="18"/>
                          </w:rPr>
                        </w:pPr>
                      </w:p>
                    </w:tc>
                    <w:tc>
                      <w:tcPr>
                        <w:tcW w:w="1702" w:type="dxa"/>
                        <w:vMerge/>
                      </w:tcPr>
                      <w:p>
                        <w:pPr>
                          <w:rPr>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Neurologas, otorinolaringologas</w:t>
                        </w:r>
                      </w:p>
                    </w:tc>
                    <w:tc>
                      <w:tcPr>
                        <w:tcW w:w="2984" w:type="dxa"/>
                        <w:vMerge/>
                      </w:tcPr>
                      <w:p>
                        <w:pPr>
                          <w:rPr>
                            <w:sz w:val="18"/>
                            <w:szCs w:val="18"/>
                          </w:rPr>
                        </w:pPr>
                      </w:p>
                    </w:tc>
                    <w:tc>
                      <w:tcPr>
                        <w:tcW w:w="2168" w:type="dxa"/>
                        <w:vMerge/>
                      </w:tcPr>
                      <w:p>
                        <w:pPr>
                          <w:rPr>
                            <w:sz w:val="18"/>
                            <w:szCs w:val="18"/>
                          </w:rPr>
                        </w:pPr>
                      </w:p>
                    </w:tc>
                  </w:tr>
                  <w:tr>
                    <w:trPr>
                      <w:cantSplit/>
                      <w:trHeight w:val="212"/>
                    </w:trPr>
                    <w:tc>
                      <w:tcPr>
                        <w:tcW w:w="2383" w:type="dxa"/>
                        <w:vMerge w:val="restart"/>
                      </w:tcPr>
                      <w:p>
                        <w:pPr>
                          <w:rPr>
                            <w:sz w:val="18"/>
                            <w:szCs w:val="18"/>
                          </w:rPr>
                        </w:pPr>
                        <w:r>
                          <w:rPr>
                            <w:sz w:val="18"/>
                            <w:szCs w:val="18"/>
                          </w:rPr>
                          <w:t>3.4. Dirbtinė optinė spinduliuotė</w:t>
                        </w:r>
                      </w:p>
                      <w:p>
                        <w:pPr>
                          <w:rPr>
                            <w:sz w:val="18"/>
                            <w:szCs w:val="18"/>
                          </w:rPr>
                        </w:pPr>
                      </w:p>
                      <w:p>
                        <w:pPr>
                          <w:rPr>
                            <w:sz w:val="18"/>
                            <w:szCs w:val="18"/>
                          </w:rPr>
                        </w:pPr>
                        <w:r>
                          <w:rPr>
                            <w:sz w:val="18"/>
                            <w:szCs w:val="18"/>
                          </w:rPr>
                          <w:t>3.4.1. Lazerio (koherentinė) spinduliuotė</w:t>
                        </w:r>
                      </w:p>
                      <w:p>
                        <w:pPr>
                          <w:rPr>
                            <w:sz w:val="18"/>
                            <w:szCs w:val="18"/>
                          </w:rPr>
                        </w:pPr>
                      </w:p>
                      <w:p>
                        <w:pPr>
                          <w:rPr>
                            <w:strike/>
                            <w:sz w:val="18"/>
                            <w:szCs w:val="18"/>
                          </w:rPr>
                        </w:pPr>
                        <w:r>
                          <w:rPr>
                            <w:sz w:val="18"/>
                            <w:szCs w:val="18"/>
                          </w:rPr>
                          <w:t>3.4.2. Nekoherentinė spinduliuotė – bet kokia optinė (ultravioletinė, regimoji, infraraudonoji) spinduliuotė, išskyrus lazerio spinduliuotę</w:t>
                        </w:r>
                      </w:p>
                    </w:tc>
                    <w:tc>
                      <w:tcPr>
                        <w:tcW w:w="1702" w:type="dxa"/>
                        <w:vMerge w:val="restart"/>
                      </w:tcPr>
                      <w:p>
                        <w:pPr>
                          <w:rPr>
                            <w:sz w:val="18"/>
                            <w:szCs w:val="18"/>
                          </w:rPr>
                        </w:pPr>
                        <w:r>
                          <w:rPr>
                            <w:sz w:val="18"/>
                            <w:szCs w:val="18"/>
                          </w:rPr>
                          <w:t>Visos darbo su lazeriais ir su nekoherentinės optinės spinduliuotės šaltiniais rūšys</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r>
                          <w:rPr>
                            <w:sz w:val="18"/>
                            <w:szCs w:val="18"/>
                          </w:rPr>
                          <w:t>Oftalmologas,</w:t>
                        </w:r>
                      </w:p>
                      <w:p>
                        <w:pPr>
                          <w:rPr>
                            <w:sz w:val="18"/>
                            <w:szCs w:val="18"/>
                          </w:rPr>
                        </w:pPr>
                        <w:r>
                          <w:rPr>
                            <w:sz w:val="18"/>
                            <w:szCs w:val="18"/>
                          </w:rPr>
                          <w:t>esant indikacijų – dermatovenerologas</w:t>
                        </w:r>
                      </w:p>
                    </w:tc>
                    <w:tc>
                      <w:tcPr>
                        <w:tcW w:w="2984" w:type="dxa"/>
                        <w:vMerge w:val="restart"/>
                      </w:tcPr>
                      <w:p>
                        <w:pPr>
                          <w:rPr>
                            <w:sz w:val="18"/>
                            <w:szCs w:val="18"/>
                          </w:rPr>
                        </w:pPr>
                        <w:r>
                          <w:rPr>
                            <w:sz w:val="18"/>
                            <w:szCs w:val="18"/>
                          </w:rPr>
                          <w:t>Kraujo tyrimas hematologiniu analizatoriumi (eritrocitai, hemoglobinas, leukocitai, trombocitai)</w:t>
                        </w:r>
                      </w:p>
                    </w:tc>
                    <w:tc>
                      <w:tcPr>
                        <w:tcW w:w="2168" w:type="dxa"/>
                        <w:vMerge w:val="restart"/>
                      </w:tcPr>
                      <w:p>
                        <w:pPr>
                          <w:rPr>
                            <w:sz w:val="18"/>
                            <w:szCs w:val="18"/>
                          </w:rPr>
                        </w:pPr>
                        <w:r>
                          <w:rPr>
                            <w:sz w:val="18"/>
                            <w:szCs w:val="18"/>
                          </w:rPr>
                          <w:t xml:space="preserve">1. Regėjimo susilpnėjimas: mažiau kaip 0.6 –  viena ir mažiau kaip 0.5 – kita akimi (su korekcija). Leidžiamos šios anomalinės skiaskopiškai nustatomos refrakcijos ribos: silpnesnės akies – trumparegystė ne daugiau kaip 6.0 D, esant normaliam akies dugnui – iki 10 D, toliaregystė, priklausomai nuo korekcijos – iki 6.0 D, sudėtingas trumparegiškas ar toliaregiškas astigmatizmas – ne daugiau kaip 3.0 D, trumparegiškas ir toliaregiškas astigmatizmas – ne daugiau kaip 3.0 D</w:t>
                        </w:r>
                      </w:p>
                      <w:p>
                        <w:pPr>
                          <w:rPr>
                            <w:sz w:val="18"/>
                            <w:szCs w:val="18"/>
                          </w:rPr>
                        </w:pPr>
                        <w:r>
                          <w:rPr>
                            <w:sz w:val="18"/>
                            <w:szCs w:val="18"/>
                          </w:rPr>
                          <w:t>2. Katarakta H26–H28. Individualiu atveju dėl galimybės dirbti sprendžia gydytojas oftalmologas.</w:t>
                        </w:r>
                      </w:p>
                      <w:p>
                        <w:pPr>
                          <w:rPr>
                            <w:sz w:val="18"/>
                            <w:szCs w:val="18"/>
                          </w:rPr>
                        </w:pPr>
                        <w:r>
                          <w:rPr>
                            <w:sz w:val="18"/>
                            <w:szCs w:val="18"/>
                          </w:rPr>
                          <w:t>3. Lėtinės pasikartojančios odos ligos L20, L23, L40, L50, L53</w:t>
                        </w:r>
                      </w:p>
                    </w:tc>
                  </w:tr>
                  <w:tr>
                    <w:trPr>
                      <w:cantSplit/>
                      <w:trHeight w:val="47"/>
                    </w:trPr>
                    <w:tc>
                      <w:tcPr>
                        <w:tcW w:w="2383" w:type="dxa"/>
                        <w:vMerge/>
                      </w:tcPr>
                      <w:p>
                        <w:pPr>
                          <w:rPr>
                            <w:sz w:val="18"/>
                            <w:szCs w:val="18"/>
                          </w:rPr>
                        </w:pPr>
                      </w:p>
                    </w:tc>
                    <w:tc>
                      <w:tcPr>
                        <w:tcW w:w="1702" w:type="dxa"/>
                        <w:vMerge/>
                      </w:tcPr>
                      <w:p>
                        <w:pPr>
                          <w:rPr>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oftalmologas,</w:t>
                        </w:r>
                      </w:p>
                      <w:p>
                        <w:pPr>
                          <w:rPr>
                            <w:sz w:val="18"/>
                            <w:szCs w:val="18"/>
                          </w:rPr>
                        </w:pPr>
                        <w:r>
                          <w:rPr>
                            <w:sz w:val="18"/>
                            <w:szCs w:val="18"/>
                          </w:rPr>
                          <w:t xml:space="preserve">esant indikacijų – dermatovenerologas, </w:t>
                        </w:r>
                      </w:p>
                      <w:p>
                        <w:pPr>
                          <w:rPr>
                            <w:sz w:val="18"/>
                            <w:szCs w:val="18"/>
                          </w:rPr>
                        </w:pPr>
                        <w:r>
                          <w:rPr>
                            <w:sz w:val="18"/>
                            <w:szCs w:val="18"/>
                          </w:rPr>
                          <w:t>neurologas</w:t>
                        </w:r>
                      </w:p>
                    </w:tc>
                    <w:tc>
                      <w:tcPr>
                        <w:tcW w:w="2984" w:type="dxa"/>
                        <w:vMerge/>
                      </w:tcPr>
                      <w:p>
                        <w:pPr>
                          <w:rPr>
                            <w:sz w:val="18"/>
                            <w:szCs w:val="18"/>
                          </w:rPr>
                        </w:pPr>
                      </w:p>
                    </w:tc>
                    <w:tc>
                      <w:tcPr>
                        <w:tcW w:w="2168" w:type="dxa"/>
                        <w:vMerge/>
                      </w:tcPr>
                      <w:p>
                        <w:pPr>
                          <w:rPr>
                            <w:sz w:val="18"/>
                            <w:szCs w:val="18"/>
                          </w:rPr>
                        </w:pPr>
                      </w:p>
                    </w:tc>
                  </w:tr>
                  <w:tr>
                    <w:tc>
                      <w:tcPr>
                        <w:tcW w:w="2383" w:type="dxa"/>
                      </w:tcPr>
                      <w:p>
                        <w:pPr>
                          <w:rPr>
                            <w:bCs/>
                            <w:sz w:val="18"/>
                            <w:szCs w:val="18"/>
                          </w:rPr>
                        </w:pPr>
                        <w:r>
                          <w:rPr>
                            <w:bCs/>
                            <w:sz w:val="18"/>
                            <w:szCs w:val="18"/>
                          </w:rPr>
                          <w:t xml:space="preserve">3.5. Elektrinis ir magnetinis laukai: </w:t>
                        </w:r>
                      </w:p>
                    </w:tc>
                    <w:tc>
                      <w:tcPr>
                        <w:tcW w:w="1702" w:type="dxa"/>
                      </w:tcPr>
                      <w:p>
                        <w:pPr>
                          <w:rPr>
                            <w:bCs/>
                            <w:strike/>
                            <w:sz w:val="18"/>
                            <w:szCs w:val="18"/>
                          </w:rPr>
                        </w:pPr>
                      </w:p>
                    </w:tc>
                    <w:tc>
                      <w:tcPr>
                        <w:tcW w:w="1459" w:type="dxa"/>
                      </w:tcPr>
                      <w:p>
                        <w:pPr>
                          <w:rPr>
                            <w:bCs/>
                            <w:strike/>
                            <w:sz w:val="18"/>
                            <w:szCs w:val="18"/>
                          </w:rPr>
                        </w:pPr>
                      </w:p>
                    </w:tc>
                    <w:tc>
                      <w:tcPr>
                        <w:tcW w:w="1938" w:type="dxa"/>
                      </w:tcPr>
                      <w:p>
                        <w:pPr>
                          <w:rPr>
                            <w:bCs/>
                            <w:strike/>
                            <w:sz w:val="18"/>
                            <w:szCs w:val="18"/>
                          </w:rPr>
                        </w:pPr>
                      </w:p>
                    </w:tc>
                    <w:tc>
                      <w:tcPr>
                        <w:tcW w:w="2106" w:type="dxa"/>
                      </w:tcPr>
                      <w:p>
                        <w:pPr>
                          <w:rPr>
                            <w:bCs/>
                            <w:strike/>
                            <w:sz w:val="18"/>
                            <w:szCs w:val="18"/>
                          </w:rPr>
                        </w:pPr>
                      </w:p>
                    </w:tc>
                    <w:tc>
                      <w:tcPr>
                        <w:tcW w:w="2984" w:type="dxa"/>
                      </w:tcPr>
                      <w:p>
                        <w:pPr>
                          <w:rPr>
                            <w:bCs/>
                            <w:strike/>
                            <w:sz w:val="18"/>
                            <w:szCs w:val="18"/>
                          </w:rPr>
                        </w:pPr>
                      </w:p>
                    </w:tc>
                    <w:tc>
                      <w:tcPr>
                        <w:tcW w:w="2168" w:type="dxa"/>
                      </w:tcPr>
                      <w:p>
                        <w:pPr>
                          <w:rPr>
                            <w:bCs/>
                            <w:strike/>
                            <w:sz w:val="18"/>
                            <w:szCs w:val="18"/>
                          </w:rPr>
                        </w:pPr>
                      </w:p>
                    </w:tc>
                  </w:tr>
                  <w:tr>
                    <w:trPr>
                      <w:trHeight w:val="47"/>
                    </w:trPr>
                    <w:tc>
                      <w:tcPr>
                        <w:tcW w:w="2383" w:type="dxa"/>
                        <w:vMerge w:val="restart"/>
                      </w:tcPr>
                      <w:p>
                        <w:pPr>
                          <w:rPr>
                            <w:bCs/>
                            <w:sz w:val="18"/>
                            <w:szCs w:val="18"/>
                          </w:rPr>
                        </w:pPr>
                        <w:r>
                          <w:rPr>
                            <w:bCs/>
                            <w:sz w:val="18"/>
                            <w:szCs w:val="18"/>
                          </w:rPr>
                          <w:t>3.5.1. Elektromagnetinis laukas 10 kHz – 300 GHz dažnių juostose</w:t>
                        </w:r>
                      </w:p>
                    </w:tc>
                    <w:tc>
                      <w:tcPr>
                        <w:tcW w:w="1702" w:type="dxa"/>
                        <w:vMerge w:val="restart"/>
                      </w:tcPr>
                      <w:p>
                        <w:pPr>
                          <w:rPr>
                            <w:bCs/>
                            <w:sz w:val="18"/>
                            <w:szCs w:val="18"/>
                          </w:rPr>
                        </w:pPr>
                        <w:r>
                          <w:rPr>
                            <w:bCs/>
                            <w:sz w:val="18"/>
                            <w:szCs w:val="18"/>
                          </w:rPr>
                          <w:t xml:space="preserve">Visos darbo su nurodyto diapazono elektromagnetinės energijos šaltiniais (stacionarūs radiotechniniai objektai bei jų sistemos) rūšys </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bCs/>
                            <w:sz w:val="18"/>
                            <w:szCs w:val="18"/>
                          </w:rPr>
                        </w:pPr>
                        <w:r>
                          <w:rPr>
                            <w:sz w:val="18"/>
                            <w:szCs w:val="18"/>
                          </w:rPr>
                          <w:t>Esant indikacijų – n</w:t>
                        </w:r>
                        <w:r>
                          <w:rPr>
                            <w:bCs/>
                            <w:sz w:val="18"/>
                            <w:szCs w:val="18"/>
                          </w:rPr>
                          <w:t xml:space="preserve">eurologas </w:t>
                        </w:r>
                      </w:p>
                    </w:tc>
                    <w:tc>
                      <w:tcPr>
                        <w:tcW w:w="2984" w:type="dxa"/>
                        <w:vMerge w:val="restart"/>
                      </w:tcPr>
                      <w:p>
                        <w:pPr>
                          <w:rPr>
                            <w:sz w:val="18"/>
                            <w:szCs w:val="18"/>
                          </w:rPr>
                        </w:pPr>
                        <w:r>
                          <w:rPr>
                            <w:sz w:val="18"/>
                            <w:szCs w:val="18"/>
                          </w:rPr>
                          <w:t>Kraujo tyrimas hematologiniu analizatoriumi (eritrocitai, hemoglobinas, leukocitai, trombocitai),</w:t>
                        </w:r>
                      </w:p>
                      <w:p>
                        <w:pPr>
                          <w:rPr>
                            <w:bCs/>
                            <w:sz w:val="18"/>
                            <w:szCs w:val="18"/>
                          </w:rPr>
                        </w:pPr>
                        <w:r>
                          <w:rPr>
                            <w:sz w:val="18"/>
                            <w:szCs w:val="18"/>
                          </w:rPr>
                          <w:t xml:space="preserve">esant indikacijų – </w:t>
                        </w:r>
                        <w:r>
                          <w:rPr>
                            <w:bCs/>
                            <w:sz w:val="18"/>
                            <w:szCs w:val="18"/>
                          </w:rPr>
                          <w:t>EKG ir EEG</w:t>
                        </w:r>
                      </w:p>
                    </w:tc>
                    <w:tc>
                      <w:tcPr>
                        <w:tcW w:w="2168" w:type="dxa"/>
                        <w:vMerge w:val="restart"/>
                      </w:tcPr>
                      <w:p>
                        <w:pPr>
                          <w:tabs>
                            <w:tab w:val="center" w:pos="33"/>
                          </w:tabs>
                          <w:rPr>
                            <w:sz w:val="18"/>
                            <w:szCs w:val="18"/>
                          </w:rPr>
                        </w:pPr>
                        <w:r>
                          <w:rPr>
                            <w:bCs/>
                            <w:sz w:val="18"/>
                            <w:szCs w:val="18"/>
                          </w:rPr>
                          <w:t xml:space="preserve">Katarakta  </w:t>
                        </w:r>
                        <w:r>
                          <w:rPr>
                            <w:sz w:val="18"/>
                            <w:szCs w:val="18"/>
                          </w:rPr>
                          <w:t>H26–H28.</w:t>
                        </w:r>
                      </w:p>
                      <w:p>
                        <w:pPr>
                          <w:rPr>
                            <w:bCs/>
                            <w:sz w:val="18"/>
                            <w:szCs w:val="18"/>
                          </w:rPr>
                        </w:pPr>
                        <w:r>
                          <w:rPr>
                            <w:sz w:val="18"/>
                            <w:szCs w:val="18"/>
                          </w:rPr>
                          <w:t>Individualiu atveju dėl galimybės dirbti sprendžia gydytojas oftalmologas.</w:t>
                        </w:r>
                      </w:p>
                    </w:tc>
                  </w:tr>
                  <w:tr>
                    <w:trPr>
                      <w:trHeight w:val="47"/>
                    </w:trPr>
                    <w:tc>
                      <w:tcPr>
                        <w:tcW w:w="2383" w:type="dxa"/>
                        <w:vMerge/>
                      </w:tcPr>
                      <w:p>
                        <w:pPr>
                          <w:rPr>
                            <w:bCs/>
                            <w:sz w:val="18"/>
                            <w:szCs w:val="18"/>
                          </w:rPr>
                        </w:pPr>
                      </w:p>
                    </w:tc>
                    <w:tc>
                      <w:tcPr>
                        <w:tcW w:w="1702" w:type="dxa"/>
                        <w:vMerge/>
                      </w:tcPr>
                      <w:p>
                        <w:pPr>
                          <w:rPr>
                            <w:bCs/>
                            <w:sz w:val="18"/>
                            <w:szCs w:val="18"/>
                          </w:rPr>
                        </w:pPr>
                      </w:p>
                    </w:tc>
                    <w:tc>
                      <w:tcPr>
                        <w:tcW w:w="1459" w:type="dxa"/>
                        <w:vMerge/>
                      </w:tcPr>
                      <w:p>
                        <w:pPr>
                          <w:rPr>
                            <w:bCs/>
                            <w:sz w:val="18"/>
                            <w:szCs w:val="18"/>
                          </w:rPr>
                        </w:pPr>
                      </w:p>
                    </w:tc>
                    <w:tc>
                      <w:tcPr>
                        <w:tcW w:w="1938" w:type="dxa"/>
                        <w:vMerge/>
                      </w:tcPr>
                      <w:p>
                        <w:pPr>
                          <w:rPr>
                            <w:sz w:val="18"/>
                            <w:szCs w:val="18"/>
                          </w:rPr>
                        </w:pPr>
                      </w:p>
                    </w:tc>
                    <w:tc>
                      <w:tcPr>
                        <w:tcW w:w="2106" w:type="dxa"/>
                      </w:tcPr>
                      <w:p>
                        <w:pPr>
                          <w:rPr>
                            <w:sz w:val="18"/>
                            <w:szCs w:val="18"/>
                          </w:rPr>
                        </w:pPr>
                        <w:r>
                          <w:rPr>
                            <w:bCs/>
                            <w:sz w:val="18"/>
                            <w:szCs w:val="18"/>
                          </w:rPr>
                          <w:t xml:space="preserve">Oftalmologas, </w:t>
                        </w:r>
                        <w:r>
                          <w:rPr>
                            <w:sz w:val="18"/>
                            <w:szCs w:val="18"/>
                          </w:rPr>
                          <w:t>esant indikacijų – n</w:t>
                        </w:r>
                        <w:r>
                          <w:rPr>
                            <w:bCs/>
                            <w:sz w:val="18"/>
                            <w:szCs w:val="18"/>
                          </w:rPr>
                          <w:t>eurologas</w:t>
                        </w:r>
                      </w:p>
                    </w:tc>
                    <w:tc>
                      <w:tcPr>
                        <w:tcW w:w="2984" w:type="dxa"/>
                        <w:vMerge/>
                      </w:tcPr>
                      <w:p>
                        <w:pPr>
                          <w:rPr>
                            <w:sz w:val="18"/>
                            <w:szCs w:val="18"/>
                          </w:rPr>
                        </w:pPr>
                      </w:p>
                    </w:tc>
                    <w:tc>
                      <w:tcPr>
                        <w:tcW w:w="2168" w:type="dxa"/>
                        <w:vMerge/>
                      </w:tcPr>
                      <w:p>
                        <w:pPr>
                          <w:tabs>
                            <w:tab w:val="center" w:pos="33"/>
                          </w:tabs>
                          <w:rPr>
                            <w:bCs/>
                            <w:sz w:val="18"/>
                            <w:szCs w:val="18"/>
                          </w:rPr>
                        </w:pPr>
                      </w:p>
                    </w:tc>
                  </w:tr>
                  <w:tr>
                    <w:trPr>
                      <w:trHeight w:val="47"/>
                    </w:trPr>
                    <w:tc>
                      <w:tcPr>
                        <w:tcW w:w="2383" w:type="dxa"/>
                        <w:vMerge w:val="restart"/>
                      </w:tcPr>
                      <w:p>
                        <w:pPr>
                          <w:rPr>
                            <w:bCs/>
                            <w:sz w:val="18"/>
                            <w:szCs w:val="18"/>
                          </w:rPr>
                        </w:pPr>
                        <w:r>
                          <w:rPr>
                            <w:bCs/>
                            <w:sz w:val="18"/>
                            <w:szCs w:val="18"/>
                          </w:rPr>
                          <w:t>3.5.2. Pramoninio dažnio (50Hz) elektromagnetinis laukas</w:t>
                        </w:r>
                      </w:p>
                    </w:tc>
                    <w:tc>
                      <w:tcPr>
                        <w:tcW w:w="1702" w:type="dxa"/>
                        <w:vMerge w:val="restart"/>
                      </w:tcPr>
                      <w:p>
                        <w:pPr>
                          <w:rPr>
                            <w:bCs/>
                            <w:sz w:val="18"/>
                            <w:szCs w:val="18"/>
                          </w:rPr>
                        </w:pPr>
                        <w:r>
                          <w:rPr>
                            <w:bCs/>
                            <w:sz w:val="18"/>
                            <w:szCs w:val="18"/>
                          </w:rPr>
                          <w:t>Visi darbai, atliekami pramoninio dažnio (50 Hz) elektromagnetinio lauko įtakos zonoje</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bCs/>
                            <w:sz w:val="18"/>
                            <w:szCs w:val="18"/>
                          </w:rPr>
                        </w:pPr>
                        <w:r>
                          <w:rPr>
                            <w:sz w:val="18"/>
                            <w:szCs w:val="18"/>
                          </w:rPr>
                          <w:t>Esant indikacijų – n</w:t>
                        </w:r>
                        <w:r>
                          <w:rPr>
                            <w:bCs/>
                            <w:sz w:val="18"/>
                            <w:szCs w:val="18"/>
                          </w:rPr>
                          <w:t xml:space="preserve">eurologas </w:t>
                        </w:r>
                      </w:p>
                    </w:tc>
                    <w:tc>
                      <w:tcPr>
                        <w:tcW w:w="2984" w:type="dxa"/>
                        <w:vMerge w:val="restart"/>
                      </w:tcPr>
                      <w:p>
                        <w:pPr>
                          <w:rPr>
                            <w:bCs/>
                            <w:sz w:val="18"/>
                            <w:szCs w:val="18"/>
                          </w:rPr>
                        </w:pPr>
                        <w:r>
                          <w:rPr>
                            <w:sz w:val="18"/>
                            <w:szCs w:val="18"/>
                          </w:rPr>
                          <w:t>Kraujo tyrimas hematologiniu analizatoriumi (eritrocitai, hemoglobinas, leukocitai, trombocitai)</w:t>
                        </w:r>
                        <w:r>
                          <w:rPr>
                            <w:bCs/>
                            <w:sz w:val="18"/>
                            <w:szCs w:val="18"/>
                          </w:rPr>
                          <w:t xml:space="preserve">, </w:t>
                        </w:r>
                      </w:p>
                      <w:p>
                        <w:pPr>
                          <w:rPr>
                            <w:bCs/>
                            <w:sz w:val="18"/>
                            <w:szCs w:val="18"/>
                          </w:rPr>
                        </w:pPr>
                        <w:r>
                          <w:rPr>
                            <w:sz w:val="18"/>
                            <w:szCs w:val="18"/>
                          </w:rPr>
                          <w:t xml:space="preserve">esant indikacijų – </w:t>
                        </w:r>
                        <w:r>
                          <w:rPr>
                            <w:bCs/>
                            <w:sz w:val="18"/>
                            <w:szCs w:val="18"/>
                          </w:rPr>
                          <w:t>EKG ir EEG</w:t>
                        </w:r>
                      </w:p>
                    </w:tc>
                    <w:tc>
                      <w:tcPr>
                        <w:tcW w:w="2168" w:type="dxa"/>
                        <w:vMerge w:val="restart"/>
                      </w:tcPr>
                      <w:p>
                        <w:pPr>
                          <w:tabs>
                            <w:tab w:val="center" w:pos="33"/>
                          </w:tabs>
                          <w:rPr>
                            <w:sz w:val="18"/>
                            <w:szCs w:val="18"/>
                          </w:rPr>
                        </w:pPr>
                        <w:r>
                          <w:rPr>
                            <w:bCs/>
                            <w:sz w:val="18"/>
                            <w:szCs w:val="18"/>
                          </w:rPr>
                          <w:t xml:space="preserve">Katarakta  </w:t>
                        </w:r>
                        <w:r>
                          <w:rPr>
                            <w:sz w:val="18"/>
                            <w:szCs w:val="18"/>
                          </w:rPr>
                          <w:t xml:space="preserve">H26–H28 </w:t>
                        </w:r>
                      </w:p>
                      <w:p>
                        <w:pPr>
                          <w:tabs>
                            <w:tab w:val="center" w:pos="33"/>
                          </w:tabs>
                          <w:rPr>
                            <w:bCs/>
                            <w:sz w:val="18"/>
                            <w:szCs w:val="18"/>
                          </w:rPr>
                        </w:pPr>
                        <w:r>
                          <w:rPr>
                            <w:sz w:val="18"/>
                            <w:szCs w:val="18"/>
                          </w:rPr>
                          <w:t>Individualiu atveju dėl galimybės dirbti sprendžia gydytojas oftalmologas.</w:t>
                        </w:r>
                      </w:p>
                    </w:tc>
                  </w:tr>
                  <w:tr>
                    <w:trPr>
                      <w:trHeight w:val="47"/>
                    </w:trPr>
                    <w:tc>
                      <w:tcPr>
                        <w:tcW w:w="2383" w:type="dxa"/>
                        <w:vMerge/>
                      </w:tcPr>
                      <w:p>
                        <w:pPr>
                          <w:rPr>
                            <w:bCs/>
                            <w:sz w:val="18"/>
                            <w:szCs w:val="18"/>
                          </w:rPr>
                        </w:pPr>
                      </w:p>
                    </w:tc>
                    <w:tc>
                      <w:tcPr>
                        <w:tcW w:w="1702" w:type="dxa"/>
                        <w:vMerge/>
                      </w:tcPr>
                      <w:p>
                        <w:pPr>
                          <w:rPr>
                            <w:bCs/>
                            <w:sz w:val="18"/>
                            <w:szCs w:val="18"/>
                          </w:rPr>
                        </w:pPr>
                      </w:p>
                    </w:tc>
                    <w:tc>
                      <w:tcPr>
                        <w:tcW w:w="1459" w:type="dxa"/>
                        <w:vMerge/>
                      </w:tcPr>
                      <w:p>
                        <w:pPr>
                          <w:rPr>
                            <w:bCs/>
                            <w:sz w:val="18"/>
                            <w:szCs w:val="18"/>
                          </w:rPr>
                        </w:pPr>
                      </w:p>
                    </w:tc>
                    <w:tc>
                      <w:tcPr>
                        <w:tcW w:w="1938" w:type="dxa"/>
                        <w:vMerge/>
                      </w:tcPr>
                      <w:p>
                        <w:pPr>
                          <w:rPr>
                            <w:sz w:val="18"/>
                            <w:szCs w:val="18"/>
                          </w:rPr>
                        </w:pPr>
                      </w:p>
                    </w:tc>
                    <w:tc>
                      <w:tcPr>
                        <w:tcW w:w="2106" w:type="dxa"/>
                      </w:tcPr>
                      <w:p>
                        <w:pPr>
                          <w:rPr>
                            <w:sz w:val="18"/>
                            <w:szCs w:val="18"/>
                          </w:rPr>
                        </w:pPr>
                        <w:r>
                          <w:rPr>
                            <w:bCs/>
                            <w:sz w:val="18"/>
                            <w:szCs w:val="18"/>
                          </w:rPr>
                          <w:t xml:space="preserve">Oftalmologas, </w:t>
                        </w:r>
                        <w:r>
                          <w:rPr>
                            <w:sz w:val="18"/>
                            <w:szCs w:val="18"/>
                          </w:rPr>
                          <w:t>esant indikacijų – n</w:t>
                        </w:r>
                        <w:r>
                          <w:rPr>
                            <w:bCs/>
                            <w:sz w:val="18"/>
                            <w:szCs w:val="18"/>
                          </w:rPr>
                          <w:t>eurologas</w:t>
                        </w:r>
                      </w:p>
                    </w:tc>
                    <w:tc>
                      <w:tcPr>
                        <w:tcW w:w="2984" w:type="dxa"/>
                        <w:vMerge/>
                      </w:tcPr>
                      <w:p>
                        <w:pPr>
                          <w:rPr>
                            <w:sz w:val="18"/>
                            <w:szCs w:val="18"/>
                          </w:rPr>
                        </w:pPr>
                      </w:p>
                    </w:tc>
                    <w:tc>
                      <w:tcPr>
                        <w:tcW w:w="2168" w:type="dxa"/>
                        <w:vMerge/>
                      </w:tcPr>
                      <w:p>
                        <w:pPr>
                          <w:tabs>
                            <w:tab w:val="center" w:pos="33"/>
                          </w:tabs>
                          <w:rPr>
                            <w:bCs/>
                            <w:sz w:val="18"/>
                            <w:szCs w:val="18"/>
                          </w:rPr>
                        </w:pPr>
                      </w:p>
                    </w:tc>
                  </w:tr>
                  <w:tr>
                    <w:trPr>
                      <w:trHeight w:val="47"/>
                    </w:trPr>
                    <w:tc>
                      <w:tcPr>
                        <w:tcW w:w="2383" w:type="dxa"/>
                        <w:vMerge w:val="restart"/>
                      </w:tcPr>
                      <w:p>
                        <w:pPr>
                          <w:rPr>
                            <w:bCs/>
                            <w:sz w:val="18"/>
                            <w:szCs w:val="18"/>
                          </w:rPr>
                        </w:pPr>
                        <w:r>
                          <w:rPr>
                            <w:bCs/>
                            <w:sz w:val="18"/>
                            <w:szCs w:val="18"/>
                          </w:rPr>
                          <w:t>3.6. Elektrostatinis laukas</w:t>
                        </w:r>
                      </w:p>
                    </w:tc>
                    <w:tc>
                      <w:tcPr>
                        <w:tcW w:w="1702" w:type="dxa"/>
                        <w:vMerge w:val="restart"/>
                      </w:tcPr>
                      <w:p>
                        <w:pPr>
                          <w:rPr>
                            <w:bCs/>
                            <w:sz w:val="18"/>
                            <w:szCs w:val="18"/>
                          </w:rPr>
                        </w:pPr>
                        <w:r>
                          <w:rPr>
                            <w:bCs/>
                            <w:sz w:val="18"/>
                            <w:szCs w:val="18"/>
                          </w:rPr>
                          <w:t xml:space="preserve">Visi darbai su elektrostatinių laukų šaltiniais </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bCs/>
                            <w:sz w:val="18"/>
                            <w:szCs w:val="18"/>
                          </w:rPr>
                        </w:pPr>
                        <w:r>
                          <w:rPr>
                            <w:sz w:val="18"/>
                            <w:szCs w:val="18"/>
                          </w:rPr>
                          <w:t>Esant indikacijų – n</w:t>
                        </w:r>
                        <w:r>
                          <w:rPr>
                            <w:bCs/>
                            <w:sz w:val="18"/>
                            <w:szCs w:val="18"/>
                          </w:rPr>
                          <w:t xml:space="preserve">eurologas </w:t>
                        </w:r>
                      </w:p>
                    </w:tc>
                    <w:tc>
                      <w:tcPr>
                        <w:tcW w:w="2984" w:type="dxa"/>
                        <w:vMerge w:val="restart"/>
                      </w:tcPr>
                      <w:p>
                        <w:pPr>
                          <w:rPr>
                            <w:bCs/>
                            <w:sz w:val="18"/>
                            <w:szCs w:val="18"/>
                          </w:rPr>
                        </w:pPr>
                        <w:r>
                          <w:rPr>
                            <w:sz w:val="18"/>
                            <w:szCs w:val="18"/>
                          </w:rPr>
                          <w:t>Kraujo tyrimas hematologiniu analizatoriumi (eritrocitai, hemoglobinas, leukocitai, trombocitai)</w:t>
                        </w:r>
                        <w:r>
                          <w:rPr>
                            <w:bCs/>
                            <w:sz w:val="18"/>
                            <w:szCs w:val="18"/>
                          </w:rPr>
                          <w:t>,</w:t>
                        </w:r>
                      </w:p>
                      <w:p>
                        <w:pPr>
                          <w:rPr>
                            <w:bCs/>
                            <w:sz w:val="18"/>
                            <w:szCs w:val="18"/>
                          </w:rPr>
                        </w:pPr>
                        <w:r>
                          <w:rPr>
                            <w:sz w:val="18"/>
                            <w:szCs w:val="18"/>
                          </w:rPr>
                          <w:t xml:space="preserve">esant indikacijų – </w:t>
                        </w:r>
                        <w:r>
                          <w:rPr>
                            <w:bCs/>
                            <w:sz w:val="18"/>
                            <w:szCs w:val="18"/>
                          </w:rPr>
                          <w:t>EKG</w:t>
                        </w:r>
                      </w:p>
                    </w:tc>
                    <w:tc>
                      <w:tcPr>
                        <w:tcW w:w="2168" w:type="dxa"/>
                        <w:vMerge w:val="restart"/>
                      </w:tcPr>
                      <w:p>
                        <w:pPr>
                          <w:tabs>
                            <w:tab w:val="center" w:pos="33"/>
                          </w:tabs>
                          <w:rPr>
                            <w:sz w:val="18"/>
                            <w:szCs w:val="18"/>
                          </w:rPr>
                        </w:pPr>
                        <w:r>
                          <w:rPr>
                            <w:bCs/>
                            <w:sz w:val="18"/>
                            <w:szCs w:val="18"/>
                          </w:rPr>
                          <w:t xml:space="preserve">Katarakta  </w:t>
                        </w:r>
                        <w:r>
                          <w:rPr>
                            <w:sz w:val="18"/>
                            <w:szCs w:val="18"/>
                          </w:rPr>
                          <w:t xml:space="preserve">H26–H28 </w:t>
                        </w:r>
                      </w:p>
                      <w:p>
                        <w:pPr>
                          <w:rPr>
                            <w:bCs/>
                            <w:sz w:val="18"/>
                            <w:szCs w:val="18"/>
                          </w:rPr>
                        </w:pPr>
                        <w:r>
                          <w:rPr>
                            <w:sz w:val="18"/>
                            <w:szCs w:val="18"/>
                          </w:rPr>
                          <w:t>Individualiu atveju dėl galimybės dirbti sprendžia gydytojas oftalmologas.</w:t>
                        </w:r>
                      </w:p>
                    </w:tc>
                  </w:tr>
                  <w:tr>
                    <w:trPr>
                      <w:trHeight w:val="636"/>
                    </w:trPr>
                    <w:tc>
                      <w:tcPr>
                        <w:tcW w:w="2383" w:type="dxa"/>
                        <w:vMerge/>
                      </w:tcPr>
                      <w:p>
                        <w:pPr>
                          <w:rPr>
                            <w:bCs/>
                            <w:sz w:val="18"/>
                            <w:szCs w:val="18"/>
                          </w:rPr>
                        </w:pPr>
                      </w:p>
                    </w:tc>
                    <w:tc>
                      <w:tcPr>
                        <w:tcW w:w="1702" w:type="dxa"/>
                        <w:vMerge/>
                      </w:tcPr>
                      <w:p>
                        <w:pPr>
                          <w:rPr>
                            <w:bCs/>
                            <w:sz w:val="18"/>
                            <w:szCs w:val="18"/>
                          </w:rPr>
                        </w:pPr>
                      </w:p>
                    </w:tc>
                    <w:tc>
                      <w:tcPr>
                        <w:tcW w:w="1459" w:type="dxa"/>
                        <w:vMerge/>
                      </w:tcPr>
                      <w:p>
                        <w:pPr>
                          <w:rPr>
                            <w:bCs/>
                            <w:sz w:val="18"/>
                            <w:szCs w:val="18"/>
                          </w:rPr>
                        </w:pPr>
                      </w:p>
                    </w:tc>
                    <w:tc>
                      <w:tcPr>
                        <w:tcW w:w="1938" w:type="dxa"/>
                        <w:vMerge/>
                      </w:tcPr>
                      <w:p>
                        <w:pPr>
                          <w:rPr>
                            <w:sz w:val="18"/>
                            <w:szCs w:val="18"/>
                          </w:rPr>
                        </w:pPr>
                      </w:p>
                    </w:tc>
                    <w:tc>
                      <w:tcPr>
                        <w:tcW w:w="2106" w:type="dxa"/>
                      </w:tcPr>
                      <w:p>
                        <w:pPr>
                          <w:rPr>
                            <w:sz w:val="18"/>
                            <w:szCs w:val="18"/>
                          </w:rPr>
                        </w:pPr>
                        <w:r>
                          <w:rPr>
                            <w:bCs/>
                            <w:sz w:val="18"/>
                            <w:szCs w:val="18"/>
                          </w:rPr>
                          <w:t xml:space="preserve">Oftalmologas, </w:t>
                        </w:r>
                        <w:r>
                          <w:rPr>
                            <w:sz w:val="18"/>
                            <w:szCs w:val="18"/>
                          </w:rPr>
                          <w:t>esant indikacijų – n</w:t>
                        </w:r>
                        <w:r>
                          <w:rPr>
                            <w:bCs/>
                            <w:sz w:val="18"/>
                            <w:szCs w:val="18"/>
                          </w:rPr>
                          <w:t>eurologas</w:t>
                        </w:r>
                      </w:p>
                    </w:tc>
                    <w:tc>
                      <w:tcPr>
                        <w:tcW w:w="2984" w:type="dxa"/>
                        <w:vMerge/>
                      </w:tcPr>
                      <w:p>
                        <w:pPr>
                          <w:rPr>
                            <w:sz w:val="18"/>
                            <w:szCs w:val="18"/>
                          </w:rPr>
                        </w:pPr>
                      </w:p>
                    </w:tc>
                    <w:tc>
                      <w:tcPr>
                        <w:tcW w:w="2168" w:type="dxa"/>
                        <w:vMerge/>
                      </w:tcPr>
                      <w:p>
                        <w:pPr>
                          <w:tabs>
                            <w:tab w:val="center" w:pos="33"/>
                          </w:tabs>
                          <w:rPr>
                            <w:bCs/>
                            <w:sz w:val="18"/>
                            <w:szCs w:val="18"/>
                          </w:rPr>
                        </w:pPr>
                      </w:p>
                    </w:tc>
                  </w:tr>
                  <w:tr>
                    <w:tc>
                      <w:tcPr>
                        <w:tcW w:w="2383" w:type="dxa"/>
                      </w:tcPr>
                      <w:p>
                        <w:pPr>
                          <w:rPr>
                            <w:bCs/>
                            <w:sz w:val="18"/>
                            <w:szCs w:val="18"/>
                          </w:rPr>
                        </w:pPr>
                        <w:r>
                          <w:rPr>
                            <w:bCs/>
                            <w:sz w:val="18"/>
                            <w:szCs w:val="18"/>
                          </w:rPr>
                          <w:t>3.7. Šiluminė aplinka</w:t>
                        </w:r>
                      </w:p>
                    </w:tc>
                    <w:tc>
                      <w:tcPr>
                        <w:tcW w:w="1702" w:type="dxa"/>
                      </w:tcPr>
                      <w:p>
                        <w:pPr>
                          <w:rPr>
                            <w:bCs/>
                            <w:sz w:val="18"/>
                            <w:szCs w:val="18"/>
                          </w:rPr>
                        </w:pPr>
                      </w:p>
                    </w:tc>
                    <w:tc>
                      <w:tcPr>
                        <w:tcW w:w="1459" w:type="dxa"/>
                      </w:tcPr>
                      <w:p>
                        <w:pPr>
                          <w:rPr>
                            <w:bCs/>
                            <w:sz w:val="18"/>
                            <w:szCs w:val="18"/>
                          </w:rPr>
                        </w:pPr>
                      </w:p>
                    </w:tc>
                    <w:tc>
                      <w:tcPr>
                        <w:tcW w:w="1938" w:type="dxa"/>
                      </w:tcPr>
                      <w:p>
                        <w:pPr>
                          <w:rPr>
                            <w:sz w:val="18"/>
                            <w:szCs w:val="18"/>
                          </w:rPr>
                        </w:pPr>
                      </w:p>
                    </w:tc>
                    <w:tc>
                      <w:tcPr>
                        <w:tcW w:w="2106" w:type="dxa"/>
                      </w:tcPr>
                      <w:p>
                        <w:pPr>
                          <w:rPr>
                            <w:sz w:val="18"/>
                            <w:szCs w:val="18"/>
                          </w:rPr>
                        </w:pPr>
                      </w:p>
                    </w:tc>
                    <w:tc>
                      <w:tcPr>
                        <w:tcW w:w="2984" w:type="dxa"/>
                      </w:tcPr>
                      <w:p>
                        <w:pPr>
                          <w:rPr>
                            <w:sz w:val="18"/>
                            <w:szCs w:val="18"/>
                          </w:rPr>
                        </w:pPr>
                      </w:p>
                    </w:tc>
                    <w:tc>
                      <w:tcPr>
                        <w:tcW w:w="2168" w:type="dxa"/>
                      </w:tcPr>
                      <w:p>
                        <w:pPr>
                          <w:rPr>
                            <w:sz w:val="18"/>
                            <w:szCs w:val="18"/>
                          </w:rPr>
                        </w:pPr>
                      </w:p>
                    </w:tc>
                  </w:tr>
                  <w:tr>
                    <w:trPr>
                      <w:trHeight w:val="47"/>
                    </w:trPr>
                    <w:tc>
                      <w:tcPr>
                        <w:tcW w:w="2383" w:type="dxa"/>
                        <w:vMerge w:val="restart"/>
                      </w:tcPr>
                      <w:p>
                        <w:pPr>
                          <w:rPr>
                            <w:bCs/>
                            <w:sz w:val="18"/>
                            <w:szCs w:val="18"/>
                          </w:rPr>
                        </w:pPr>
                        <w:r>
                          <w:rPr>
                            <w:bCs/>
                            <w:sz w:val="18"/>
                            <w:szCs w:val="18"/>
                          </w:rPr>
                          <w:t>3.7.1. Šiluminė aplinka darbo patalpose, šiltuoju metų laikotarpiu</w:t>
                        </w:r>
                      </w:p>
                    </w:tc>
                    <w:tc>
                      <w:tcPr>
                        <w:tcW w:w="1702" w:type="dxa"/>
                        <w:vMerge w:val="restart"/>
                      </w:tcPr>
                      <w:p>
                        <w:pPr>
                          <w:rPr>
                            <w:bCs/>
                            <w:sz w:val="18"/>
                            <w:szCs w:val="18"/>
                          </w:rPr>
                        </w:pPr>
                        <w:r>
                          <w:rPr>
                            <w:bCs/>
                            <w:sz w:val="18"/>
                            <w:szCs w:val="18"/>
                          </w:rPr>
                          <w:t>Darbai pagal technologinį procesą, kai negalima užtikrinti šiluminio komforto ir pakankamos šiluminės aplinkos darbo vietose higienos normos</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r>
                          <w:rPr>
                            <w:sz w:val="18"/>
                            <w:szCs w:val="18"/>
                          </w:rPr>
                          <w:t xml:space="preserve">Oftalmologas </w:t>
                        </w:r>
                      </w:p>
                    </w:tc>
                    <w:tc>
                      <w:tcPr>
                        <w:tcW w:w="2984" w:type="dxa"/>
                        <w:vMerge w:val="restart"/>
                      </w:tcPr>
                      <w:p>
                        <w:pPr>
                          <w:rPr>
                            <w:sz w:val="18"/>
                            <w:szCs w:val="18"/>
                          </w:rPr>
                        </w:pPr>
                        <w:r>
                          <w:rPr>
                            <w:sz w:val="18"/>
                            <w:szCs w:val="18"/>
                          </w:rPr>
                          <w:t>Kraujo tyrimas hematologiniu analizatoriumi (eritrocitai, hemoglobinas, leukocitai, trombocitai),</w:t>
                        </w:r>
                      </w:p>
                      <w:p>
                        <w:pPr>
                          <w:rPr>
                            <w:sz w:val="18"/>
                            <w:szCs w:val="18"/>
                          </w:rPr>
                        </w:pPr>
                        <w:r>
                          <w:rPr>
                            <w:sz w:val="18"/>
                            <w:szCs w:val="18"/>
                          </w:rPr>
                          <w:t>regėjimo aštrumas</w:t>
                        </w:r>
                      </w:p>
                    </w:tc>
                    <w:tc>
                      <w:tcPr>
                        <w:tcW w:w="2168" w:type="dxa"/>
                        <w:vMerge w:val="restart"/>
                      </w:tcPr>
                      <w:p>
                        <w:pPr>
                          <w:rPr>
                            <w:sz w:val="18"/>
                            <w:szCs w:val="18"/>
                          </w:rPr>
                        </w:pPr>
                        <w:r>
                          <w:rPr>
                            <w:sz w:val="18"/>
                            <w:szCs w:val="18"/>
                          </w:rPr>
                          <w:t>1. Regėjimas su korekcija silpnesnis kaip 0.5 viena ir 0.2 – kita akimi</w:t>
                        </w:r>
                      </w:p>
                      <w:p>
                        <w:pPr>
                          <w:rPr>
                            <w:sz w:val="18"/>
                            <w:szCs w:val="18"/>
                          </w:rPr>
                        </w:pPr>
                        <w:r>
                          <w:rPr>
                            <w:sz w:val="18"/>
                            <w:szCs w:val="18"/>
                          </w:rPr>
                          <w:t>2. Akipločio defektai. Regėjimo lauko susiaurėjimas daugiau kaip 20</w:t>
                        </w:r>
                        <w:r>
                          <w:rPr>
                            <w:sz w:val="18"/>
                            <w:szCs w:val="18"/>
                            <w:vertAlign w:val="superscript"/>
                          </w:rPr>
                          <w:t xml:space="preserve">0  </w:t>
                        </w:r>
                        <w:r>
                          <w:rPr>
                            <w:sz w:val="18"/>
                            <w:szCs w:val="18"/>
                          </w:rPr>
                          <w:t>H53.4</w:t>
                        </w:r>
                      </w:p>
                      <w:p>
                        <w:pPr>
                          <w:tabs>
                            <w:tab w:val="center" w:pos="33"/>
                          </w:tabs>
                          <w:rPr>
                            <w:sz w:val="18"/>
                            <w:szCs w:val="18"/>
                          </w:rPr>
                        </w:pPr>
                        <w:r>
                          <w:rPr>
                            <w:bCs/>
                            <w:sz w:val="18"/>
                            <w:szCs w:val="18"/>
                          </w:rPr>
                          <w:t xml:space="preserve">3. Katarakta </w:t>
                        </w:r>
                        <w:r>
                          <w:rPr>
                            <w:sz w:val="18"/>
                            <w:szCs w:val="18"/>
                          </w:rPr>
                          <w:t>H26–H28. Individualiu atveju dėl galimybės dirbti sprendžia gydytojas oftalmologas.</w:t>
                        </w:r>
                      </w:p>
                      <w:p>
                        <w:pPr>
                          <w:rPr>
                            <w:sz w:val="18"/>
                            <w:szCs w:val="18"/>
                          </w:rPr>
                        </w:pPr>
                        <w:r>
                          <w:rPr>
                            <w:sz w:val="18"/>
                            <w:szCs w:val="18"/>
                          </w:rPr>
                          <w:t>4. Lėtinės odos ligos L20, L23, L40, L50, L53–L54</w:t>
                        </w:r>
                      </w:p>
                    </w:tc>
                  </w:tr>
                  <w:tr>
                    <w:trPr>
                      <w:trHeight w:val="47"/>
                    </w:trPr>
                    <w:tc>
                      <w:tcPr>
                        <w:tcW w:w="2383" w:type="dxa"/>
                        <w:vMerge/>
                      </w:tcPr>
                      <w:p>
                        <w:pPr>
                          <w:rPr>
                            <w:bCs/>
                            <w:sz w:val="18"/>
                            <w:szCs w:val="18"/>
                          </w:rPr>
                        </w:pPr>
                      </w:p>
                    </w:tc>
                    <w:tc>
                      <w:tcPr>
                        <w:tcW w:w="1702" w:type="dxa"/>
                        <w:vMerge/>
                      </w:tcPr>
                      <w:p>
                        <w:pPr>
                          <w:rPr>
                            <w:bCs/>
                            <w:sz w:val="18"/>
                            <w:szCs w:val="18"/>
                          </w:rPr>
                        </w:pPr>
                      </w:p>
                    </w:tc>
                    <w:tc>
                      <w:tcPr>
                        <w:tcW w:w="1459" w:type="dxa"/>
                        <w:vMerge/>
                      </w:tcPr>
                      <w:p>
                        <w:pPr>
                          <w:rPr>
                            <w:bCs/>
                            <w:sz w:val="18"/>
                            <w:szCs w:val="18"/>
                          </w:rPr>
                        </w:pPr>
                      </w:p>
                    </w:tc>
                    <w:tc>
                      <w:tcPr>
                        <w:tcW w:w="1938" w:type="dxa"/>
                        <w:vMerge/>
                      </w:tcPr>
                      <w:p>
                        <w:pPr>
                          <w:rPr>
                            <w:sz w:val="18"/>
                            <w:szCs w:val="18"/>
                          </w:rPr>
                        </w:pPr>
                      </w:p>
                    </w:tc>
                    <w:tc>
                      <w:tcPr>
                        <w:tcW w:w="2106" w:type="dxa"/>
                      </w:tcPr>
                      <w:p>
                        <w:pPr>
                          <w:rPr>
                            <w:sz w:val="18"/>
                            <w:szCs w:val="18"/>
                          </w:rPr>
                        </w:pPr>
                        <w:r>
                          <w:rPr>
                            <w:sz w:val="18"/>
                            <w:szCs w:val="18"/>
                          </w:rPr>
                          <w:t>Oftalmologas,</w:t>
                        </w:r>
                      </w:p>
                      <w:p>
                        <w:pPr>
                          <w:rPr>
                            <w:sz w:val="18"/>
                            <w:szCs w:val="18"/>
                          </w:rPr>
                        </w:pPr>
                        <w:r>
                          <w:rPr>
                            <w:sz w:val="18"/>
                            <w:szCs w:val="18"/>
                          </w:rPr>
                          <w:t>esant indikacijų – dermatovenerologas</w:t>
                        </w:r>
                      </w:p>
                    </w:tc>
                    <w:tc>
                      <w:tcPr>
                        <w:tcW w:w="2984" w:type="dxa"/>
                        <w:vMerge/>
                      </w:tcPr>
                      <w:p>
                        <w:pPr>
                          <w:rPr>
                            <w:sz w:val="18"/>
                            <w:szCs w:val="18"/>
                          </w:rPr>
                        </w:pPr>
                      </w:p>
                    </w:tc>
                    <w:tc>
                      <w:tcPr>
                        <w:tcW w:w="2168" w:type="dxa"/>
                        <w:vMerge/>
                      </w:tcPr>
                      <w:p>
                        <w:pPr>
                          <w:rPr>
                            <w:sz w:val="18"/>
                            <w:szCs w:val="18"/>
                          </w:rPr>
                        </w:pPr>
                      </w:p>
                    </w:tc>
                  </w:tr>
                  <w:tr>
                    <w:trPr>
                      <w:trHeight w:val="82"/>
                    </w:trPr>
                    <w:tc>
                      <w:tcPr>
                        <w:tcW w:w="2383" w:type="dxa"/>
                        <w:vMerge w:val="restart"/>
                      </w:tcPr>
                      <w:p>
                        <w:pPr>
                          <w:rPr>
                            <w:sz w:val="18"/>
                            <w:szCs w:val="18"/>
                          </w:rPr>
                        </w:pPr>
                        <w:r>
                          <w:rPr>
                            <w:sz w:val="18"/>
                            <w:szCs w:val="18"/>
                          </w:rPr>
                          <w:t>3.7.2. Šiluminė aplinka darbo patalpose šaltuoju metų laikotarpiu</w:t>
                        </w:r>
                      </w:p>
                    </w:tc>
                    <w:tc>
                      <w:tcPr>
                        <w:tcW w:w="1702" w:type="dxa"/>
                        <w:vMerge w:val="restart"/>
                      </w:tcPr>
                      <w:p>
                        <w:pPr>
                          <w:rPr>
                            <w:bCs/>
                            <w:sz w:val="18"/>
                            <w:szCs w:val="18"/>
                          </w:rPr>
                        </w:pPr>
                        <w:r>
                          <w:rPr>
                            <w:bCs/>
                            <w:sz w:val="18"/>
                            <w:szCs w:val="18"/>
                          </w:rPr>
                          <w:t>Darbai, viršijant žemiausią ribą pagal šiluminio komforto ir pakankamos šiluminės aplinkos darbo patalpose higienos normą</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p>
                    </w:tc>
                    <w:tc>
                      <w:tcPr>
                        <w:tcW w:w="2984" w:type="dxa"/>
                        <w:vMerge w:val="restart"/>
                      </w:tcPr>
                      <w:p>
                        <w:pPr>
                          <w:rPr>
                            <w:sz w:val="18"/>
                            <w:szCs w:val="18"/>
                          </w:rPr>
                        </w:pPr>
                      </w:p>
                    </w:tc>
                    <w:tc>
                      <w:tcPr>
                        <w:tcW w:w="2168" w:type="dxa"/>
                        <w:vMerge w:val="restart"/>
                      </w:tcPr>
                      <w:p>
                        <w:pPr>
                          <w:tabs>
                            <w:tab w:val="left" w:pos="177"/>
                            <w:tab w:val="left" w:pos="318"/>
                          </w:tabs>
                          <w:rPr>
                            <w:sz w:val="18"/>
                            <w:szCs w:val="18"/>
                          </w:rPr>
                        </w:pPr>
                        <w:r>
                          <w:rPr>
                            <w:sz w:val="18"/>
                            <w:szCs w:val="18"/>
                          </w:rPr>
                          <w:t>1. Obliteruojantis endarteritas, Raynaud sindromas I70–I73.0</w:t>
                        </w:r>
                      </w:p>
                      <w:p>
                        <w:pPr>
                          <w:rPr>
                            <w:sz w:val="18"/>
                            <w:szCs w:val="18"/>
                          </w:rPr>
                        </w:pPr>
                        <w:r>
                          <w:rPr>
                            <w:sz w:val="18"/>
                            <w:szCs w:val="18"/>
                          </w:rPr>
                          <w:t>2. Jungiamojo audinio lėtinės uždegiminės ligos M00–M13 M30–M35, M60–M63, M65–M68</w:t>
                        </w:r>
                      </w:p>
                      <w:p>
                        <w:pPr>
                          <w:rPr>
                            <w:sz w:val="18"/>
                            <w:szCs w:val="18"/>
                          </w:rPr>
                        </w:pPr>
                        <w:r>
                          <w:rPr>
                            <w:sz w:val="18"/>
                            <w:szCs w:val="18"/>
                          </w:rPr>
                          <w:t>3. Lėtinės periferinės nervų sistemos ir raumenų ligos G60–G64, G70–G73</w:t>
                        </w:r>
                      </w:p>
                    </w:tc>
                  </w:tr>
                  <w:tr>
                    <w:trPr>
                      <w:trHeight w:val="47"/>
                    </w:trPr>
                    <w:tc>
                      <w:tcPr>
                        <w:tcW w:w="2383" w:type="dxa"/>
                        <w:vMerge/>
                      </w:tcPr>
                      <w:p>
                        <w:pPr>
                          <w:rPr>
                            <w:sz w:val="18"/>
                            <w:szCs w:val="18"/>
                          </w:rPr>
                        </w:pPr>
                      </w:p>
                    </w:tc>
                    <w:tc>
                      <w:tcPr>
                        <w:tcW w:w="1702" w:type="dxa"/>
                        <w:vMerge/>
                      </w:tcPr>
                      <w:p>
                        <w:pPr>
                          <w:rPr>
                            <w:bCs/>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Neurologas</w:t>
                        </w:r>
                      </w:p>
                      <w:p>
                        <w:pPr>
                          <w:rPr>
                            <w:sz w:val="18"/>
                            <w:szCs w:val="18"/>
                          </w:rPr>
                        </w:pPr>
                        <w:r>
                          <w:rPr>
                            <w:sz w:val="18"/>
                            <w:szCs w:val="18"/>
                          </w:rPr>
                          <w:t>esant indikacijų – reumatologas</w:t>
                        </w:r>
                      </w:p>
                    </w:tc>
                    <w:tc>
                      <w:tcPr>
                        <w:tcW w:w="2984" w:type="dxa"/>
                        <w:vMerge/>
                      </w:tcPr>
                      <w:p>
                        <w:pPr>
                          <w:rPr>
                            <w:sz w:val="18"/>
                            <w:szCs w:val="18"/>
                          </w:rPr>
                        </w:pPr>
                      </w:p>
                    </w:tc>
                    <w:tc>
                      <w:tcPr>
                        <w:tcW w:w="2168" w:type="dxa"/>
                        <w:vMerge/>
                      </w:tcPr>
                      <w:p>
                        <w:pPr>
                          <w:tabs>
                            <w:tab w:val="left" w:pos="177"/>
                            <w:tab w:val="left" w:pos="318"/>
                          </w:tabs>
                          <w:rPr>
                            <w:sz w:val="18"/>
                            <w:szCs w:val="18"/>
                          </w:rPr>
                        </w:pPr>
                      </w:p>
                    </w:tc>
                  </w:tr>
                  <w:tr>
                    <w:trPr>
                      <w:trHeight w:val="47"/>
                    </w:trPr>
                    <w:tc>
                      <w:tcPr>
                        <w:tcW w:w="2383" w:type="dxa"/>
                        <w:vMerge w:val="restart"/>
                      </w:tcPr>
                      <w:p>
                        <w:pPr>
                          <w:rPr>
                            <w:sz w:val="18"/>
                            <w:szCs w:val="18"/>
                          </w:rPr>
                        </w:pPr>
                        <w:r>
                          <w:rPr>
                            <w:sz w:val="18"/>
                            <w:szCs w:val="18"/>
                          </w:rPr>
                          <w:t>3.7.3. Oro temperatūra, dirbant lauko sąlygomis</w:t>
                        </w:r>
                      </w:p>
                    </w:tc>
                    <w:tc>
                      <w:tcPr>
                        <w:tcW w:w="1702" w:type="dxa"/>
                        <w:vMerge w:val="restart"/>
                      </w:tcPr>
                      <w:p>
                        <w:pPr>
                          <w:rPr>
                            <w:sz w:val="18"/>
                            <w:szCs w:val="18"/>
                          </w:rPr>
                        </w:pPr>
                        <w:r>
                          <w:rPr>
                            <w:sz w:val="18"/>
                            <w:szCs w:val="18"/>
                          </w:rPr>
                          <w:t>Šiltuoju metų laiku daugiau kaip +30</w:t>
                          <w:sym w:font="Symbol" w:char="F0B0"/>
                          <w:t>C,</w:t>
                        </w:r>
                      </w:p>
                      <w:p>
                        <w:pPr>
                          <w:rPr>
                            <w:sz w:val="18"/>
                            <w:szCs w:val="18"/>
                          </w:rPr>
                        </w:pPr>
                        <w:r>
                          <w:rPr>
                            <w:sz w:val="18"/>
                            <w:szCs w:val="18"/>
                          </w:rPr>
                          <w:t>šaltuoju metų laiku – žemesnė</w:t>
                        </w:r>
                      </w:p>
                      <w:p>
                        <w:pPr>
                          <w:rPr>
                            <w:sz w:val="18"/>
                            <w:szCs w:val="18"/>
                          </w:rPr>
                        </w:pPr>
                        <w:r>
                          <w:rPr>
                            <w:sz w:val="18"/>
                            <w:szCs w:val="18"/>
                          </w:rPr>
                          <w:t>nei -10</w:t>
                        </w:r>
                        <w:r>
                          <w:rPr>
                            <w:sz w:val="18"/>
                            <w:szCs w:val="18"/>
                            <w:vertAlign w:val="superscript"/>
                          </w:rPr>
                          <w:t>0</w:t>
                        </w:r>
                        <w:r>
                          <w:rPr>
                            <w:sz w:val="18"/>
                            <w:szCs w:val="18"/>
                          </w:rPr>
                          <w:t>C</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p>
                    </w:tc>
                    <w:tc>
                      <w:tcPr>
                        <w:tcW w:w="2984" w:type="dxa"/>
                        <w:vMerge w:val="restart"/>
                      </w:tcPr>
                      <w:p>
                        <w:pPr>
                          <w:rPr>
                            <w:sz w:val="18"/>
                            <w:szCs w:val="18"/>
                          </w:rPr>
                        </w:pPr>
                        <w:r>
                          <w:rPr>
                            <w:sz w:val="18"/>
                            <w:szCs w:val="18"/>
                          </w:rPr>
                          <w:t>Kraujo tyrimas hematologiniu analizatoriumi (eritrocitai, hemoglobinas, leukocitai, trombocitai),</w:t>
                        </w:r>
                      </w:p>
                      <w:p>
                        <w:pPr>
                          <w:rPr>
                            <w:sz w:val="18"/>
                            <w:szCs w:val="18"/>
                          </w:rPr>
                        </w:pPr>
                        <w:r>
                          <w:rPr>
                            <w:sz w:val="18"/>
                            <w:szCs w:val="18"/>
                          </w:rPr>
                          <w:t>regėjimo aštrumas</w:t>
                        </w:r>
                      </w:p>
                    </w:tc>
                    <w:tc>
                      <w:tcPr>
                        <w:tcW w:w="2168" w:type="dxa"/>
                        <w:vMerge w:val="restart"/>
                      </w:tcPr>
                      <w:p>
                        <w:pPr>
                          <w:rPr>
                            <w:sz w:val="18"/>
                            <w:szCs w:val="18"/>
                          </w:rPr>
                        </w:pPr>
                        <w:r>
                          <w:rPr>
                            <w:sz w:val="18"/>
                            <w:szCs w:val="18"/>
                          </w:rPr>
                          <w:t>Žr. 3.7.1 arba 3.7.2 punktus</w:t>
                        </w:r>
                      </w:p>
                    </w:tc>
                  </w:tr>
                  <w:tr>
                    <w:trPr>
                      <w:trHeight w:val="78"/>
                    </w:trPr>
                    <w:tc>
                      <w:tcPr>
                        <w:tcW w:w="2383" w:type="dxa"/>
                        <w:vMerge/>
                      </w:tcPr>
                      <w:p>
                        <w:pPr>
                          <w:rPr>
                            <w:sz w:val="18"/>
                            <w:szCs w:val="18"/>
                          </w:rPr>
                        </w:pPr>
                      </w:p>
                    </w:tc>
                    <w:tc>
                      <w:tcPr>
                        <w:tcW w:w="1702" w:type="dxa"/>
                        <w:vMerge/>
                      </w:tcPr>
                      <w:p>
                        <w:pPr>
                          <w:rPr>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Oftalmologas,</w:t>
                        </w:r>
                      </w:p>
                      <w:p>
                        <w:pPr>
                          <w:rPr>
                            <w:sz w:val="18"/>
                            <w:szCs w:val="18"/>
                          </w:rPr>
                        </w:pPr>
                        <w:r>
                          <w:rPr>
                            <w:sz w:val="18"/>
                            <w:szCs w:val="18"/>
                          </w:rPr>
                          <w:t>esant indikacijų – n</w:t>
                        </w:r>
                        <w:r>
                          <w:rPr>
                            <w:bCs/>
                            <w:sz w:val="18"/>
                            <w:szCs w:val="18"/>
                          </w:rPr>
                          <w:t>eurologas,</w:t>
                        </w:r>
                        <w:r>
                          <w:rPr>
                            <w:sz w:val="18"/>
                            <w:szCs w:val="18"/>
                          </w:rPr>
                          <w:t xml:space="preserve"> dermatovenerologas</w:t>
                        </w:r>
                      </w:p>
                    </w:tc>
                    <w:tc>
                      <w:tcPr>
                        <w:tcW w:w="2984" w:type="dxa"/>
                        <w:vMerge/>
                      </w:tcPr>
                      <w:p>
                        <w:pPr>
                          <w:rPr>
                            <w:sz w:val="18"/>
                            <w:szCs w:val="18"/>
                          </w:rPr>
                        </w:pPr>
                      </w:p>
                    </w:tc>
                    <w:tc>
                      <w:tcPr>
                        <w:tcW w:w="2168" w:type="dxa"/>
                        <w:vMerge/>
                      </w:tcPr>
                      <w:p>
                        <w:pPr>
                          <w:rPr>
                            <w:sz w:val="18"/>
                            <w:szCs w:val="18"/>
                          </w:rPr>
                        </w:pPr>
                      </w:p>
                    </w:tc>
                  </w:tr>
                  <w:tr>
                    <w:trPr>
                      <w:trHeight w:val="714"/>
                    </w:trPr>
                    <w:tc>
                      <w:tcPr>
                        <w:tcW w:w="2383" w:type="dxa"/>
                        <w:vMerge w:val="restart"/>
                      </w:tcPr>
                      <w:p>
                        <w:pPr>
                          <w:rPr>
                            <w:sz w:val="18"/>
                            <w:szCs w:val="18"/>
                          </w:rPr>
                        </w:pPr>
                        <w:r>
                          <w:rPr>
                            <w:sz w:val="18"/>
                            <w:szCs w:val="18"/>
                          </w:rPr>
                          <w:t>3.8. Padidėjęs atmosferos slėgis</w:t>
                        </w:r>
                      </w:p>
                    </w:tc>
                    <w:tc>
                      <w:tcPr>
                        <w:tcW w:w="1702" w:type="dxa"/>
                        <w:vMerge w:val="restart"/>
                      </w:tcPr>
                      <w:p>
                        <w:pPr>
                          <w:rPr>
                            <w:sz w:val="18"/>
                            <w:szCs w:val="18"/>
                          </w:rPr>
                        </w:pPr>
                        <w:r>
                          <w:rPr>
                            <w:sz w:val="18"/>
                            <w:szCs w:val="18"/>
                          </w:rPr>
                          <w:t xml:space="preserve">Darbai po vandeniu (naro) kesonuose, barokamerose </w:t>
                        </w:r>
                      </w:p>
                    </w:tc>
                    <w:tc>
                      <w:tcPr>
                        <w:tcW w:w="1459" w:type="dxa"/>
                        <w:vMerge w:val="restart"/>
                      </w:tcPr>
                      <w:p>
                        <w:pPr>
                          <w:rPr>
                            <w:sz w:val="18"/>
                            <w:szCs w:val="18"/>
                          </w:rPr>
                        </w:pPr>
                        <w:r>
                          <w:rPr>
                            <w:sz w:val="18"/>
                            <w:szCs w:val="18"/>
                          </w:rPr>
                          <w:t>1 kartą per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p>
                    </w:tc>
                    <w:tc>
                      <w:tcPr>
                        <w:tcW w:w="2984" w:type="dxa"/>
                        <w:vMerge w:val="restart"/>
                      </w:tcPr>
                      <w:p>
                        <w:pPr>
                          <w:rPr>
                            <w:sz w:val="18"/>
                            <w:szCs w:val="18"/>
                          </w:rPr>
                        </w:pPr>
                        <w:r>
                          <w:rPr>
                            <w:sz w:val="18"/>
                            <w:szCs w:val="18"/>
                          </w:rPr>
                          <w:t>Vestibulinės funkcijos tyrimas,</w:t>
                        </w:r>
                      </w:p>
                      <w:p>
                        <w:pPr>
                          <w:rPr>
                            <w:sz w:val="18"/>
                            <w:szCs w:val="18"/>
                          </w:rPr>
                        </w:pPr>
                        <w:r>
                          <w:rPr>
                            <w:sz w:val="18"/>
                            <w:szCs w:val="18"/>
                          </w:rPr>
                          <w:t>esant indikacijų – KLR, IKFT,</w:t>
                        </w:r>
                      </w:p>
                      <w:p>
                        <w:pPr>
                          <w:rPr>
                            <w:sz w:val="18"/>
                            <w:szCs w:val="18"/>
                          </w:rPr>
                        </w:pPr>
                        <w:r>
                          <w:rPr>
                            <w:sz w:val="18"/>
                            <w:szCs w:val="18"/>
                          </w:rPr>
                          <w:t>regėjimo aštrumas,</w:t>
                        </w:r>
                      </w:p>
                      <w:p>
                        <w:pPr>
                          <w:rPr>
                            <w:sz w:val="18"/>
                            <w:szCs w:val="18"/>
                          </w:rPr>
                        </w:pPr>
                        <w:r>
                          <w:rPr>
                            <w:sz w:val="18"/>
                            <w:szCs w:val="18"/>
                          </w:rPr>
                          <w:t>audiograma</w:t>
                        </w:r>
                      </w:p>
                    </w:tc>
                    <w:tc>
                      <w:tcPr>
                        <w:tcW w:w="2168" w:type="dxa"/>
                        <w:vMerge w:val="restart"/>
                      </w:tcPr>
                      <w:p>
                        <w:pPr>
                          <w:tabs>
                            <w:tab w:val="left" w:pos="177"/>
                          </w:tabs>
                          <w:rPr>
                            <w:sz w:val="18"/>
                            <w:szCs w:val="18"/>
                          </w:rPr>
                        </w:pPr>
                        <w:r>
                          <w:rPr>
                            <w:sz w:val="18"/>
                            <w:szCs w:val="18"/>
                          </w:rPr>
                          <w:t xml:space="preserve">1. Nuolatiniai regėjimo funkcijos sutrikimai, regėjimas mažesnis kaip 0,8  viena ir 0,5 – kita akimi (be korekcijos)</w:t>
                        </w:r>
                      </w:p>
                      <w:p>
                        <w:pPr>
                          <w:rPr>
                            <w:sz w:val="18"/>
                            <w:szCs w:val="18"/>
                          </w:rPr>
                        </w:pPr>
                        <w:r>
                          <w:rPr>
                            <w:sz w:val="18"/>
                            <w:szCs w:val="18"/>
                          </w:rPr>
                          <w:t>2. Išorinės ausies ligos: H60–H62; vidurinės ausies ir speninės ataugos ligos H65–H75; vidinės ausies ligos: H80–H83; H90.3; H90.4; H91.1; H91.3; H93.3; H94, įvairios etiologijos klausos susilpnėjimas viena arba abiem ausimis, kai šnabždesys girdimas mažesniu kaip 3 m atstumu H90, H91. Individualiu atveju dėl galimybės dirbti sprendžia gydytojas otorinolaringologas.</w:t>
                        </w:r>
                      </w:p>
                      <w:p>
                        <w:pPr>
                          <w:rPr>
                            <w:sz w:val="18"/>
                            <w:szCs w:val="18"/>
                          </w:rPr>
                        </w:pPr>
                        <w:r>
                          <w:rPr>
                            <w:sz w:val="18"/>
                            <w:szCs w:val="18"/>
                          </w:rPr>
                          <w:t>3. Vestibulinės funkcijos sutrikimai: H81; H82</w:t>
                        </w:r>
                      </w:p>
                      <w:p>
                        <w:pPr>
                          <w:tabs>
                            <w:tab w:val="left" w:pos="35"/>
                            <w:tab w:val="left" w:pos="177"/>
                          </w:tabs>
                          <w:rPr>
                            <w:sz w:val="18"/>
                            <w:szCs w:val="18"/>
                          </w:rPr>
                        </w:pPr>
                        <w:r>
                          <w:rPr>
                            <w:sz w:val="18"/>
                            <w:szCs w:val="18"/>
                          </w:rPr>
                          <w:t>4. Žymūs skeleto–raumenų išsivystymo trūkumai ir traumų pasekmės (kūno defektai, anomalijos, deformacijos), sunkinančios judėjimą</w:t>
                        </w:r>
                      </w:p>
                      <w:p>
                        <w:pPr>
                          <w:tabs>
                            <w:tab w:val="left" w:pos="0"/>
                            <w:tab w:val="left" w:pos="177"/>
                          </w:tabs>
                          <w:rPr>
                            <w:sz w:val="18"/>
                            <w:szCs w:val="18"/>
                          </w:rPr>
                        </w:pPr>
                        <w:r>
                          <w:rPr>
                            <w:sz w:val="18"/>
                            <w:szCs w:val="18"/>
                          </w:rPr>
                          <w:t>5. Vienos rankos dviejų pirštų nebuvimas ar nejudrumas</w:t>
                        </w:r>
                      </w:p>
                      <w:p>
                        <w:pPr>
                          <w:tabs>
                            <w:tab w:val="left" w:pos="0"/>
                            <w:tab w:val="left" w:pos="177"/>
                          </w:tabs>
                          <w:rPr>
                            <w:sz w:val="18"/>
                            <w:szCs w:val="18"/>
                          </w:rPr>
                        </w:pPr>
                        <w:r>
                          <w:rPr>
                            <w:sz w:val="18"/>
                            <w:szCs w:val="18"/>
                          </w:rPr>
                          <w:t xml:space="preserve">6. Gerybiniai navikai D10-D36 </w:t>
                        </w:r>
                      </w:p>
                      <w:p>
                        <w:pPr>
                          <w:tabs>
                            <w:tab w:val="left" w:pos="0"/>
                            <w:tab w:val="left" w:pos="177"/>
                          </w:tabs>
                          <w:rPr>
                            <w:sz w:val="18"/>
                            <w:szCs w:val="18"/>
                          </w:rPr>
                        </w:pPr>
                        <w:r>
                          <w:rPr>
                            <w:sz w:val="18"/>
                            <w:szCs w:val="18"/>
                          </w:rPr>
                          <w:t xml:space="preserve">7. Randai, trofikos sutrikimai, grybelinė infekcija, lėtinės odos ligos joms paūmėjus I83, B35, B37.2, L20, L23, L40, L50, L52, L53 </w:t>
                        </w:r>
                      </w:p>
                      <w:p>
                        <w:pPr>
                          <w:tabs>
                            <w:tab w:val="left" w:pos="177"/>
                          </w:tabs>
                          <w:rPr>
                            <w:sz w:val="18"/>
                            <w:szCs w:val="18"/>
                          </w:rPr>
                        </w:pPr>
                        <w:r>
                          <w:rPr>
                            <w:sz w:val="18"/>
                            <w:szCs w:val="18"/>
                          </w:rPr>
                          <w:t>8. Burnos ertmės ir dantų ligos, dantų nebuvimas, jeigu tai trukdo naudotis kvėpavimo aparatais, uždedamų protezų turėjimas, alveolinė piorėja, stomatitas, periodontitas, apatinio žandikaulio kontraktūra ir ankilozė, artritas K05, K06, K10–K13</w:t>
                        </w:r>
                      </w:p>
                      <w:p>
                        <w:pPr>
                          <w:rPr>
                            <w:sz w:val="18"/>
                            <w:szCs w:val="18"/>
                          </w:rPr>
                        </w:pPr>
                        <w:r>
                          <w:rPr>
                            <w:sz w:val="18"/>
                            <w:szCs w:val="18"/>
                          </w:rPr>
                          <w:t>9. Lėtinės obstrukcinės plaučių ligos J44–J47</w:t>
                        </w:r>
                      </w:p>
                      <w:p>
                        <w:pPr>
                          <w:rPr>
                            <w:sz w:val="18"/>
                            <w:szCs w:val="18"/>
                          </w:rPr>
                        </w:pPr>
                        <w:r>
                          <w:rPr>
                            <w:sz w:val="18"/>
                            <w:szCs w:val="18"/>
                          </w:rPr>
                          <w:t>10. Astma J45</w:t>
                        </w:r>
                      </w:p>
                      <w:p>
                        <w:pPr>
                          <w:rPr>
                            <w:sz w:val="18"/>
                            <w:szCs w:val="18"/>
                          </w:rPr>
                        </w:pPr>
                        <w:r>
                          <w:rPr>
                            <w:sz w:val="18"/>
                            <w:szCs w:val="18"/>
                          </w:rPr>
                          <w:t>11. Lėtinis kvėpavimo nepakankamumas I-II</w:t>
                          <w:sym w:font="Symbol" w:char="F0B0"/>
                          <w:t xml:space="preserve"> J96.1</w:t>
                        </w:r>
                      </w:p>
                      <w:p>
                        <w:pPr>
                          <w:tabs>
                            <w:tab w:val="left" w:pos="318"/>
                          </w:tabs>
                          <w:rPr>
                            <w:sz w:val="18"/>
                            <w:szCs w:val="18"/>
                          </w:rPr>
                        </w:pPr>
                        <w:r>
                          <w:rPr>
                            <w:sz w:val="18"/>
                            <w:szCs w:val="18"/>
                          </w:rPr>
                          <w:t>12. Lėtinės (centrinės ir periferinės) nervų sistemos ligos G00–G99</w:t>
                        </w:r>
                      </w:p>
                      <w:p>
                        <w:pPr>
                          <w:tabs>
                            <w:tab w:val="left" w:pos="177"/>
                            <w:tab w:val="left" w:pos="318"/>
                          </w:tabs>
                          <w:rPr>
                            <w:sz w:val="18"/>
                            <w:szCs w:val="18"/>
                          </w:rPr>
                        </w:pPr>
                        <w:r>
                          <w:rPr>
                            <w:sz w:val="18"/>
                            <w:szCs w:val="18"/>
                          </w:rPr>
                          <w:t xml:space="preserve">13. Somatoforminė autonominė disfunkcija </w:t>
                        </w:r>
                        <w:r>
                          <w:rPr>
                            <w:sz w:val="18"/>
                            <w:szCs w:val="18"/>
                            <w:lang w:val="pt-BR"/>
                          </w:rPr>
                          <w:t>F45.3</w:t>
                        </w:r>
                      </w:p>
                      <w:p>
                        <w:pPr>
                          <w:tabs>
                            <w:tab w:val="left" w:pos="177"/>
                            <w:tab w:val="left" w:pos="318"/>
                          </w:tabs>
                          <w:rPr>
                            <w:sz w:val="18"/>
                            <w:szCs w:val="18"/>
                            <w:lang w:val="pt-BR"/>
                          </w:rPr>
                        </w:pPr>
                        <w:r>
                          <w:rPr>
                            <w:sz w:val="18"/>
                            <w:szCs w:val="18"/>
                          </w:rPr>
                          <w:t xml:space="preserve">14. Lėtinės inkstų ligos, akmenligė </w:t>
                        </w:r>
                        <w:r>
                          <w:rPr>
                            <w:sz w:val="18"/>
                            <w:szCs w:val="18"/>
                            <w:lang w:val="pt-BR"/>
                          </w:rPr>
                          <w:t>N00–N08, N10–N39</w:t>
                        </w:r>
                      </w:p>
                      <w:p>
                        <w:pPr>
                          <w:tabs>
                            <w:tab w:val="left" w:pos="177"/>
                            <w:tab w:val="left" w:pos="318"/>
                          </w:tabs>
                          <w:rPr>
                            <w:sz w:val="18"/>
                            <w:szCs w:val="18"/>
                          </w:rPr>
                        </w:pPr>
                        <w:r>
                          <w:rPr>
                            <w:sz w:val="18"/>
                            <w:szCs w:val="18"/>
                          </w:rPr>
                          <w:t>15. Širdies ligos, nepriklausomai nuo jų kompensacijos laipsnio I05–I09, I10–I15, I20–I25, I26–I28, I30–I52</w:t>
                        </w:r>
                      </w:p>
                      <w:p>
                        <w:pPr>
                          <w:tabs>
                            <w:tab w:val="left" w:pos="177"/>
                            <w:tab w:val="left" w:pos="318"/>
                          </w:tabs>
                          <w:rPr>
                            <w:sz w:val="18"/>
                            <w:szCs w:val="18"/>
                          </w:rPr>
                        </w:pPr>
                        <w:r>
                          <w:rPr>
                            <w:sz w:val="18"/>
                            <w:szCs w:val="18"/>
                          </w:rPr>
                          <w:t xml:space="preserve">16. Arterinė hipertenzija </w:t>
                        </w:r>
                        <w:r>
                          <w:rPr>
                            <w:sz w:val="18"/>
                            <w:szCs w:val="18"/>
                            <w:lang w:val="pt-BR"/>
                          </w:rPr>
                          <w:t>I10–I15</w:t>
                        </w:r>
                      </w:p>
                      <w:p>
                        <w:pPr>
                          <w:tabs>
                            <w:tab w:val="left" w:pos="177"/>
                            <w:tab w:val="left" w:pos="318"/>
                          </w:tabs>
                          <w:rPr>
                            <w:sz w:val="18"/>
                            <w:szCs w:val="18"/>
                          </w:rPr>
                        </w:pPr>
                        <w:r>
                          <w:rPr>
                            <w:sz w:val="18"/>
                            <w:szCs w:val="18"/>
                          </w:rPr>
                          <w:t xml:space="preserve">17. Išsiplėtusių kojų venų varikozinės ligos, hemorojus, </w:t>
                        </w:r>
                        <w:r>
                          <w:rPr>
                            <w:bCs/>
                            <w:sz w:val="18"/>
                            <w:szCs w:val="18"/>
                          </w:rPr>
                          <w:t xml:space="preserve">obliteruojantis endarteritas, </w:t>
                        </w:r>
                        <w:r>
                          <w:rPr>
                            <w:sz w:val="18"/>
                            <w:szCs w:val="18"/>
                          </w:rPr>
                          <w:t xml:space="preserve">Raynaud sindromas </w:t>
                        </w:r>
                        <w:r>
                          <w:rPr>
                            <w:bCs/>
                            <w:sz w:val="18"/>
                            <w:szCs w:val="18"/>
                          </w:rPr>
                          <w:t>I70–</w:t>
                        </w:r>
                        <w:r>
                          <w:rPr>
                            <w:sz w:val="18"/>
                            <w:szCs w:val="18"/>
                          </w:rPr>
                          <w:t xml:space="preserve">I73.0, I80, I83, I84 </w:t>
                        </w:r>
                      </w:p>
                      <w:p>
                        <w:pPr>
                          <w:tabs>
                            <w:tab w:val="left" w:pos="177"/>
                            <w:tab w:val="left" w:pos="318"/>
                          </w:tabs>
                          <w:rPr>
                            <w:sz w:val="18"/>
                            <w:szCs w:val="18"/>
                          </w:rPr>
                        </w:pPr>
                        <w:r>
                          <w:rPr>
                            <w:sz w:val="18"/>
                            <w:szCs w:val="18"/>
                          </w:rPr>
                          <w:t>18. Jungiamojo audinio lėtinės uždegiminės ligos M00–M25, M30–M36</w:t>
                        </w:r>
                      </w:p>
                      <w:p>
                        <w:pPr>
                          <w:tabs>
                            <w:tab w:val="left" w:pos="177"/>
                            <w:tab w:val="left" w:pos="318"/>
                          </w:tabs>
                          <w:rPr>
                            <w:sz w:val="18"/>
                            <w:szCs w:val="18"/>
                          </w:rPr>
                        </w:pPr>
                        <w:r>
                          <w:rPr>
                            <w:sz w:val="18"/>
                            <w:szCs w:val="18"/>
                          </w:rPr>
                          <w:t xml:space="preserve">19. Visos tuberkuliozės formos </w:t>
                        </w:r>
                        <w:r>
                          <w:rPr>
                            <w:sz w:val="18"/>
                            <w:szCs w:val="18"/>
                            <w:lang w:val="pt-BR"/>
                          </w:rPr>
                          <w:t>A15–A19</w:t>
                        </w:r>
                      </w:p>
                      <w:p>
                        <w:pPr>
                          <w:tabs>
                            <w:tab w:val="left" w:pos="177"/>
                            <w:tab w:val="left" w:pos="318"/>
                          </w:tabs>
                          <w:rPr>
                            <w:sz w:val="18"/>
                            <w:szCs w:val="18"/>
                            <w:lang w:val="sv-SE"/>
                          </w:rPr>
                        </w:pPr>
                        <w:r>
                          <w:rPr>
                            <w:sz w:val="18"/>
                            <w:szCs w:val="18"/>
                          </w:rPr>
                          <w:t>20. Organiniai ir simptominiai psichikos sutrikimai F00–F06.4; F07 – nuolat; psichikos ir elgesio sutrikimai vartojant psichoaktyviąsias medžiagas F10–F19 – aktyviai vartojant psichoaktyviąsias medžiagas arba remisija, trumpesnė negu 2 m.; schizofrenija, schizotipinis ir kliedesiniai sutrikimai F20–F23; F25; F28; F29 – jei remisija trumpesnė negu 5 m.; nuotaikos (afektiniai) sutrikimai F30.1–F33.9 ir neuroziniai sutrikimai F40.0; F41.0–F41.8 – jei remisija trumpesnė negu 3 m.; suaugusiųjų asmenybės sutrikimai F60.0–F60.3; F61.0; F63.1 – kai kompensacija trunka mažiau kaip 3 m.; protinis atsilikimas F71–F79</w:t>
                        </w:r>
                      </w:p>
                    </w:tc>
                  </w:tr>
                  <w:tr>
                    <w:trPr>
                      <w:trHeight w:val="47"/>
                    </w:trPr>
                    <w:tc>
                      <w:tcPr>
                        <w:tcW w:w="2383" w:type="dxa"/>
                        <w:vMerge/>
                      </w:tcPr>
                      <w:p>
                        <w:pPr>
                          <w:rPr>
                            <w:sz w:val="18"/>
                            <w:szCs w:val="18"/>
                          </w:rPr>
                        </w:pPr>
                      </w:p>
                    </w:tc>
                    <w:tc>
                      <w:tcPr>
                        <w:tcW w:w="1702" w:type="dxa"/>
                        <w:vMerge/>
                      </w:tcPr>
                      <w:p>
                        <w:pPr>
                          <w:rPr>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 xml:space="preserve">Neurologas, </w:t>
                        </w:r>
                      </w:p>
                      <w:p>
                        <w:pPr>
                          <w:rPr>
                            <w:sz w:val="18"/>
                            <w:szCs w:val="18"/>
                          </w:rPr>
                        </w:pPr>
                        <w:r>
                          <w:rPr>
                            <w:sz w:val="18"/>
                            <w:szCs w:val="18"/>
                          </w:rPr>
                          <w:t>oftalmologas,</w:t>
                        </w:r>
                      </w:p>
                      <w:p>
                        <w:pPr>
                          <w:rPr>
                            <w:sz w:val="18"/>
                            <w:szCs w:val="18"/>
                          </w:rPr>
                        </w:pPr>
                        <w:r>
                          <w:rPr>
                            <w:sz w:val="18"/>
                            <w:szCs w:val="18"/>
                          </w:rPr>
                          <w:t>otorinolaringologas,</w:t>
                        </w:r>
                      </w:p>
                      <w:p>
                        <w:pPr>
                          <w:rPr>
                            <w:sz w:val="18"/>
                            <w:szCs w:val="18"/>
                          </w:rPr>
                        </w:pPr>
                        <w:r>
                          <w:rPr>
                            <w:sz w:val="18"/>
                            <w:szCs w:val="18"/>
                          </w:rPr>
                          <w:t>esant indikacijų – p</w:t>
                        </w:r>
                        <w:r>
                          <w:rPr>
                            <w:bCs/>
                            <w:sz w:val="18"/>
                            <w:szCs w:val="18"/>
                          </w:rPr>
                          <w:t xml:space="preserve">sichiatras, radiologas </w:t>
                        </w:r>
                        <w:r>
                          <w:rPr>
                            <w:sz w:val="18"/>
                            <w:szCs w:val="18"/>
                          </w:rPr>
                          <w:t xml:space="preserve">ir </w:t>
                        </w:r>
                        <w:r>
                          <w:rPr>
                            <w:bCs/>
                            <w:sz w:val="18"/>
                            <w:szCs w:val="18"/>
                          </w:rPr>
                          <w:t>kitų profesinių kvalifikacijų gydytojai</w:t>
                        </w:r>
                        <w:r>
                          <w:rPr>
                            <w:sz w:val="18"/>
                            <w:szCs w:val="18"/>
                          </w:rPr>
                          <w:t xml:space="preserve"> </w:t>
                        </w:r>
                      </w:p>
                    </w:tc>
                    <w:tc>
                      <w:tcPr>
                        <w:tcW w:w="2984" w:type="dxa"/>
                        <w:vMerge/>
                      </w:tcPr>
                      <w:p>
                        <w:pPr>
                          <w:rPr>
                            <w:sz w:val="18"/>
                            <w:szCs w:val="18"/>
                          </w:rPr>
                        </w:pPr>
                      </w:p>
                    </w:tc>
                    <w:tc>
                      <w:tcPr>
                        <w:tcW w:w="2168" w:type="dxa"/>
                        <w:vMerge/>
                      </w:tcPr>
                      <w:p>
                        <w:pPr>
                          <w:tabs>
                            <w:tab w:val="left" w:pos="177"/>
                          </w:tabs>
                          <w:rPr>
                            <w:sz w:val="18"/>
                            <w:szCs w:val="18"/>
                          </w:rPr>
                        </w:pPr>
                      </w:p>
                    </w:tc>
                  </w:tr>
                  <w:tr>
                    <w:trPr>
                      <w:trHeight w:val="47"/>
                    </w:trPr>
                    <w:tc>
                      <w:tcPr>
                        <w:tcW w:w="2383" w:type="dxa"/>
                        <w:vMerge w:val="restart"/>
                      </w:tcPr>
                      <w:p>
                        <w:pPr>
                          <w:rPr>
                            <w:sz w:val="18"/>
                            <w:szCs w:val="18"/>
                          </w:rPr>
                        </w:pPr>
                        <w:r>
                          <w:rPr>
                            <w:sz w:val="18"/>
                            <w:szCs w:val="18"/>
                          </w:rPr>
                          <w:t>3.9. Ultragarsas (kontaktinis perdavimas)</w:t>
                        </w:r>
                      </w:p>
                    </w:tc>
                    <w:tc>
                      <w:tcPr>
                        <w:tcW w:w="1702" w:type="dxa"/>
                        <w:vMerge w:val="restart"/>
                      </w:tcPr>
                      <w:p>
                        <w:pPr>
                          <w:rPr>
                            <w:sz w:val="18"/>
                            <w:szCs w:val="18"/>
                          </w:rPr>
                        </w:pPr>
                        <w:r>
                          <w:rPr>
                            <w:sz w:val="18"/>
                            <w:szCs w:val="18"/>
                          </w:rPr>
                          <w:t>Darbas su ultragarso defektoskopais ir medicinine aparatūra</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p>
                    </w:tc>
                    <w:tc>
                      <w:tcPr>
                        <w:tcW w:w="2984" w:type="dxa"/>
                        <w:vMerge w:val="restart"/>
                      </w:tcPr>
                      <w:p>
                        <w:pPr>
                          <w:rPr>
                            <w:sz w:val="18"/>
                            <w:szCs w:val="18"/>
                          </w:rPr>
                        </w:pPr>
                        <w:r>
                          <w:rPr>
                            <w:sz w:val="18"/>
                            <w:szCs w:val="18"/>
                          </w:rPr>
                          <w:t>Jautrumas vibracijai, esant indikacijų – EKG, šalčio mėginys</w:t>
                        </w:r>
                      </w:p>
                    </w:tc>
                    <w:tc>
                      <w:tcPr>
                        <w:tcW w:w="2168" w:type="dxa"/>
                        <w:vMerge w:val="restart"/>
                      </w:tcPr>
                      <w:p>
                        <w:pPr>
                          <w:rPr>
                            <w:sz w:val="18"/>
                            <w:szCs w:val="18"/>
                          </w:rPr>
                        </w:pPr>
                        <w:r>
                          <w:rPr>
                            <w:sz w:val="18"/>
                            <w:szCs w:val="18"/>
                          </w:rPr>
                          <w:t>1. Lėtinės periferinės nervų sistemos ir raumenų ligos G60–G64, G70–G73</w:t>
                        </w:r>
                      </w:p>
                      <w:p>
                        <w:pPr>
                          <w:rPr>
                            <w:sz w:val="18"/>
                            <w:szCs w:val="18"/>
                          </w:rPr>
                        </w:pPr>
                        <w:r>
                          <w:rPr>
                            <w:sz w:val="18"/>
                            <w:szCs w:val="18"/>
                          </w:rPr>
                          <w:t xml:space="preserve">2. </w:t>
                        </w:r>
                        <w:r>
                          <w:rPr>
                            <w:bCs/>
                            <w:sz w:val="18"/>
                            <w:szCs w:val="18"/>
                          </w:rPr>
                          <w:t xml:space="preserve">Obliteruojantis endarteritas, </w:t>
                        </w:r>
                        <w:r>
                          <w:rPr>
                            <w:sz w:val="18"/>
                            <w:szCs w:val="18"/>
                          </w:rPr>
                          <w:t xml:space="preserve">Raynaud sindromas </w:t>
                        </w:r>
                        <w:r>
                          <w:rPr>
                            <w:bCs/>
                            <w:sz w:val="18"/>
                            <w:szCs w:val="18"/>
                          </w:rPr>
                          <w:t>I70–</w:t>
                        </w:r>
                        <w:r>
                          <w:rPr>
                            <w:sz w:val="18"/>
                            <w:szCs w:val="18"/>
                          </w:rPr>
                          <w:t>I73.0</w:t>
                        </w:r>
                      </w:p>
                    </w:tc>
                  </w:tr>
                  <w:tr>
                    <w:trPr>
                      <w:trHeight w:val="622"/>
                    </w:trPr>
                    <w:tc>
                      <w:tcPr>
                        <w:tcW w:w="2383" w:type="dxa"/>
                        <w:vMerge/>
                      </w:tcPr>
                      <w:p>
                        <w:pPr>
                          <w:rPr>
                            <w:sz w:val="18"/>
                            <w:szCs w:val="18"/>
                          </w:rPr>
                        </w:pPr>
                      </w:p>
                    </w:tc>
                    <w:tc>
                      <w:tcPr>
                        <w:tcW w:w="1702" w:type="dxa"/>
                        <w:vMerge/>
                      </w:tcPr>
                      <w:p>
                        <w:pPr>
                          <w:rPr>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Neurologas</w:t>
                        </w:r>
                      </w:p>
                    </w:tc>
                    <w:tc>
                      <w:tcPr>
                        <w:tcW w:w="2984" w:type="dxa"/>
                        <w:vMerge/>
                      </w:tcPr>
                      <w:p>
                        <w:pPr>
                          <w:rPr>
                            <w:sz w:val="18"/>
                            <w:szCs w:val="18"/>
                          </w:rPr>
                        </w:pPr>
                      </w:p>
                    </w:tc>
                    <w:tc>
                      <w:tcPr>
                        <w:tcW w:w="2168" w:type="dxa"/>
                        <w:vMerge/>
                      </w:tcPr>
                      <w:p>
                        <w:pPr>
                          <w:rPr>
                            <w:sz w:val="18"/>
                            <w:szCs w:val="18"/>
                          </w:rPr>
                        </w:pPr>
                      </w:p>
                    </w:tc>
                  </w:tr>
                </w:tbl>
                <w:p/>
                <w:tbl>
                  <w:tblPr>
                    <w:tblW w:w="14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40" w:firstRow="0" w:lastRow="1" w:firstColumn="0" w:lastColumn="0" w:noHBand="0" w:noVBand="0"/>
                  </w:tblPr>
                  <w:tblGrid>
                    <w:gridCol w:w="2383"/>
                    <w:gridCol w:w="1748"/>
                    <w:gridCol w:w="1413"/>
                    <w:gridCol w:w="6"/>
                    <w:gridCol w:w="1932"/>
                    <w:gridCol w:w="2106"/>
                    <w:gridCol w:w="354"/>
                    <w:gridCol w:w="2630"/>
                    <w:gridCol w:w="2168"/>
                  </w:tblGrid>
                  <w:tr>
                    <w:tc>
                      <w:tcPr>
                        <w:tcW w:w="14740" w:type="dxa"/>
                        <w:gridSpan w:val="9"/>
                      </w:tcPr>
                      <w:p>
                        <w:pPr>
                          <w:pageBreakBefore/>
                          <w:jc w:val="center"/>
                          <w:rPr>
                            <w:b/>
                            <w:sz w:val="18"/>
                            <w:szCs w:val="18"/>
                          </w:rPr>
                        </w:pPr>
                        <w:r>
                          <w:rPr>
                            <w:b/>
                            <w:sz w:val="18"/>
                            <w:szCs w:val="18"/>
                          </w:rPr>
                          <w:t xml:space="preserve">4. ERGONOMINIAI (BIOMECHANINIAI) VEIKSNIAI </w:t>
                        </w:r>
                      </w:p>
                    </w:tc>
                  </w:tr>
                  <w:tr>
                    <w:trPr>
                      <w:trHeight w:val="828"/>
                    </w:trPr>
                    <w:tc>
                      <w:tcPr>
                        <w:tcW w:w="2383" w:type="dxa"/>
                        <w:vMerge w:val="restart"/>
                      </w:tcPr>
                      <w:p>
                        <w:pPr>
                          <w:rPr>
                            <w:sz w:val="18"/>
                            <w:szCs w:val="18"/>
                          </w:rPr>
                        </w:pPr>
                        <w:r>
                          <w:rPr>
                            <w:sz w:val="18"/>
                            <w:szCs w:val="18"/>
                          </w:rPr>
                          <w:t>4.1. Balso stygų nuolatinis įtempimas</w:t>
                        </w:r>
                      </w:p>
                    </w:tc>
                    <w:tc>
                      <w:tcPr>
                        <w:tcW w:w="1748" w:type="dxa"/>
                        <w:vMerge w:val="restart"/>
                      </w:tcPr>
                      <w:p>
                        <w:pPr>
                          <w:rPr>
                            <w:sz w:val="18"/>
                            <w:szCs w:val="18"/>
                          </w:rPr>
                        </w:pPr>
                        <w:r>
                          <w:rPr>
                            <w:sz w:val="18"/>
                            <w:szCs w:val="18"/>
                          </w:rPr>
                          <w:t>Darbai, susiję su balso stygų pertempimu (mokytojų, dėstytojų, diktorių, dainininkų, telefono stočių kai kurių darbuotojų)</w:t>
                        </w:r>
                      </w:p>
                    </w:tc>
                    <w:tc>
                      <w:tcPr>
                        <w:tcW w:w="1413" w:type="dxa"/>
                        <w:vMerge w:val="restart"/>
                      </w:tcPr>
                      <w:p>
                        <w:pPr>
                          <w:rPr>
                            <w:sz w:val="18"/>
                            <w:szCs w:val="18"/>
                          </w:rPr>
                        </w:pPr>
                        <w:r>
                          <w:rPr>
                            <w:sz w:val="18"/>
                            <w:szCs w:val="18"/>
                          </w:rPr>
                          <w:t>1 kartą per 2 metus</w:t>
                        </w:r>
                      </w:p>
                    </w:tc>
                    <w:tc>
                      <w:tcPr>
                        <w:tcW w:w="1938" w:type="dxa"/>
                        <w:gridSpan w:val="2"/>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r>
                          <w:rPr>
                            <w:sz w:val="18"/>
                            <w:szCs w:val="18"/>
                          </w:rPr>
                          <w:t>Esant indikacijų – otorinolaringologa</w:t>
                        </w:r>
                        <w:r>
                          <w:rPr>
                            <w:bCs/>
                            <w:sz w:val="18"/>
                            <w:szCs w:val="18"/>
                          </w:rPr>
                          <w:t xml:space="preserve">s </w:t>
                        </w:r>
                        <w:r>
                          <w:rPr>
                            <w:sz w:val="18"/>
                            <w:szCs w:val="18"/>
                          </w:rPr>
                          <w:t xml:space="preserve">ir </w:t>
                        </w:r>
                        <w:r>
                          <w:rPr>
                            <w:bCs/>
                            <w:sz w:val="18"/>
                            <w:szCs w:val="18"/>
                          </w:rPr>
                          <w:t>kitų profesinių kvalifikacijų gydytojai</w:t>
                        </w:r>
                        <w:r>
                          <w:rPr>
                            <w:sz w:val="18"/>
                            <w:szCs w:val="18"/>
                          </w:rPr>
                          <w:t xml:space="preserve"> </w:t>
                        </w:r>
                      </w:p>
                    </w:tc>
                    <w:tc>
                      <w:tcPr>
                        <w:tcW w:w="2984" w:type="dxa"/>
                        <w:gridSpan w:val="2"/>
                        <w:vMerge w:val="restart"/>
                      </w:tcPr>
                      <w:p>
                        <w:pPr>
                          <w:rPr>
                            <w:sz w:val="18"/>
                            <w:szCs w:val="18"/>
                          </w:rPr>
                        </w:pPr>
                        <w:r>
                          <w:rPr>
                            <w:sz w:val="18"/>
                            <w:szCs w:val="18"/>
                          </w:rPr>
                          <w:t>Kraujo tyrimas hematologiniu analizatoriumi (eritrocitai, hemoglobinas, leukocitai, trombocitai),</w:t>
                        </w:r>
                      </w:p>
                      <w:p>
                        <w:pPr>
                          <w:rPr>
                            <w:sz w:val="18"/>
                            <w:szCs w:val="18"/>
                          </w:rPr>
                        </w:pPr>
                        <w:r>
                          <w:rPr>
                            <w:sz w:val="18"/>
                            <w:szCs w:val="18"/>
                          </w:rPr>
                          <w:t>esant indikacijų – klausos tyrimas</w:t>
                        </w:r>
                      </w:p>
                    </w:tc>
                    <w:tc>
                      <w:tcPr>
                        <w:tcW w:w="2168" w:type="dxa"/>
                        <w:vMerge w:val="restart"/>
                      </w:tcPr>
                      <w:p>
                        <w:pPr>
                          <w:rPr>
                            <w:sz w:val="18"/>
                            <w:szCs w:val="18"/>
                          </w:rPr>
                        </w:pPr>
                        <w:r>
                          <w:rPr>
                            <w:sz w:val="18"/>
                            <w:szCs w:val="18"/>
                          </w:rPr>
                          <w:t>1. Lėtinės ligos, susijusios su garso funkcijos sutrikimu (lėtiniai laringitai, faringitai ir pan.) J37.0, J31.2, J38</w:t>
                        </w:r>
                      </w:p>
                      <w:p>
                        <w:pPr>
                          <w:rPr>
                            <w:sz w:val="18"/>
                            <w:szCs w:val="18"/>
                          </w:rPr>
                        </w:pPr>
                        <w:r>
                          <w:rPr>
                            <w:sz w:val="18"/>
                            <w:szCs w:val="18"/>
                          </w:rPr>
                          <w:t>2. Balso pakitimai R49</w:t>
                        </w:r>
                      </w:p>
                    </w:tc>
                  </w:tr>
                  <w:tr>
                    <w:trPr>
                      <w:trHeight w:val="827"/>
                    </w:trPr>
                    <w:tc>
                      <w:tcPr>
                        <w:tcW w:w="2383" w:type="dxa"/>
                        <w:vMerge/>
                      </w:tcPr>
                      <w:p>
                        <w:pPr>
                          <w:rPr>
                            <w:sz w:val="18"/>
                            <w:szCs w:val="18"/>
                          </w:rPr>
                        </w:pPr>
                      </w:p>
                    </w:tc>
                    <w:tc>
                      <w:tcPr>
                        <w:tcW w:w="1748" w:type="dxa"/>
                        <w:vMerge/>
                      </w:tcPr>
                      <w:p>
                        <w:pPr>
                          <w:rPr>
                            <w:sz w:val="18"/>
                            <w:szCs w:val="18"/>
                          </w:rPr>
                        </w:pPr>
                      </w:p>
                    </w:tc>
                    <w:tc>
                      <w:tcPr>
                        <w:tcW w:w="1413" w:type="dxa"/>
                        <w:vMerge/>
                      </w:tcPr>
                      <w:p>
                        <w:pPr>
                          <w:rPr>
                            <w:sz w:val="18"/>
                            <w:szCs w:val="18"/>
                          </w:rPr>
                        </w:pPr>
                      </w:p>
                    </w:tc>
                    <w:tc>
                      <w:tcPr>
                        <w:tcW w:w="1938" w:type="dxa"/>
                        <w:gridSpan w:val="2"/>
                        <w:vMerge/>
                      </w:tcPr>
                      <w:p>
                        <w:pPr>
                          <w:rPr>
                            <w:sz w:val="18"/>
                            <w:szCs w:val="18"/>
                          </w:rPr>
                        </w:pPr>
                      </w:p>
                    </w:tc>
                    <w:tc>
                      <w:tcPr>
                        <w:tcW w:w="2106" w:type="dxa"/>
                      </w:tcPr>
                      <w:p>
                        <w:pPr>
                          <w:rPr>
                            <w:sz w:val="18"/>
                            <w:szCs w:val="18"/>
                          </w:rPr>
                        </w:pPr>
                        <w:r>
                          <w:rPr>
                            <w:sz w:val="18"/>
                            <w:szCs w:val="18"/>
                          </w:rPr>
                          <w:t>Otorinolaringologas</w:t>
                        </w:r>
                      </w:p>
                    </w:tc>
                    <w:tc>
                      <w:tcPr>
                        <w:tcW w:w="2984" w:type="dxa"/>
                        <w:gridSpan w:val="2"/>
                        <w:vMerge/>
                      </w:tcPr>
                      <w:p>
                        <w:pPr>
                          <w:rPr>
                            <w:sz w:val="18"/>
                            <w:szCs w:val="18"/>
                          </w:rPr>
                        </w:pPr>
                      </w:p>
                    </w:tc>
                    <w:tc>
                      <w:tcPr>
                        <w:tcW w:w="2168" w:type="dxa"/>
                        <w:vMerge/>
                      </w:tcPr>
                      <w:p>
                        <w:pPr>
                          <w:rPr>
                            <w:sz w:val="18"/>
                            <w:szCs w:val="18"/>
                          </w:rPr>
                        </w:pPr>
                      </w:p>
                    </w:tc>
                  </w:tr>
                  <w:tr>
                    <w:tc>
                      <w:tcPr>
                        <w:tcW w:w="2383" w:type="dxa"/>
                      </w:tcPr>
                      <w:p>
                        <w:pPr>
                          <w:rPr>
                            <w:sz w:val="18"/>
                            <w:szCs w:val="18"/>
                          </w:rPr>
                        </w:pPr>
                        <w:r>
                          <w:rPr>
                            <w:sz w:val="18"/>
                            <w:szCs w:val="18"/>
                          </w:rPr>
                          <w:t>4.2. Darbo sunkumas</w:t>
                        </w:r>
                      </w:p>
                    </w:tc>
                    <w:tc>
                      <w:tcPr>
                        <w:tcW w:w="1748" w:type="dxa"/>
                      </w:tcPr>
                      <w:p>
                        <w:pPr>
                          <w:rPr>
                            <w:sz w:val="18"/>
                            <w:szCs w:val="18"/>
                          </w:rPr>
                        </w:pPr>
                      </w:p>
                    </w:tc>
                    <w:tc>
                      <w:tcPr>
                        <w:tcW w:w="1413" w:type="dxa"/>
                      </w:tcPr>
                      <w:p>
                        <w:pPr>
                          <w:rPr>
                            <w:sz w:val="18"/>
                            <w:szCs w:val="18"/>
                          </w:rPr>
                        </w:pPr>
                      </w:p>
                    </w:tc>
                    <w:tc>
                      <w:tcPr>
                        <w:tcW w:w="1938" w:type="dxa"/>
                        <w:gridSpan w:val="2"/>
                      </w:tcPr>
                      <w:p>
                        <w:pPr>
                          <w:rPr>
                            <w:sz w:val="18"/>
                            <w:szCs w:val="18"/>
                          </w:rPr>
                        </w:pPr>
                      </w:p>
                    </w:tc>
                    <w:tc>
                      <w:tcPr>
                        <w:tcW w:w="2106" w:type="dxa"/>
                      </w:tcPr>
                      <w:p>
                        <w:pPr>
                          <w:rPr>
                            <w:sz w:val="18"/>
                            <w:szCs w:val="18"/>
                          </w:rPr>
                        </w:pPr>
                      </w:p>
                    </w:tc>
                    <w:tc>
                      <w:tcPr>
                        <w:tcW w:w="2984" w:type="dxa"/>
                        <w:gridSpan w:val="2"/>
                      </w:tcPr>
                      <w:p>
                        <w:pPr>
                          <w:rPr>
                            <w:sz w:val="18"/>
                            <w:szCs w:val="18"/>
                          </w:rPr>
                        </w:pPr>
                      </w:p>
                    </w:tc>
                    <w:tc>
                      <w:tcPr>
                        <w:tcW w:w="2168" w:type="dxa"/>
                      </w:tcPr>
                      <w:p>
                        <w:pPr>
                          <w:rPr>
                            <w:sz w:val="18"/>
                            <w:szCs w:val="18"/>
                          </w:rPr>
                        </w:pPr>
                      </w:p>
                    </w:tc>
                  </w:tr>
                  <w:tr>
                    <w:trPr>
                      <w:trHeight w:val="1861"/>
                    </w:trPr>
                    <w:tc>
                      <w:tcPr>
                        <w:tcW w:w="2383" w:type="dxa"/>
                        <w:vMerge w:val="restart"/>
                      </w:tcPr>
                      <w:p>
                        <w:pPr>
                          <w:rPr>
                            <w:sz w:val="18"/>
                            <w:szCs w:val="18"/>
                          </w:rPr>
                        </w:pPr>
                        <w:r>
                          <w:rPr>
                            <w:sz w:val="18"/>
                            <w:szCs w:val="18"/>
                          </w:rPr>
                          <w:t>4.2.1. Krovinių tvarkymas rankomis</w:t>
                        </w:r>
                      </w:p>
                    </w:tc>
                    <w:tc>
                      <w:tcPr>
                        <w:tcW w:w="1748" w:type="dxa"/>
                        <w:vMerge w:val="restart"/>
                      </w:tcPr>
                      <w:p>
                        <w:pPr>
                          <w:rPr>
                            <w:strike/>
                            <w:sz w:val="18"/>
                            <w:szCs w:val="18"/>
                            <w:highlight w:val="yellow"/>
                          </w:rPr>
                        </w:pPr>
                        <w:r>
                          <w:rPr>
                            <w:sz w:val="18"/>
                            <w:szCs w:val="18"/>
                          </w:rPr>
                          <w:t>Bet koks krovinio gabenimas ar laikymas, kai vienas ar daugiau darbuotojų kelia, leidžia žemyn, stumia, traukia, neša ar judina krovinį, kuris dėl jo savybių ar nepalankių ergonominių sąlygų kelia riziką darbuotojams, ypač susižeisti nugarą.</w:t>
                        </w:r>
                      </w:p>
                    </w:tc>
                    <w:tc>
                      <w:tcPr>
                        <w:tcW w:w="1413" w:type="dxa"/>
                        <w:vMerge w:val="restart"/>
                      </w:tcPr>
                      <w:p>
                        <w:pPr>
                          <w:rPr>
                            <w:sz w:val="18"/>
                            <w:szCs w:val="18"/>
                          </w:rPr>
                        </w:pPr>
                        <w:r>
                          <w:rPr>
                            <w:sz w:val="18"/>
                            <w:szCs w:val="18"/>
                          </w:rPr>
                          <w:t>1 kartą per 2 metus</w:t>
                        </w:r>
                      </w:p>
                    </w:tc>
                    <w:tc>
                      <w:tcPr>
                        <w:tcW w:w="1938" w:type="dxa"/>
                        <w:gridSpan w:val="2"/>
                        <w:vMerge w:val="restart"/>
                      </w:tcPr>
                      <w:p>
                        <w:pPr>
                          <w:rPr>
                            <w:sz w:val="18"/>
                            <w:szCs w:val="18"/>
                          </w:rPr>
                        </w:pPr>
                        <w:r>
                          <w:rPr>
                            <w:sz w:val="18"/>
                            <w:szCs w:val="18"/>
                          </w:rPr>
                          <w:t>Šeimos medicinos paslaugas teikiantys gydytojai arba darbo medicinos gydytojas</w:t>
                        </w:r>
                      </w:p>
                    </w:tc>
                    <w:tc>
                      <w:tcPr>
                        <w:tcW w:w="2106" w:type="dxa"/>
                      </w:tcPr>
                      <w:p>
                        <w:pPr>
                          <w:rPr>
                            <w:bCs/>
                            <w:sz w:val="18"/>
                            <w:szCs w:val="18"/>
                          </w:rPr>
                        </w:pPr>
                      </w:p>
                    </w:tc>
                    <w:tc>
                      <w:tcPr>
                        <w:tcW w:w="2984" w:type="dxa"/>
                        <w:gridSpan w:val="2"/>
                        <w:vMerge w:val="restart"/>
                      </w:tcPr>
                      <w:p>
                        <w:pPr>
                          <w:rPr>
                            <w:bCs/>
                            <w:sz w:val="18"/>
                            <w:szCs w:val="18"/>
                          </w:rPr>
                        </w:pPr>
                        <w:r>
                          <w:rPr>
                            <w:bCs/>
                            <w:sz w:val="18"/>
                            <w:szCs w:val="18"/>
                          </w:rPr>
                          <w:t>Dinamometrija, EKG</w:t>
                        </w:r>
                      </w:p>
                    </w:tc>
                    <w:tc>
                      <w:tcPr>
                        <w:tcW w:w="2168" w:type="dxa"/>
                        <w:vMerge w:val="restart"/>
                      </w:tcPr>
                      <w:p>
                        <w:pPr>
                          <w:rPr>
                            <w:sz w:val="18"/>
                            <w:szCs w:val="18"/>
                            <w:lang w:val="en-AU"/>
                          </w:rPr>
                        </w:pPr>
                        <w:r>
                          <w:rPr>
                            <w:bCs/>
                            <w:sz w:val="18"/>
                            <w:szCs w:val="18"/>
                            <w:lang w:val="en-AU"/>
                          </w:rPr>
                          <w:t xml:space="preserve">1. </w:t>
                        </w:r>
                        <w:r>
                          <w:rPr>
                            <w:sz w:val="18"/>
                            <w:szCs w:val="18"/>
                            <w:lang w:val="en-AU"/>
                          </w:rPr>
                          <w:t>Jungiamojo audinio ir skeleto raumenų sistemos ligos M00–M25, M30–M36</w:t>
                        </w:r>
                      </w:p>
                      <w:p>
                        <w:pPr>
                          <w:rPr>
                            <w:bCs/>
                            <w:sz w:val="18"/>
                            <w:szCs w:val="18"/>
                          </w:rPr>
                        </w:pPr>
                        <w:r>
                          <w:rPr>
                            <w:bCs/>
                            <w:sz w:val="18"/>
                            <w:szCs w:val="18"/>
                          </w:rPr>
                          <w:t xml:space="preserve">2. Lėtinės periferinės nervų sistemos ir raumenų ligos </w:t>
                        </w:r>
                        <w:r>
                          <w:rPr>
                            <w:sz w:val="18"/>
                            <w:szCs w:val="18"/>
                          </w:rPr>
                          <w:t>G54–G64, G70–G73</w:t>
                        </w:r>
                      </w:p>
                      <w:p>
                        <w:pPr>
                          <w:rPr>
                            <w:sz w:val="18"/>
                            <w:szCs w:val="18"/>
                          </w:rPr>
                        </w:pPr>
                        <w:r>
                          <w:rPr>
                            <w:bCs/>
                            <w:sz w:val="18"/>
                            <w:szCs w:val="18"/>
                          </w:rPr>
                          <w:t xml:space="preserve">3. Obliteruojantis endarteritas, </w:t>
                        </w:r>
                        <w:r>
                          <w:rPr>
                            <w:sz w:val="18"/>
                            <w:szCs w:val="18"/>
                          </w:rPr>
                          <w:t xml:space="preserve">Raynaud sindromas </w:t>
                        </w:r>
                        <w:r>
                          <w:rPr>
                            <w:bCs/>
                            <w:sz w:val="18"/>
                            <w:szCs w:val="18"/>
                          </w:rPr>
                          <w:t>I70–</w:t>
                        </w:r>
                        <w:r>
                          <w:rPr>
                            <w:sz w:val="18"/>
                            <w:szCs w:val="18"/>
                          </w:rPr>
                          <w:t>I73.0</w:t>
                        </w:r>
                      </w:p>
                      <w:p>
                        <w:pPr>
                          <w:rPr>
                            <w:bCs/>
                            <w:sz w:val="18"/>
                            <w:szCs w:val="18"/>
                          </w:rPr>
                        </w:pPr>
                        <w:r>
                          <w:rPr>
                            <w:bCs/>
                            <w:sz w:val="18"/>
                            <w:szCs w:val="18"/>
                          </w:rPr>
                          <w:t xml:space="preserve">4. Žymus kojų venų varikozinis išsiplėtimas, tromboflebitas, hemorojus </w:t>
                        </w:r>
                        <w:r>
                          <w:rPr>
                            <w:sz w:val="18"/>
                            <w:szCs w:val="18"/>
                          </w:rPr>
                          <w:t>I80–I84</w:t>
                        </w:r>
                      </w:p>
                      <w:p>
                        <w:pPr>
                          <w:rPr>
                            <w:bCs/>
                            <w:sz w:val="18"/>
                            <w:szCs w:val="18"/>
                          </w:rPr>
                        </w:pPr>
                        <w:r>
                          <w:rPr>
                            <w:bCs/>
                            <w:sz w:val="18"/>
                            <w:szCs w:val="18"/>
                          </w:rPr>
                          <w:t xml:space="preserve">5. Išvaržos, enteroptozės K40–K46, K63.4, </w:t>
                        </w:r>
                      </w:p>
                      <w:p>
                        <w:pPr>
                          <w:rPr>
                            <w:bCs/>
                            <w:i/>
                            <w:sz w:val="18"/>
                            <w:szCs w:val="18"/>
                          </w:rPr>
                        </w:pPr>
                        <w:r>
                          <w:rPr>
                            <w:bCs/>
                            <w:sz w:val="18"/>
                            <w:szCs w:val="18"/>
                          </w:rPr>
                          <w:t>6. Diskogeninės kaklo ir juosmens stuburo ligos M50, M51.1</w:t>
                        </w:r>
                      </w:p>
                    </w:tc>
                  </w:tr>
                  <w:tr>
                    <w:trPr>
                      <w:trHeight w:val="1861"/>
                    </w:trPr>
                    <w:tc>
                      <w:tcPr>
                        <w:tcW w:w="2383" w:type="dxa"/>
                        <w:vMerge/>
                      </w:tcPr>
                      <w:p>
                        <w:pPr>
                          <w:rPr>
                            <w:sz w:val="18"/>
                            <w:szCs w:val="18"/>
                          </w:rPr>
                        </w:pPr>
                      </w:p>
                    </w:tc>
                    <w:tc>
                      <w:tcPr>
                        <w:tcW w:w="1748" w:type="dxa"/>
                        <w:vMerge/>
                      </w:tcPr>
                      <w:p>
                        <w:pPr>
                          <w:rPr>
                            <w:sz w:val="18"/>
                            <w:szCs w:val="18"/>
                          </w:rPr>
                        </w:pPr>
                      </w:p>
                    </w:tc>
                    <w:tc>
                      <w:tcPr>
                        <w:tcW w:w="1413" w:type="dxa"/>
                        <w:vMerge/>
                      </w:tcPr>
                      <w:p>
                        <w:pPr>
                          <w:rPr>
                            <w:sz w:val="18"/>
                            <w:szCs w:val="18"/>
                          </w:rPr>
                        </w:pPr>
                      </w:p>
                    </w:tc>
                    <w:tc>
                      <w:tcPr>
                        <w:tcW w:w="1938" w:type="dxa"/>
                        <w:gridSpan w:val="2"/>
                        <w:vMerge/>
                      </w:tcPr>
                      <w:p>
                        <w:pPr>
                          <w:rPr>
                            <w:sz w:val="18"/>
                            <w:szCs w:val="18"/>
                          </w:rPr>
                        </w:pPr>
                      </w:p>
                    </w:tc>
                    <w:tc>
                      <w:tcPr>
                        <w:tcW w:w="2106" w:type="dxa"/>
                      </w:tcPr>
                      <w:p>
                        <w:pPr>
                          <w:rPr>
                            <w:bCs/>
                            <w:sz w:val="18"/>
                            <w:szCs w:val="18"/>
                          </w:rPr>
                        </w:pPr>
                        <w:r>
                          <w:rPr>
                            <w:bCs/>
                            <w:sz w:val="18"/>
                            <w:szCs w:val="18"/>
                          </w:rPr>
                          <w:t xml:space="preserve">Neurologas, </w:t>
                        </w:r>
                      </w:p>
                      <w:p>
                        <w:pPr>
                          <w:rPr>
                            <w:bCs/>
                            <w:sz w:val="18"/>
                            <w:szCs w:val="18"/>
                          </w:rPr>
                        </w:pPr>
                        <w:r>
                          <w:rPr>
                            <w:bCs/>
                            <w:sz w:val="18"/>
                            <w:szCs w:val="18"/>
                          </w:rPr>
                          <w:t>esant indikacijų – reumatologas</w:t>
                        </w:r>
                      </w:p>
                    </w:tc>
                    <w:tc>
                      <w:tcPr>
                        <w:tcW w:w="2984" w:type="dxa"/>
                        <w:gridSpan w:val="2"/>
                        <w:vMerge/>
                      </w:tcPr>
                      <w:p>
                        <w:pPr>
                          <w:rPr>
                            <w:bCs/>
                            <w:sz w:val="18"/>
                            <w:szCs w:val="18"/>
                          </w:rPr>
                        </w:pPr>
                      </w:p>
                    </w:tc>
                    <w:tc>
                      <w:tcPr>
                        <w:tcW w:w="2168" w:type="dxa"/>
                        <w:vMerge/>
                      </w:tcPr>
                      <w:p>
                        <w:pPr>
                          <w:rPr>
                            <w:bCs/>
                            <w:sz w:val="18"/>
                            <w:szCs w:val="18"/>
                            <w:lang w:val="en-AU"/>
                          </w:rPr>
                        </w:pPr>
                      </w:p>
                    </w:tc>
                  </w:tr>
                  <w:tr>
                    <w:trPr>
                      <w:trHeight w:val="52"/>
                    </w:trPr>
                    <w:tc>
                      <w:tcPr>
                        <w:tcW w:w="2383" w:type="dxa"/>
                        <w:vMerge w:val="restart"/>
                      </w:tcPr>
                      <w:p>
                        <w:pPr>
                          <w:rPr>
                            <w:sz w:val="18"/>
                            <w:szCs w:val="18"/>
                          </w:rPr>
                        </w:pPr>
                        <w:r>
                          <w:rPr>
                            <w:sz w:val="18"/>
                            <w:szCs w:val="18"/>
                          </w:rPr>
                          <w:t xml:space="preserve">4.2.2. Stereotipiniai (nuolat pasikartojantys) darbo judesiai </w:t>
                        </w:r>
                      </w:p>
                    </w:tc>
                    <w:tc>
                      <w:tcPr>
                        <w:tcW w:w="1748" w:type="dxa"/>
                        <w:vMerge w:val="restart"/>
                      </w:tcPr>
                      <w:p>
                        <w:pPr>
                          <w:rPr>
                            <w:sz w:val="18"/>
                            <w:szCs w:val="18"/>
                          </w:rPr>
                        </w:pPr>
                        <w:r>
                          <w:rPr>
                            <w:sz w:val="18"/>
                            <w:szCs w:val="18"/>
                          </w:rPr>
                          <w:t>Dalyvaujant plaštakos ir pirštų, rankų ir pečių juostos raumenims (kai judesiams atlikti naudojama jėga, kai judesių atlikimui būtinas greitis ir tikslumas)</w:t>
                        </w:r>
                      </w:p>
                    </w:tc>
                    <w:tc>
                      <w:tcPr>
                        <w:tcW w:w="1413" w:type="dxa"/>
                        <w:vMerge w:val="restart"/>
                      </w:tcPr>
                      <w:p>
                        <w:pPr>
                          <w:rPr>
                            <w:sz w:val="18"/>
                            <w:szCs w:val="18"/>
                          </w:rPr>
                        </w:pPr>
                        <w:r>
                          <w:rPr>
                            <w:sz w:val="18"/>
                            <w:szCs w:val="18"/>
                          </w:rPr>
                          <w:t>1 kartą per 2 metus</w:t>
                        </w:r>
                      </w:p>
                    </w:tc>
                    <w:tc>
                      <w:tcPr>
                        <w:tcW w:w="1938" w:type="dxa"/>
                        <w:gridSpan w:val="2"/>
                        <w:vMerge w:val="restart"/>
                      </w:tcPr>
                      <w:p>
                        <w:pPr>
                          <w:rPr>
                            <w:sz w:val="18"/>
                            <w:szCs w:val="18"/>
                          </w:rPr>
                        </w:pPr>
                        <w:r>
                          <w:rPr>
                            <w:sz w:val="18"/>
                            <w:szCs w:val="18"/>
                          </w:rPr>
                          <w:t>Šeimos medicinos paslaugas teikiantys gydytojai arba darbo medicinos gydytojas</w:t>
                        </w:r>
                      </w:p>
                    </w:tc>
                    <w:tc>
                      <w:tcPr>
                        <w:tcW w:w="2106" w:type="dxa"/>
                      </w:tcPr>
                      <w:p>
                        <w:pPr>
                          <w:rPr>
                            <w:bCs/>
                            <w:sz w:val="18"/>
                            <w:szCs w:val="18"/>
                          </w:rPr>
                        </w:pPr>
                        <w:r>
                          <w:rPr>
                            <w:sz w:val="18"/>
                            <w:szCs w:val="18"/>
                          </w:rPr>
                          <w:t>Esant indikacijų – radiologas</w:t>
                        </w:r>
                      </w:p>
                    </w:tc>
                    <w:tc>
                      <w:tcPr>
                        <w:tcW w:w="2984" w:type="dxa"/>
                        <w:gridSpan w:val="2"/>
                        <w:vMerge w:val="restart"/>
                      </w:tcPr>
                      <w:p>
                        <w:pPr>
                          <w:rPr>
                            <w:bCs/>
                            <w:sz w:val="18"/>
                            <w:szCs w:val="18"/>
                          </w:rPr>
                        </w:pPr>
                        <w:r>
                          <w:rPr>
                            <w:bCs/>
                            <w:sz w:val="18"/>
                            <w:szCs w:val="18"/>
                          </w:rPr>
                          <w:t>Esant indikacijų –</w:t>
                        </w:r>
                        <w:r>
                          <w:rPr>
                            <w:sz w:val="18"/>
                            <w:szCs w:val="18"/>
                          </w:rPr>
                          <w:t xml:space="preserve"> p</w:t>
                        </w:r>
                        <w:r>
                          <w:rPr>
                            <w:bCs/>
                            <w:sz w:val="18"/>
                            <w:szCs w:val="18"/>
                          </w:rPr>
                          <w:t>laštakų rentgenograma</w:t>
                        </w:r>
                      </w:p>
                    </w:tc>
                    <w:tc>
                      <w:tcPr>
                        <w:tcW w:w="2168" w:type="dxa"/>
                        <w:vMerge w:val="restart"/>
                      </w:tcPr>
                      <w:p>
                        <w:pPr>
                          <w:rPr>
                            <w:sz w:val="18"/>
                            <w:szCs w:val="18"/>
                            <w:lang w:val="en-AU"/>
                          </w:rPr>
                        </w:pPr>
                        <w:r>
                          <w:rPr>
                            <w:bCs/>
                            <w:sz w:val="18"/>
                            <w:szCs w:val="18"/>
                            <w:lang w:val="en-AU"/>
                          </w:rPr>
                          <w:t xml:space="preserve">1. </w:t>
                        </w:r>
                        <w:r>
                          <w:rPr>
                            <w:sz w:val="18"/>
                            <w:szCs w:val="18"/>
                            <w:lang w:val="en-AU"/>
                          </w:rPr>
                          <w:t>Jungiamojo audinio ir skeleto raumenų sistemos ligos M00–M25, M30–M36</w:t>
                        </w:r>
                      </w:p>
                      <w:p>
                        <w:pPr>
                          <w:rPr>
                            <w:bCs/>
                            <w:sz w:val="18"/>
                            <w:szCs w:val="18"/>
                          </w:rPr>
                        </w:pPr>
                        <w:r>
                          <w:rPr>
                            <w:bCs/>
                            <w:sz w:val="18"/>
                            <w:szCs w:val="18"/>
                          </w:rPr>
                          <w:t xml:space="preserve">2.Lėtinės periferinės nervų sistemos ir raumenų ligos </w:t>
                        </w:r>
                        <w:r>
                          <w:rPr>
                            <w:sz w:val="18"/>
                            <w:szCs w:val="18"/>
                          </w:rPr>
                          <w:t>G54–G64, G70–G73</w:t>
                        </w:r>
                      </w:p>
                      <w:p>
                        <w:pPr>
                          <w:rPr>
                            <w:bCs/>
                            <w:sz w:val="18"/>
                            <w:szCs w:val="18"/>
                          </w:rPr>
                        </w:pPr>
                        <w:r>
                          <w:rPr>
                            <w:bCs/>
                            <w:sz w:val="18"/>
                            <w:szCs w:val="18"/>
                          </w:rPr>
                          <w:t xml:space="preserve">3. Obliteruojantis endarteritas, </w:t>
                        </w:r>
                        <w:r>
                          <w:rPr>
                            <w:sz w:val="18"/>
                            <w:szCs w:val="18"/>
                          </w:rPr>
                          <w:t xml:space="preserve">Raynaud sindromas </w:t>
                        </w:r>
                        <w:r>
                          <w:rPr>
                            <w:bCs/>
                            <w:sz w:val="18"/>
                            <w:szCs w:val="18"/>
                          </w:rPr>
                          <w:t>I70–</w:t>
                        </w:r>
                        <w:r>
                          <w:rPr>
                            <w:sz w:val="18"/>
                            <w:szCs w:val="18"/>
                          </w:rPr>
                          <w:t>I73.0</w:t>
                        </w:r>
                      </w:p>
                    </w:tc>
                  </w:tr>
                  <w:tr>
                    <w:trPr>
                      <w:trHeight w:val="930"/>
                    </w:trPr>
                    <w:tc>
                      <w:tcPr>
                        <w:tcW w:w="2383" w:type="dxa"/>
                        <w:vMerge/>
                      </w:tcPr>
                      <w:p>
                        <w:pPr>
                          <w:rPr>
                            <w:sz w:val="18"/>
                            <w:szCs w:val="18"/>
                          </w:rPr>
                        </w:pPr>
                      </w:p>
                    </w:tc>
                    <w:tc>
                      <w:tcPr>
                        <w:tcW w:w="1748" w:type="dxa"/>
                        <w:vMerge/>
                      </w:tcPr>
                      <w:p>
                        <w:pPr>
                          <w:rPr>
                            <w:sz w:val="18"/>
                            <w:szCs w:val="18"/>
                          </w:rPr>
                        </w:pPr>
                      </w:p>
                    </w:tc>
                    <w:tc>
                      <w:tcPr>
                        <w:tcW w:w="1413" w:type="dxa"/>
                        <w:vMerge/>
                      </w:tcPr>
                      <w:p>
                        <w:pPr>
                          <w:rPr>
                            <w:sz w:val="18"/>
                            <w:szCs w:val="18"/>
                          </w:rPr>
                        </w:pPr>
                      </w:p>
                    </w:tc>
                    <w:tc>
                      <w:tcPr>
                        <w:tcW w:w="1938" w:type="dxa"/>
                        <w:gridSpan w:val="2"/>
                        <w:vMerge/>
                      </w:tcPr>
                      <w:p>
                        <w:pPr>
                          <w:rPr>
                            <w:sz w:val="18"/>
                            <w:szCs w:val="18"/>
                          </w:rPr>
                        </w:pPr>
                      </w:p>
                    </w:tc>
                    <w:tc>
                      <w:tcPr>
                        <w:tcW w:w="2106" w:type="dxa"/>
                      </w:tcPr>
                      <w:p>
                        <w:pPr>
                          <w:rPr>
                            <w:bCs/>
                            <w:sz w:val="18"/>
                            <w:szCs w:val="18"/>
                          </w:rPr>
                        </w:pPr>
                        <w:r>
                          <w:rPr>
                            <w:bCs/>
                            <w:sz w:val="18"/>
                            <w:szCs w:val="18"/>
                          </w:rPr>
                          <w:t>Neurologas</w:t>
                        </w:r>
                      </w:p>
                      <w:p>
                        <w:pPr>
                          <w:rPr>
                            <w:sz w:val="18"/>
                            <w:szCs w:val="18"/>
                          </w:rPr>
                        </w:pPr>
                        <w:r>
                          <w:rPr>
                            <w:sz w:val="18"/>
                            <w:szCs w:val="18"/>
                          </w:rPr>
                          <w:t>esant indikacijų – reumatologas</w:t>
                        </w:r>
                      </w:p>
                    </w:tc>
                    <w:tc>
                      <w:tcPr>
                        <w:tcW w:w="2984" w:type="dxa"/>
                        <w:gridSpan w:val="2"/>
                        <w:vMerge/>
                      </w:tcPr>
                      <w:p>
                        <w:pPr>
                          <w:rPr>
                            <w:bCs/>
                            <w:sz w:val="18"/>
                            <w:szCs w:val="18"/>
                          </w:rPr>
                        </w:pPr>
                      </w:p>
                    </w:tc>
                    <w:tc>
                      <w:tcPr>
                        <w:tcW w:w="2168" w:type="dxa"/>
                        <w:vMerge/>
                      </w:tcPr>
                      <w:p>
                        <w:pPr>
                          <w:rPr>
                            <w:bCs/>
                            <w:sz w:val="18"/>
                            <w:szCs w:val="18"/>
                            <w:lang w:val="en-AU"/>
                          </w:rPr>
                        </w:pPr>
                      </w:p>
                    </w:tc>
                  </w:tr>
                  <w:tr>
                    <w:trPr>
                      <w:trHeight w:val="47"/>
                    </w:trPr>
                    <w:tc>
                      <w:tcPr>
                        <w:tcW w:w="2383" w:type="dxa"/>
                        <w:vMerge w:val="restart"/>
                      </w:tcPr>
                      <w:p>
                        <w:pPr>
                          <w:rPr>
                            <w:sz w:val="18"/>
                            <w:szCs w:val="18"/>
                          </w:rPr>
                        </w:pPr>
                        <w:r>
                          <w:rPr>
                            <w:sz w:val="18"/>
                            <w:szCs w:val="18"/>
                          </w:rPr>
                          <w:t>4.2.3. Darbo poza</w:t>
                        </w:r>
                      </w:p>
                    </w:tc>
                    <w:tc>
                      <w:tcPr>
                        <w:tcW w:w="1748" w:type="dxa"/>
                        <w:vMerge w:val="restart"/>
                      </w:tcPr>
                      <w:p>
                        <w:pPr>
                          <w:rPr>
                            <w:sz w:val="18"/>
                            <w:szCs w:val="18"/>
                          </w:rPr>
                        </w:pPr>
                        <w:r>
                          <w:rPr>
                            <w:sz w:val="18"/>
                            <w:szCs w:val="18"/>
                          </w:rPr>
                          <w:t xml:space="preserve">Periodiškai esant nepatogioje, fiksuotoje, priverstinėje padėtyje. </w:t>
                        </w:r>
                      </w:p>
                    </w:tc>
                    <w:tc>
                      <w:tcPr>
                        <w:tcW w:w="1413" w:type="dxa"/>
                        <w:vMerge w:val="restart"/>
                      </w:tcPr>
                      <w:p>
                        <w:pPr>
                          <w:rPr>
                            <w:sz w:val="18"/>
                            <w:szCs w:val="18"/>
                          </w:rPr>
                        </w:pPr>
                        <w:r>
                          <w:rPr>
                            <w:sz w:val="18"/>
                            <w:szCs w:val="18"/>
                          </w:rPr>
                          <w:t>1 kartą per 2 metus</w:t>
                        </w:r>
                      </w:p>
                    </w:tc>
                    <w:tc>
                      <w:tcPr>
                        <w:tcW w:w="1938" w:type="dxa"/>
                        <w:gridSpan w:val="2"/>
                        <w:vMerge w:val="restart"/>
                      </w:tcPr>
                      <w:p>
                        <w:pPr>
                          <w:rPr>
                            <w:sz w:val="18"/>
                            <w:szCs w:val="18"/>
                          </w:rPr>
                        </w:pPr>
                        <w:r>
                          <w:rPr>
                            <w:sz w:val="18"/>
                            <w:szCs w:val="18"/>
                          </w:rPr>
                          <w:t>Šeimos medicinos paslaugas teikiantys gydytojai arba darbo medicinos gydytojas</w:t>
                        </w:r>
                      </w:p>
                    </w:tc>
                    <w:tc>
                      <w:tcPr>
                        <w:tcW w:w="2106" w:type="dxa"/>
                      </w:tcPr>
                      <w:p>
                        <w:pPr>
                          <w:rPr>
                            <w:bCs/>
                            <w:sz w:val="18"/>
                            <w:szCs w:val="18"/>
                          </w:rPr>
                        </w:pPr>
                      </w:p>
                    </w:tc>
                    <w:tc>
                      <w:tcPr>
                        <w:tcW w:w="2984" w:type="dxa"/>
                        <w:gridSpan w:val="2"/>
                        <w:vMerge w:val="restart"/>
                      </w:tcPr>
                      <w:p>
                        <w:pPr>
                          <w:rPr>
                            <w:bCs/>
                            <w:sz w:val="18"/>
                            <w:szCs w:val="18"/>
                          </w:rPr>
                        </w:pPr>
                        <w:r>
                          <w:rPr>
                            <w:bCs/>
                            <w:sz w:val="18"/>
                            <w:szCs w:val="18"/>
                          </w:rPr>
                          <w:t>EKG</w:t>
                        </w:r>
                      </w:p>
                    </w:tc>
                    <w:tc>
                      <w:tcPr>
                        <w:tcW w:w="2168" w:type="dxa"/>
                        <w:vMerge w:val="restart"/>
                      </w:tcPr>
                      <w:p>
                        <w:pPr>
                          <w:rPr>
                            <w:sz w:val="18"/>
                            <w:szCs w:val="18"/>
                            <w:lang w:val="en-AU"/>
                          </w:rPr>
                        </w:pPr>
                        <w:r>
                          <w:rPr>
                            <w:bCs/>
                            <w:sz w:val="18"/>
                            <w:szCs w:val="18"/>
                            <w:lang w:val="en-AU"/>
                          </w:rPr>
                          <w:t xml:space="preserve">1. </w:t>
                        </w:r>
                        <w:r>
                          <w:rPr>
                            <w:sz w:val="18"/>
                            <w:szCs w:val="18"/>
                            <w:lang w:val="en-AU"/>
                          </w:rPr>
                          <w:t>Jungiamojo audinio ir skeleto raumenų sistemos ligos M00–M25, M30–M36</w:t>
                        </w:r>
                      </w:p>
                      <w:p>
                        <w:pPr>
                          <w:rPr>
                            <w:bCs/>
                            <w:sz w:val="18"/>
                            <w:szCs w:val="18"/>
                          </w:rPr>
                        </w:pPr>
                        <w:r>
                          <w:rPr>
                            <w:bCs/>
                            <w:sz w:val="18"/>
                            <w:szCs w:val="18"/>
                          </w:rPr>
                          <w:t xml:space="preserve">2. Lėtinės periferinės nervų sistemos ir raumenų ligos </w:t>
                        </w:r>
                        <w:r>
                          <w:rPr>
                            <w:sz w:val="18"/>
                            <w:szCs w:val="18"/>
                          </w:rPr>
                          <w:t>G60–G64, G70–G73</w:t>
                        </w:r>
                      </w:p>
                      <w:p>
                        <w:pPr>
                          <w:rPr>
                            <w:sz w:val="18"/>
                            <w:szCs w:val="18"/>
                          </w:rPr>
                        </w:pPr>
                        <w:r>
                          <w:rPr>
                            <w:bCs/>
                            <w:sz w:val="18"/>
                            <w:szCs w:val="18"/>
                          </w:rPr>
                          <w:t xml:space="preserve">3. Obliteruojantis endarteritas, </w:t>
                        </w:r>
                        <w:r>
                          <w:rPr>
                            <w:sz w:val="18"/>
                            <w:szCs w:val="18"/>
                          </w:rPr>
                          <w:t xml:space="preserve">Raynaud sindromas </w:t>
                        </w:r>
                        <w:r>
                          <w:rPr>
                            <w:bCs/>
                            <w:sz w:val="18"/>
                            <w:szCs w:val="18"/>
                          </w:rPr>
                          <w:t>I70–</w:t>
                        </w:r>
                        <w:r>
                          <w:rPr>
                            <w:sz w:val="18"/>
                            <w:szCs w:val="18"/>
                          </w:rPr>
                          <w:t>I73.0</w:t>
                        </w:r>
                      </w:p>
                      <w:p>
                        <w:pPr>
                          <w:rPr>
                            <w:bCs/>
                            <w:sz w:val="18"/>
                            <w:szCs w:val="18"/>
                          </w:rPr>
                        </w:pPr>
                        <w:r>
                          <w:rPr>
                            <w:bCs/>
                            <w:sz w:val="18"/>
                            <w:szCs w:val="18"/>
                          </w:rPr>
                          <w:t xml:space="preserve">4. Žymus kojų venų varikozinis išsiplėtimas, </w:t>
                        </w:r>
                        <w:r>
                          <w:rPr>
                            <w:sz w:val="18"/>
                            <w:szCs w:val="18"/>
                          </w:rPr>
                          <w:t>I80–I84</w:t>
                        </w:r>
                      </w:p>
                    </w:tc>
                  </w:tr>
                  <w:tr>
                    <w:trPr>
                      <w:trHeight w:val="1346"/>
                    </w:trPr>
                    <w:tc>
                      <w:tcPr>
                        <w:tcW w:w="2383" w:type="dxa"/>
                        <w:vMerge/>
                      </w:tcPr>
                      <w:p>
                        <w:pPr>
                          <w:rPr>
                            <w:sz w:val="18"/>
                            <w:szCs w:val="18"/>
                          </w:rPr>
                        </w:pPr>
                      </w:p>
                    </w:tc>
                    <w:tc>
                      <w:tcPr>
                        <w:tcW w:w="1748" w:type="dxa"/>
                        <w:vMerge/>
                      </w:tcPr>
                      <w:p>
                        <w:pPr>
                          <w:rPr>
                            <w:sz w:val="18"/>
                            <w:szCs w:val="18"/>
                          </w:rPr>
                        </w:pPr>
                      </w:p>
                    </w:tc>
                    <w:tc>
                      <w:tcPr>
                        <w:tcW w:w="1413" w:type="dxa"/>
                        <w:vMerge/>
                      </w:tcPr>
                      <w:p>
                        <w:pPr>
                          <w:rPr>
                            <w:sz w:val="18"/>
                            <w:szCs w:val="18"/>
                          </w:rPr>
                        </w:pPr>
                      </w:p>
                    </w:tc>
                    <w:tc>
                      <w:tcPr>
                        <w:tcW w:w="1938" w:type="dxa"/>
                        <w:gridSpan w:val="2"/>
                        <w:vMerge/>
                      </w:tcPr>
                      <w:p>
                        <w:pPr>
                          <w:rPr>
                            <w:sz w:val="18"/>
                            <w:szCs w:val="18"/>
                          </w:rPr>
                        </w:pPr>
                      </w:p>
                    </w:tc>
                    <w:tc>
                      <w:tcPr>
                        <w:tcW w:w="2106" w:type="dxa"/>
                      </w:tcPr>
                      <w:p>
                        <w:pPr>
                          <w:rPr>
                            <w:bCs/>
                            <w:sz w:val="18"/>
                            <w:szCs w:val="18"/>
                          </w:rPr>
                        </w:pPr>
                        <w:r>
                          <w:rPr>
                            <w:bCs/>
                            <w:sz w:val="18"/>
                            <w:szCs w:val="18"/>
                          </w:rPr>
                          <w:t>Neurologas,</w:t>
                        </w:r>
                      </w:p>
                      <w:p>
                        <w:pPr>
                          <w:rPr>
                            <w:sz w:val="18"/>
                            <w:szCs w:val="18"/>
                          </w:rPr>
                        </w:pPr>
                        <w:r>
                          <w:rPr>
                            <w:sz w:val="18"/>
                            <w:szCs w:val="18"/>
                          </w:rPr>
                          <w:t>esant indikacijų – kardiologas</w:t>
                        </w:r>
                      </w:p>
                      <w:p>
                        <w:pPr>
                          <w:rPr>
                            <w:bCs/>
                            <w:sz w:val="18"/>
                            <w:szCs w:val="18"/>
                          </w:rPr>
                        </w:pPr>
                        <w:r>
                          <w:rPr>
                            <w:sz w:val="18"/>
                            <w:szCs w:val="18"/>
                          </w:rPr>
                          <w:t>reumatologas</w:t>
                        </w:r>
                      </w:p>
                    </w:tc>
                    <w:tc>
                      <w:tcPr>
                        <w:tcW w:w="2984" w:type="dxa"/>
                        <w:gridSpan w:val="2"/>
                        <w:vMerge/>
                      </w:tcPr>
                      <w:p>
                        <w:pPr>
                          <w:rPr>
                            <w:bCs/>
                            <w:sz w:val="18"/>
                            <w:szCs w:val="18"/>
                          </w:rPr>
                        </w:pPr>
                      </w:p>
                    </w:tc>
                    <w:tc>
                      <w:tcPr>
                        <w:tcW w:w="2168" w:type="dxa"/>
                        <w:vMerge/>
                      </w:tcPr>
                      <w:p>
                        <w:pPr>
                          <w:rPr>
                            <w:bCs/>
                            <w:sz w:val="18"/>
                            <w:szCs w:val="18"/>
                            <w:lang w:val="en-AU"/>
                          </w:rPr>
                        </w:pPr>
                      </w:p>
                    </w:tc>
                  </w:tr>
                  <w:tr>
                    <w:trPr>
                      <w:trHeight w:val="178"/>
                    </w:trPr>
                    <w:tc>
                      <w:tcPr>
                        <w:tcW w:w="2383" w:type="dxa"/>
                        <w:tcBorders>
                          <w:bottom w:val="single" w:sz="4" w:space="0" w:color="auto"/>
                        </w:tcBorders>
                      </w:tcPr>
                      <w:p>
                        <w:pPr>
                          <w:pageBreakBefore/>
                          <w:rPr>
                            <w:sz w:val="18"/>
                            <w:szCs w:val="18"/>
                          </w:rPr>
                        </w:pPr>
                        <w:r>
                          <w:rPr>
                            <w:sz w:val="18"/>
                            <w:szCs w:val="18"/>
                          </w:rPr>
                          <w:t>4.3.Darbo įtampa</w:t>
                        </w:r>
                      </w:p>
                    </w:tc>
                    <w:tc>
                      <w:tcPr>
                        <w:tcW w:w="1748" w:type="dxa"/>
                        <w:tcBorders>
                          <w:bottom w:val="single" w:sz="4" w:space="0" w:color="auto"/>
                        </w:tcBorders>
                      </w:tcPr>
                      <w:p>
                        <w:pPr>
                          <w:pageBreakBefore/>
                          <w:rPr>
                            <w:sz w:val="18"/>
                            <w:szCs w:val="18"/>
                          </w:rPr>
                        </w:pPr>
                      </w:p>
                    </w:tc>
                    <w:tc>
                      <w:tcPr>
                        <w:tcW w:w="1413" w:type="dxa"/>
                        <w:tcBorders>
                          <w:bottom w:val="single" w:sz="4" w:space="0" w:color="auto"/>
                        </w:tcBorders>
                      </w:tcPr>
                      <w:p>
                        <w:pPr>
                          <w:pageBreakBefore/>
                          <w:rPr>
                            <w:sz w:val="18"/>
                            <w:szCs w:val="18"/>
                          </w:rPr>
                        </w:pPr>
                      </w:p>
                    </w:tc>
                    <w:tc>
                      <w:tcPr>
                        <w:tcW w:w="1938" w:type="dxa"/>
                        <w:gridSpan w:val="2"/>
                        <w:tcBorders>
                          <w:bottom w:val="single" w:sz="4" w:space="0" w:color="auto"/>
                        </w:tcBorders>
                      </w:tcPr>
                      <w:p>
                        <w:pPr>
                          <w:pageBreakBefore/>
                          <w:rPr>
                            <w:bCs/>
                            <w:sz w:val="18"/>
                            <w:szCs w:val="18"/>
                          </w:rPr>
                        </w:pPr>
                      </w:p>
                    </w:tc>
                    <w:tc>
                      <w:tcPr>
                        <w:tcW w:w="2106" w:type="dxa"/>
                        <w:tcBorders>
                          <w:bottom w:val="single" w:sz="4" w:space="0" w:color="auto"/>
                        </w:tcBorders>
                      </w:tcPr>
                      <w:p>
                        <w:pPr>
                          <w:pageBreakBefore/>
                          <w:rPr>
                            <w:sz w:val="18"/>
                            <w:szCs w:val="18"/>
                          </w:rPr>
                        </w:pPr>
                      </w:p>
                    </w:tc>
                    <w:tc>
                      <w:tcPr>
                        <w:tcW w:w="2984" w:type="dxa"/>
                        <w:gridSpan w:val="2"/>
                        <w:tcBorders>
                          <w:bottom w:val="single" w:sz="4" w:space="0" w:color="auto"/>
                        </w:tcBorders>
                      </w:tcPr>
                      <w:p>
                        <w:pPr>
                          <w:pageBreakBefore/>
                          <w:rPr>
                            <w:sz w:val="18"/>
                            <w:szCs w:val="18"/>
                          </w:rPr>
                        </w:pPr>
                      </w:p>
                    </w:tc>
                    <w:tc>
                      <w:tcPr>
                        <w:tcW w:w="2168" w:type="dxa"/>
                        <w:tcBorders>
                          <w:bottom w:val="single" w:sz="4" w:space="0" w:color="auto"/>
                        </w:tcBorders>
                      </w:tcPr>
                      <w:p>
                        <w:pPr>
                          <w:pageBreakBefore/>
                          <w:rPr>
                            <w:sz w:val="18"/>
                            <w:szCs w:val="18"/>
                          </w:rPr>
                        </w:pPr>
                      </w:p>
                    </w:tc>
                  </w:tr>
                  <w:tr>
                    <w:trPr>
                      <w:cantSplit/>
                    </w:trPr>
                    <w:tc>
                      <w:tcPr>
                        <w:tcW w:w="2383" w:type="dxa"/>
                        <w:tcBorders>
                          <w:top w:val="single" w:sz="4" w:space="0" w:color="auto"/>
                          <w:bottom w:val="single" w:sz="4" w:space="0" w:color="auto"/>
                        </w:tcBorders>
                      </w:tcPr>
                      <w:p>
                        <w:pPr>
                          <w:rPr>
                            <w:sz w:val="18"/>
                            <w:szCs w:val="18"/>
                          </w:rPr>
                        </w:pPr>
                        <w:r>
                          <w:rPr>
                            <w:sz w:val="18"/>
                            <w:szCs w:val="18"/>
                          </w:rPr>
                          <w:t>4.3.1.analizatoriai</w:t>
                        </w:r>
                      </w:p>
                    </w:tc>
                    <w:tc>
                      <w:tcPr>
                        <w:tcW w:w="1748" w:type="dxa"/>
                        <w:tcBorders>
                          <w:top w:val="single" w:sz="4" w:space="0" w:color="auto"/>
                          <w:bottom w:val="single" w:sz="4" w:space="0" w:color="auto"/>
                        </w:tcBorders>
                      </w:tcPr>
                      <w:p>
                        <w:pPr>
                          <w:rPr>
                            <w:sz w:val="18"/>
                            <w:szCs w:val="18"/>
                          </w:rPr>
                        </w:pPr>
                      </w:p>
                    </w:tc>
                    <w:tc>
                      <w:tcPr>
                        <w:tcW w:w="1413" w:type="dxa"/>
                        <w:tcBorders>
                          <w:top w:val="single" w:sz="4" w:space="0" w:color="auto"/>
                          <w:bottom w:val="single" w:sz="4" w:space="0" w:color="auto"/>
                        </w:tcBorders>
                      </w:tcPr>
                      <w:p>
                        <w:pPr>
                          <w:widowControl w:val="0"/>
                          <w:rPr>
                            <w:sz w:val="18"/>
                            <w:szCs w:val="18"/>
                          </w:rPr>
                        </w:pPr>
                      </w:p>
                    </w:tc>
                    <w:tc>
                      <w:tcPr>
                        <w:tcW w:w="1938" w:type="dxa"/>
                        <w:gridSpan w:val="2"/>
                        <w:tcBorders>
                          <w:top w:val="single" w:sz="4" w:space="0" w:color="auto"/>
                          <w:bottom w:val="single" w:sz="4" w:space="0" w:color="auto"/>
                        </w:tcBorders>
                      </w:tcPr>
                      <w:p>
                        <w:pPr>
                          <w:rPr>
                            <w:bCs/>
                            <w:sz w:val="18"/>
                            <w:szCs w:val="18"/>
                          </w:rPr>
                        </w:pPr>
                      </w:p>
                    </w:tc>
                    <w:tc>
                      <w:tcPr>
                        <w:tcW w:w="2106" w:type="dxa"/>
                        <w:tcBorders>
                          <w:top w:val="single" w:sz="4" w:space="0" w:color="auto"/>
                          <w:bottom w:val="single" w:sz="4" w:space="0" w:color="auto"/>
                        </w:tcBorders>
                      </w:tcPr>
                      <w:p>
                        <w:pPr>
                          <w:rPr>
                            <w:sz w:val="18"/>
                            <w:szCs w:val="18"/>
                          </w:rPr>
                        </w:pPr>
                      </w:p>
                    </w:tc>
                    <w:tc>
                      <w:tcPr>
                        <w:tcW w:w="2984" w:type="dxa"/>
                        <w:gridSpan w:val="2"/>
                        <w:tcBorders>
                          <w:top w:val="single" w:sz="4" w:space="0" w:color="auto"/>
                          <w:bottom w:val="single" w:sz="4" w:space="0" w:color="auto"/>
                        </w:tcBorders>
                      </w:tcPr>
                      <w:p>
                        <w:pPr>
                          <w:rPr>
                            <w:sz w:val="18"/>
                            <w:szCs w:val="18"/>
                          </w:rPr>
                        </w:pPr>
                      </w:p>
                    </w:tc>
                    <w:tc>
                      <w:tcPr>
                        <w:tcW w:w="2168" w:type="dxa"/>
                        <w:tcBorders>
                          <w:top w:val="single" w:sz="4" w:space="0" w:color="auto"/>
                          <w:bottom w:val="single" w:sz="4" w:space="0" w:color="auto"/>
                        </w:tcBorders>
                      </w:tcPr>
                      <w:p>
                        <w:pPr>
                          <w:rPr>
                            <w:sz w:val="18"/>
                            <w:szCs w:val="18"/>
                          </w:rPr>
                        </w:pPr>
                      </w:p>
                    </w:tc>
                  </w:tr>
                  <w:tr>
                    <w:trPr>
                      <w:trHeight w:val="6929"/>
                    </w:trPr>
                    <w:tc>
                      <w:tcPr>
                        <w:tcW w:w="2383" w:type="dxa"/>
                        <w:vMerge w:val="restart"/>
                        <w:tcBorders>
                          <w:top w:val="single" w:sz="4" w:space="0" w:color="auto"/>
                        </w:tcBorders>
                      </w:tcPr>
                      <w:p>
                        <w:pPr>
                          <w:rPr>
                            <w:sz w:val="18"/>
                            <w:szCs w:val="18"/>
                          </w:rPr>
                        </w:pPr>
                        <w:r>
                          <w:rPr>
                            <w:sz w:val="18"/>
                            <w:szCs w:val="18"/>
                          </w:rPr>
                          <w:t>4.3.1.1. Padidėjusi regėjimo įtampa, stebimo objekto dydis</w:t>
                        </w:r>
                      </w:p>
                    </w:tc>
                    <w:tc>
                      <w:tcPr>
                        <w:tcW w:w="1748" w:type="dxa"/>
                        <w:tcBorders>
                          <w:top w:val="single" w:sz="4" w:space="0" w:color="auto"/>
                          <w:bottom w:val="single" w:sz="4" w:space="0" w:color="auto"/>
                        </w:tcBorders>
                      </w:tcPr>
                      <w:p>
                        <w:pPr>
                          <w:rPr>
                            <w:sz w:val="18"/>
                            <w:szCs w:val="18"/>
                          </w:rPr>
                        </w:pPr>
                        <w:r>
                          <w:rPr>
                            <w:sz w:val="18"/>
                            <w:szCs w:val="18"/>
                          </w:rPr>
                          <w:t>Visos darbo rūšys, susijusios su regėjimo įtampa</w:t>
                        </w:r>
                      </w:p>
                      <w:p>
                        <w:pPr>
                          <w:rPr>
                            <w:sz w:val="18"/>
                            <w:szCs w:val="18"/>
                          </w:rPr>
                        </w:pPr>
                        <w:r>
                          <w:rPr>
                            <w:sz w:val="18"/>
                            <w:szCs w:val="18"/>
                          </w:rPr>
                          <w:t>a) I° (su objektu iki 0,15 mm) ir II° (su objektu nuo 0,15 iki 0,3 mm) preciziniai darbai</w:t>
                        </w:r>
                      </w:p>
                    </w:tc>
                    <w:tc>
                      <w:tcPr>
                        <w:tcW w:w="1413" w:type="dxa"/>
                        <w:vMerge w:val="restart"/>
                        <w:tcBorders>
                          <w:top w:val="single" w:sz="4" w:space="0" w:color="auto"/>
                        </w:tcBorders>
                      </w:tcPr>
                      <w:p>
                        <w:pPr>
                          <w:rPr>
                            <w:sz w:val="18"/>
                            <w:szCs w:val="18"/>
                          </w:rPr>
                        </w:pPr>
                        <w:r>
                          <w:rPr>
                            <w:sz w:val="18"/>
                            <w:szCs w:val="18"/>
                          </w:rPr>
                          <w:t>1 kartą per 2 metus</w:t>
                        </w:r>
                      </w:p>
                    </w:tc>
                    <w:tc>
                      <w:tcPr>
                        <w:tcW w:w="1938" w:type="dxa"/>
                        <w:gridSpan w:val="2"/>
                        <w:vMerge w:val="restart"/>
                        <w:tcBorders>
                          <w:top w:val="single" w:sz="4" w:space="0" w:color="auto"/>
                        </w:tcBorders>
                      </w:tcPr>
                      <w:p>
                        <w:pPr>
                          <w:rPr>
                            <w:sz w:val="18"/>
                            <w:szCs w:val="18"/>
                          </w:rPr>
                        </w:pPr>
                        <w:r>
                          <w:rPr>
                            <w:sz w:val="18"/>
                            <w:szCs w:val="18"/>
                          </w:rPr>
                          <w:t>Šeimos medicinos paslaugas teikiantys gydytojai arba darbo medicinos gydytojas</w:t>
                        </w:r>
                      </w:p>
                    </w:tc>
                    <w:tc>
                      <w:tcPr>
                        <w:tcW w:w="2106" w:type="dxa"/>
                        <w:tcBorders>
                          <w:top w:val="single" w:sz="4" w:space="0" w:color="auto"/>
                          <w:bottom w:val="single" w:sz="4" w:space="0" w:color="auto"/>
                        </w:tcBorders>
                      </w:tcPr>
                      <w:p>
                        <w:pPr>
                          <w:rPr>
                            <w:sz w:val="18"/>
                            <w:szCs w:val="18"/>
                          </w:rPr>
                        </w:pPr>
                        <w:r>
                          <w:rPr>
                            <w:sz w:val="18"/>
                            <w:szCs w:val="18"/>
                          </w:rPr>
                          <w:t>Oftalmologas</w:t>
                        </w:r>
                      </w:p>
                    </w:tc>
                    <w:tc>
                      <w:tcPr>
                        <w:tcW w:w="2984" w:type="dxa"/>
                        <w:gridSpan w:val="2"/>
                        <w:tcBorders>
                          <w:top w:val="single" w:sz="4" w:space="0" w:color="auto"/>
                          <w:bottom w:val="single" w:sz="4" w:space="0" w:color="auto"/>
                        </w:tcBorders>
                      </w:tcPr>
                      <w:p>
                        <w:pPr>
                          <w:rPr>
                            <w:sz w:val="18"/>
                            <w:szCs w:val="18"/>
                          </w:rPr>
                        </w:pPr>
                        <w:r>
                          <w:rPr>
                            <w:sz w:val="18"/>
                            <w:szCs w:val="18"/>
                          </w:rPr>
                          <w:t>Regėjimo aštrumo, akispūdžio nustatymas</w:t>
                        </w:r>
                      </w:p>
                    </w:tc>
                    <w:tc>
                      <w:tcPr>
                        <w:tcW w:w="2168" w:type="dxa"/>
                        <w:tcBorders>
                          <w:top w:val="single" w:sz="4" w:space="0" w:color="auto"/>
                          <w:bottom w:val="single" w:sz="4" w:space="0" w:color="auto"/>
                        </w:tcBorders>
                      </w:tcPr>
                      <w:p>
                        <w:pPr>
                          <w:rPr>
                            <w:sz w:val="18"/>
                            <w:szCs w:val="18"/>
                          </w:rPr>
                        </w:pPr>
                        <w:r>
                          <w:rPr>
                            <w:sz w:val="18"/>
                            <w:szCs w:val="18"/>
                          </w:rPr>
                          <w:t>1. Regėjimas su korekcija: išankstinio tikrinimo metu – mažiau kaip 1,0, periodinių tikrinimų metu – mažiau kaip 0,8 viena ir 0,5 kita akimi</w:t>
                        </w:r>
                      </w:p>
                      <w:p>
                        <w:pPr>
                          <w:rPr>
                            <w:sz w:val="18"/>
                            <w:szCs w:val="18"/>
                          </w:rPr>
                        </w:pPr>
                        <w:r>
                          <w:rPr>
                            <w:sz w:val="18"/>
                            <w:szCs w:val="18"/>
                          </w:rPr>
                          <w:t xml:space="preserve">2. Refrakcijos anomalijos H52: išankstinio tikrinimo metu: miopija – daugiau kaip 3 D, </w:t>
                        </w:r>
                      </w:p>
                      <w:p>
                        <w:pPr>
                          <w:rPr>
                            <w:sz w:val="18"/>
                            <w:szCs w:val="18"/>
                          </w:rPr>
                        </w:pPr>
                        <w:r>
                          <w:rPr>
                            <w:sz w:val="18"/>
                            <w:szCs w:val="18"/>
                          </w:rPr>
                          <w:t xml:space="preserve">hipermetropija – daugiau kaip 3 D, </w:t>
                        </w:r>
                      </w:p>
                      <w:p>
                        <w:pPr>
                          <w:rPr>
                            <w:sz w:val="18"/>
                            <w:szCs w:val="18"/>
                          </w:rPr>
                        </w:pPr>
                        <w:r>
                          <w:rPr>
                            <w:sz w:val="18"/>
                            <w:szCs w:val="18"/>
                          </w:rPr>
                          <w:t xml:space="preserve">astigmatizmas – daugiau kaip 1,5 D, </w:t>
                        </w:r>
                      </w:p>
                      <w:p>
                        <w:pPr>
                          <w:rPr>
                            <w:sz w:val="18"/>
                            <w:szCs w:val="18"/>
                          </w:rPr>
                        </w:pPr>
                        <w:r>
                          <w:rPr>
                            <w:sz w:val="18"/>
                            <w:szCs w:val="18"/>
                          </w:rPr>
                          <w:t xml:space="preserve">periodiškų tikrinimų metu: miopija – daugiau kaip 6,0 D, </w:t>
                        </w:r>
                      </w:p>
                      <w:p>
                        <w:pPr>
                          <w:rPr>
                            <w:sz w:val="18"/>
                            <w:szCs w:val="18"/>
                          </w:rPr>
                        </w:pPr>
                        <w:r>
                          <w:rPr>
                            <w:sz w:val="18"/>
                            <w:szCs w:val="18"/>
                          </w:rPr>
                          <w:t xml:space="preserve">hipermetropija – daugiau kaip 4,0 D, </w:t>
                        </w:r>
                      </w:p>
                      <w:p>
                        <w:pPr>
                          <w:rPr>
                            <w:sz w:val="18"/>
                            <w:szCs w:val="18"/>
                          </w:rPr>
                        </w:pPr>
                        <w:r>
                          <w:rPr>
                            <w:sz w:val="18"/>
                            <w:szCs w:val="18"/>
                          </w:rPr>
                          <w:t>astigmatizmas – daugiau kaip 2,0 D</w:t>
                        </w:r>
                      </w:p>
                      <w:p>
                        <w:pPr>
                          <w:rPr>
                            <w:sz w:val="18"/>
                            <w:szCs w:val="18"/>
                          </w:rPr>
                        </w:pPr>
                        <w:r>
                          <w:rPr>
                            <w:sz w:val="18"/>
                            <w:szCs w:val="18"/>
                          </w:rPr>
                          <w:t>3. Akomodacijos susilpnėjimas ne pagal amžių H45- H51</w:t>
                        </w:r>
                      </w:p>
                      <w:p>
                        <w:pPr>
                          <w:rPr>
                            <w:sz w:val="18"/>
                            <w:szCs w:val="18"/>
                          </w:rPr>
                        </w:pPr>
                        <w:r>
                          <w:rPr>
                            <w:sz w:val="18"/>
                            <w:szCs w:val="18"/>
                          </w:rPr>
                          <w:t>4. Lagoftalmas H02.2</w:t>
                        </w:r>
                      </w:p>
                      <w:p>
                        <w:pPr>
                          <w:rPr>
                            <w:sz w:val="18"/>
                            <w:szCs w:val="18"/>
                          </w:rPr>
                        </w:pPr>
                        <w:r>
                          <w:rPr>
                            <w:sz w:val="18"/>
                            <w:szCs w:val="18"/>
                          </w:rPr>
                          <w:t xml:space="preserve">5. Lėtinės priekinės akių dalies ligos (vokų, junginės, ragenos, ašarų takų) H04.3–H02. H10.4 </w:t>
                        </w:r>
                      </w:p>
                      <w:p>
                        <w:pPr>
                          <w:rPr>
                            <w:sz w:val="18"/>
                            <w:szCs w:val="18"/>
                          </w:rPr>
                        </w:pPr>
                        <w:r>
                          <w:rPr>
                            <w:sz w:val="18"/>
                            <w:szCs w:val="18"/>
                          </w:rPr>
                          <w:t>6. Regos nervo ir tinklainės ligos H30–H36, H46–H48</w:t>
                        </w:r>
                      </w:p>
                      <w:p>
                        <w:pPr>
                          <w:rPr>
                            <w:sz w:val="18"/>
                            <w:szCs w:val="18"/>
                          </w:rPr>
                        </w:pPr>
                        <w:r>
                          <w:rPr>
                            <w:sz w:val="18"/>
                            <w:szCs w:val="18"/>
                          </w:rPr>
                          <w:t>7. Glaukoma H40, H42. Individualiais atvejais sprendžia gydytojas oftalmologas</w:t>
                        </w:r>
                      </w:p>
                    </w:tc>
                  </w:tr>
                  <w:tr>
                    <w:trPr>
                      <w:trHeight w:val="1010"/>
                    </w:trPr>
                    <w:tc>
                      <w:tcPr>
                        <w:tcW w:w="2383" w:type="dxa"/>
                        <w:vMerge/>
                      </w:tcPr>
                      <w:p>
                        <w:pPr>
                          <w:rPr>
                            <w:sz w:val="18"/>
                            <w:szCs w:val="18"/>
                          </w:rPr>
                        </w:pPr>
                      </w:p>
                    </w:tc>
                    <w:tc>
                      <w:tcPr>
                        <w:tcW w:w="1748" w:type="dxa"/>
                        <w:tcBorders>
                          <w:top w:val="single" w:sz="4" w:space="0" w:color="auto"/>
                        </w:tcBorders>
                      </w:tcPr>
                      <w:p>
                        <w:pPr>
                          <w:rPr>
                            <w:sz w:val="18"/>
                            <w:szCs w:val="18"/>
                          </w:rPr>
                        </w:pPr>
                        <w:r>
                          <w:rPr>
                            <w:sz w:val="18"/>
                            <w:szCs w:val="18"/>
                          </w:rPr>
                          <w:t>b) III ir IV laipsnio tikslumo (0,5–1 mm) darbai įtempus regėjimą: informacijos stebėjimas ekrane ir pan.</w:t>
                        </w:r>
                      </w:p>
                    </w:tc>
                    <w:tc>
                      <w:tcPr>
                        <w:tcW w:w="1413" w:type="dxa"/>
                        <w:vMerge/>
                      </w:tcPr>
                      <w:p>
                        <w:pPr>
                          <w:widowControl w:val="0"/>
                          <w:rPr>
                            <w:sz w:val="18"/>
                            <w:szCs w:val="18"/>
                          </w:rPr>
                        </w:pPr>
                      </w:p>
                    </w:tc>
                    <w:tc>
                      <w:tcPr>
                        <w:tcW w:w="1938" w:type="dxa"/>
                        <w:gridSpan w:val="2"/>
                        <w:vMerge/>
                      </w:tcPr>
                      <w:p>
                        <w:pPr>
                          <w:rPr>
                            <w:sz w:val="18"/>
                            <w:szCs w:val="18"/>
                          </w:rPr>
                        </w:pPr>
                      </w:p>
                    </w:tc>
                    <w:tc>
                      <w:tcPr>
                        <w:tcW w:w="2106" w:type="dxa"/>
                        <w:tcBorders>
                          <w:top w:val="single" w:sz="4" w:space="0" w:color="auto"/>
                        </w:tcBorders>
                      </w:tcPr>
                      <w:p>
                        <w:pPr>
                          <w:rPr>
                            <w:sz w:val="18"/>
                            <w:szCs w:val="18"/>
                          </w:rPr>
                        </w:pPr>
                        <w:r>
                          <w:rPr>
                            <w:sz w:val="18"/>
                            <w:szCs w:val="18"/>
                          </w:rPr>
                          <w:t>Oftalmologas</w:t>
                        </w:r>
                      </w:p>
                    </w:tc>
                    <w:tc>
                      <w:tcPr>
                        <w:tcW w:w="2984" w:type="dxa"/>
                        <w:gridSpan w:val="2"/>
                        <w:tcBorders>
                          <w:top w:val="single" w:sz="4" w:space="0" w:color="auto"/>
                        </w:tcBorders>
                      </w:tcPr>
                      <w:p>
                        <w:pPr>
                          <w:rPr>
                            <w:sz w:val="18"/>
                            <w:szCs w:val="18"/>
                          </w:rPr>
                        </w:pPr>
                        <w:r>
                          <w:rPr>
                            <w:sz w:val="18"/>
                            <w:szCs w:val="18"/>
                          </w:rPr>
                          <w:t>Regėjimo aštrumo, akispūdžio, binokulinio regėjimo nustatymas</w:t>
                        </w:r>
                      </w:p>
                    </w:tc>
                    <w:tc>
                      <w:tcPr>
                        <w:tcW w:w="2168" w:type="dxa"/>
                        <w:tcBorders>
                          <w:top w:val="single" w:sz="4" w:space="0" w:color="auto"/>
                        </w:tcBorders>
                      </w:tcPr>
                      <w:p>
                        <w:pPr>
                          <w:rPr>
                            <w:sz w:val="18"/>
                            <w:szCs w:val="18"/>
                          </w:rPr>
                        </w:pPr>
                        <w:r>
                          <w:rPr>
                            <w:sz w:val="18"/>
                            <w:szCs w:val="18"/>
                          </w:rPr>
                          <w:t>1. Regėjimas su korekcija – ne mažesnis kaip 0,5 viena ir 0,2 – kita akimi</w:t>
                        </w:r>
                      </w:p>
                      <w:p>
                        <w:pPr>
                          <w:rPr>
                            <w:sz w:val="18"/>
                            <w:szCs w:val="18"/>
                          </w:rPr>
                        </w:pPr>
                        <w:r>
                          <w:rPr>
                            <w:sz w:val="18"/>
                            <w:szCs w:val="18"/>
                          </w:rPr>
                          <w:t xml:space="preserve">Refrakcijos anomalijos H52: </w:t>
                        </w:r>
                      </w:p>
                      <w:p>
                        <w:pPr>
                          <w:rPr>
                            <w:sz w:val="18"/>
                            <w:szCs w:val="18"/>
                          </w:rPr>
                        </w:pPr>
                        <w:r>
                          <w:rPr>
                            <w:sz w:val="18"/>
                            <w:szCs w:val="18"/>
                          </w:rPr>
                          <w:t xml:space="preserve">miopija – daugiau kaip </w:t>
                          <w:br/>
                          <w:t>8,0 D,</w:t>
                        </w:r>
                      </w:p>
                      <w:p>
                        <w:pPr>
                          <w:rPr>
                            <w:sz w:val="18"/>
                            <w:szCs w:val="18"/>
                          </w:rPr>
                        </w:pPr>
                        <w:r>
                          <w:rPr>
                            <w:sz w:val="18"/>
                            <w:szCs w:val="18"/>
                          </w:rPr>
                          <w:t>hipermetropija – daugiau kaip 6,0 D,</w:t>
                        </w:r>
                      </w:p>
                      <w:p>
                        <w:pPr>
                          <w:rPr>
                            <w:sz w:val="18"/>
                            <w:szCs w:val="18"/>
                          </w:rPr>
                        </w:pPr>
                        <w:r>
                          <w:rPr>
                            <w:sz w:val="18"/>
                            <w:szCs w:val="18"/>
                          </w:rPr>
                          <w:t>astigmatizmas – daugiau kaip 2,0 D</w:t>
                        </w:r>
                      </w:p>
                      <w:p>
                        <w:pPr>
                          <w:rPr>
                            <w:sz w:val="18"/>
                            <w:szCs w:val="18"/>
                          </w:rPr>
                        </w:pPr>
                        <w:r>
                          <w:rPr>
                            <w:sz w:val="18"/>
                            <w:szCs w:val="18"/>
                          </w:rPr>
                          <w:t>2. Binokulinio regėjimo nebuvimas H49–H52</w:t>
                        </w:r>
                      </w:p>
                      <w:p>
                        <w:pPr>
                          <w:rPr>
                            <w:sz w:val="18"/>
                            <w:szCs w:val="18"/>
                          </w:rPr>
                        </w:pPr>
                        <w:r>
                          <w:rPr>
                            <w:sz w:val="18"/>
                            <w:szCs w:val="18"/>
                          </w:rPr>
                          <w:t>3. Akomodacijos susilpnėjimas ne pagal amžių H45– H51</w:t>
                        </w:r>
                      </w:p>
                      <w:p>
                        <w:pPr>
                          <w:rPr>
                            <w:sz w:val="18"/>
                            <w:szCs w:val="18"/>
                          </w:rPr>
                        </w:pPr>
                        <w:r>
                          <w:rPr>
                            <w:sz w:val="18"/>
                            <w:szCs w:val="18"/>
                          </w:rPr>
                          <w:t>4. Lagoftalmas H02.2</w:t>
                        </w:r>
                      </w:p>
                      <w:p>
                        <w:pPr>
                          <w:rPr>
                            <w:sz w:val="18"/>
                            <w:szCs w:val="18"/>
                          </w:rPr>
                        </w:pPr>
                        <w:r>
                          <w:rPr>
                            <w:sz w:val="18"/>
                            <w:szCs w:val="18"/>
                          </w:rPr>
                          <w:t xml:space="preserve">5. Lėtinės priekinės akių dalies ligos (vokų, junginės, ragenos, ašarų takų) H04.3–H02. H10.4 </w:t>
                        </w:r>
                      </w:p>
                      <w:p>
                        <w:pPr>
                          <w:rPr>
                            <w:sz w:val="18"/>
                            <w:szCs w:val="18"/>
                          </w:rPr>
                        </w:pPr>
                        <w:r>
                          <w:rPr>
                            <w:sz w:val="18"/>
                            <w:szCs w:val="18"/>
                          </w:rPr>
                          <w:t>6. Regos nervo ir tinklainės ligos H30–H36, H46–H48</w:t>
                        </w:r>
                      </w:p>
                      <w:p>
                        <w:pPr>
                          <w:rPr>
                            <w:sz w:val="18"/>
                            <w:szCs w:val="18"/>
                          </w:rPr>
                        </w:pPr>
                        <w:r>
                          <w:rPr>
                            <w:sz w:val="18"/>
                            <w:szCs w:val="18"/>
                          </w:rPr>
                          <w:t>7. Glaukoma H40, H42. Individualiais atvejais dėl galimybės dirbti sprendžia gydytojas oftalmologas.</w:t>
                        </w:r>
                      </w:p>
                    </w:tc>
                  </w:tr>
                  <w:tr>
                    <w:trPr>
                      <w:cantSplit/>
                    </w:trPr>
                    <w:tc>
                      <w:tcPr>
                        <w:tcW w:w="2383" w:type="dxa"/>
                      </w:tcPr>
                      <w:p>
                        <w:pPr>
                          <w:rPr>
                            <w:sz w:val="18"/>
                            <w:szCs w:val="18"/>
                          </w:rPr>
                        </w:pPr>
                        <w:r>
                          <w:rPr>
                            <w:sz w:val="18"/>
                            <w:szCs w:val="18"/>
                          </w:rPr>
                          <w:t xml:space="preserve">4.3.1.2. Padidėjusi klausos įtampa  (darbo procesui būtini aiškiai suprantami žodžiai ir signalai)</w:t>
                        </w:r>
                      </w:p>
                    </w:tc>
                    <w:tc>
                      <w:tcPr>
                        <w:tcW w:w="1748" w:type="dxa"/>
                      </w:tcPr>
                      <w:p>
                        <w:pPr>
                          <w:rPr>
                            <w:sz w:val="18"/>
                            <w:szCs w:val="18"/>
                          </w:rPr>
                        </w:pPr>
                        <w:r>
                          <w:rPr>
                            <w:sz w:val="18"/>
                            <w:szCs w:val="18"/>
                          </w:rPr>
                          <w:t>Darbai dispečerinėse, informacines paslaugas telefonu teikiančiose tarnybose ir pan.</w:t>
                        </w:r>
                      </w:p>
                    </w:tc>
                    <w:tc>
                      <w:tcPr>
                        <w:tcW w:w="1413" w:type="dxa"/>
                      </w:tcPr>
                      <w:p>
                        <w:pPr>
                          <w:rPr>
                            <w:sz w:val="18"/>
                            <w:szCs w:val="18"/>
                          </w:rPr>
                        </w:pPr>
                        <w:r>
                          <w:rPr>
                            <w:sz w:val="18"/>
                            <w:szCs w:val="18"/>
                          </w:rPr>
                          <w:t>1 kartą per 2 metus</w:t>
                        </w:r>
                      </w:p>
                    </w:tc>
                    <w:tc>
                      <w:tcPr>
                        <w:tcW w:w="1938" w:type="dxa"/>
                        <w:gridSpan w:val="2"/>
                      </w:tcPr>
                      <w:p>
                        <w:pPr>
                          <w:rPr>
                            <w:sz w:val="18"/>
                            <w:szCs w:val="18"/>
                          </w:rPr>
                        </w:pPr>
                        <w:r>
                          <w:rPr>
                            <w:sz w:val="18"/>
                            <w:szCs w:val="18"/>
                          </w:rPr>
                          <w:t>Šeimos medicinos paslaugas teikiantys gydytojai arba darbo medicinos gydytojas</w:t>
                        </w:r>
                      </w:p>
                    </w:tc>
                    <w:tc>
                      <w:tcPr>
                        <w:tcW w:w="2106" w:type="dxa"/>
                      </w:tcPr>
                      <w:p>
                        <w:pPr>
                          <w:rPr>
                            <w:sz w:val="18"/>
                            <w:szCs w:val="18"/>
                          </w:rPr>
                        </w:pPr>
                        <w:r>
                          <w:rPr>
                            <w:sz w:val="18"/>
                            <w:szCs w:val="18"/>
                          </w:rPr>
                          <w:t>Otorinolaringologas</w:t>
                        </w:r>
                      </w:p>
                    </w:tc>
                    <w:tc>
                      <w:tcPr>
                        <w:tcW w:w="2984" w:type="dxa"/>
                        <w:gridSpan w:val="2"/>
                      </w:tcPr>
                      <w:p>
                        <w:pPr>
                          <w:rPr>
                            <w:sz w:val="18"/>
                            <w:szCs w:val="18"/>
                          </w:rPr>
                        </w:pPr>
                        <w:r>
                          <w:rPr>
                            <w:sz w:val="18"/>
                            <w:szCs w:val="18"/>
                          </w:rPr>
                          <w:t>Esant indikacijų – audiograma</w:t>
                        </w:r>
                      </w:p>
                    </w:tc>
                    <w:tc>
                      <w:tcPr>
                        <w:tcW w:w="2168" w:type="dxa"/>
                      </w:tcPr>
                      <w:p>
                        <w:pPr>
                          <w:tabs>
                            <w:tab w:val="center" w:pos="33"/>
                          </w:tabs>
                          <w:rPr>
                            <w:sz w:val="18"/>
                            <w:szCs w:val="18"/>
                          </w:rPr>
                        </w:pPr>
                        <w:r>
                          <w:rPr>
                            <w:sz w:val="18"/>
                            <w:szCs w:val="18"/>
                          </w:rPr>
                          <w:t xml:space="preserve">1. Įvairios etiologijos klausos susilpnėjimas viena arba abiem ausimis, kai šnabždesys girdimas mažesniu kaip 3 m atstumu H65.2; H65.3; H66.1; H66.2; H74.0, H74.1; H74.2; H74.3; H80; H83; H90; H91.0; H91.1; H91.3; H91.8; H91.9; H93.3; H94. </w:t>
                        </w:r>
                      </w:p>
                      <w:p>
                        <w:pPr>
                          <w:tabs>
                            <w:tab w:val="center" w:pos="33"/>
                          </w:tabs>
                          <w:rPr>
                            <w:sz w:val="18"/>
                            <w:szCs w:val="18"/>
                          </w:rPr>
                        </w:pPr>
                        <w:r>
                          <w:rPr>
                            <w:sz w:val="18"/>
                            <w:szCs w:val="18"/>
                          </w:rPr>
                          <w:t>Individualiu atveju dėl galimybės dirbti sprendžia gydytojas otorinolaringologas. (ypatingais atvejais leidžiama naudotis klausos aparatais)</w:t>
                        </w:r>
                      </w:p>
                    </w:tc>
                  </w:tr>
                  <w:tr>
                    <w:tc>
                      <w:tcPr>
                        <w:tcW w:w="2383" w:type="dxa"/>
                      </w:tcPr>
                      <w:p>
                        <w:pPr>
                          <w:rPr>
                            <w:sz w:val="18"/>
                            <w:szCs w:val="18"/>
                          </w:rPr>
                        </w:pPr>
                        <w:r>
                          <w:rPr>
                            <w:sz w:val="18"/>
                            <w:szCs w:val="18"/>
                          </w:rPr>
                          <w:t>4.3.2. Darbas su videoterminalais (kompiuteriais ir kt.)</w:t>
                        </w:r>
                      </w:p>
                    </w:tc>
                    <w:tc>
                      <w:tcPr>
                        <w:tcW w:w="1748" w:type="dxa"/>
                      </w:tcPr>
                      <w:p>
                        <w:pPr>
                          <w:rPr>
                            <w:sz w:val="18"/>
                            <w:szCs w:val="18"/>
                          </w:rPr>
                        </w:pPr>
                      </w:p>
                    </w:tc>
                    <w:tc>
                      <w:tcPr>
                        <w:tcW w:w="1413" w:type="dxa"/>
                      </w:tcPr>
                      <w:p>
                        <w:pPr>
                          <w:rPr>
                            <w:sz w:val="18"/>
                            <w:szCs w:val="18"/>
                          </w:rPr>
                        </w:pPr>
                        <w:r>
                          <w:rPr>
                            <w:sz w:val="18"/>
                            <w:szCs w:val="18"/>
                          </w:rPr>
                          <w:t>1 kartą per 2 metus</w:t>
                        </w:r>
                      </w:p>
                    </w:tc>
                    <w:tc>
                      <w:tcPr>
                        <w:tcW w:w="1938" w:type="dxa"/>
                        <w:gridSpan w:val="2"/>
                      </w:tcPr>
                      <w:p>
                        <w:pPr>
                          <w:rPr>
                            <w:sz w:val="18"/>
                            <w:szCs w:val="18"/>
                          </w:rPr>
                        </w:pPr>
                        <w:r>
                          <w:rPr>
                            <w:sz w:val="18"/>
                            <w:szCs w:val="18"/>
                          </w:rPr>
                          <w:t>Šeimos medicinos paslaugas teikiantys gydytojai arba darbo medicinos gydytojas</w:t>
                        </w:r>
                      </w:p>
                    </w:tc>
                    <w:tc>
                      <w:tcPr>
                        <w:tcW w:w="2106" w:type="dxa"/>
                      </w:tcPr>
                      <w:p>
                        <w:pPr>
                          <w:rPr>
                            <w:sz w:val="18"/>
                            <w:szCs w:val="18"/>
                          </w:rPr>
                        </w:pPr>
                        <w:r>
                          <w:rPr>
                            <w:sz w:val="18"/>
                            <w:szCs w:val="18"/>
                          </w:rPr>
                          <w:t xml:space="preserve">Oftalmologas </w:t>
                        </w:r>
                      </w:p>
                    </w:tc>
                    <w:tc>
                      <w:tcPr>
                        <w:tcW w:w="2984" w:type="dxa"/>
                        <w:gridSpan w:val="2"/>
                      </w:tcPr>
                      <w:p>
                        <w:pPr>
                          <w:rPr>
                            <w:sz w:val="18"/>
                            <w:szCs w:val="18"/>
                          </w:rPr>
                        </w:pPr>
                        <w:r>
                          <w:rPr>
                            <w:sz w:val="18"/>
                            <w:szCs w:val="18"/>
                          </w:rPr>
                          <w:t>Regėjimo aštrumo,</w:t>
                        </w:r>
                      </w:p>
                      <w:p>
                        <w:pPr>
                          <w:rPr>
                            <w:sz w:val="18"/>
                            <w:szCs w:val="18"/>
                          </w:rPr>
                        </w:pPr>
                        <w:r>
                          <w:rPr>
                            <w:sz w:val="18"/>
                            <w:szCs w:val="18"/>
                          </w:rPr>
                          <w:t>refrakcijos,</w:t>
                        </w:r>
                      </w:p>
                      <w:p>
                        <w:pPr>
                          <w:rPr>
                            <w:sz w:val="18"/>
                            <w:szCs w:val="18"/>
                          </w:rPr>
                        </w:pPr>
                        <w:r>
                          <w:rPr>
                            <w:sz w:val="18"/>
                            <w:szCs w:val="18"/>
                          </w:rPr>
                          <w:t>akių dugno ištyrimas, akispūdžio nustatymas –vyresniems nei 40 m.</w:t>
                        </w:r>
                      </w:p>
                    </w:tc>
                    <w:tc>
                      <w:tcPr>
                        <w:tcW w:w="2168" w:type="dxa"/>
                      </w:tcPr>
                      <w:p>
                        <w:pPr>
                          <w:rPr>
                            <w:sz w:val="18"/>
                            <w:szCs w:val="18"/>
                          </w:rPr>
                        </w:pPr>
                        <w:r>
                          <w:rPr>
                            <w:sz w:val="18"/>
                            <w:szCs w:val="18"/>
                          </w:rPr>
                          <w:t>1. Regėjimas su korekcija ne mažesnis kaip 0,5 viena ir 0,2 – kita akimi</w:t>
                        </w:r>
                      </w:p>
                      <w:p>
                        <w:pPr>
                          <w:rPr>
                            <w:sz w:val="18"/>
                            <w:szCs w:val="18"/>
                          </w:rPr>
                        </w:pPr>
                        <w:r>
                          <w:rPr>
                            <w:sz w:val="18"/>
                            <w:szCs w:val="18"/>
                          </w:rPr>
                          <w:t>2. Refrakcijos anomalijos H52:</w:t>
                        </w:r>
                      </w:p>
                      <w:p>
                        <w:pPr>
                          <w:rPr>
                            <w:sz w:val="18"/>
                            <w:szCs w:val="18"/>
                          </w:rPr>
                        </w:pPr>
                        <w:r>
                          <w:rPr>
                            <w:spacing w:val="-4"/>
                            <w:sz w:val="18"/>
                            <w:szCs w:val="18"/>
                          </w:rPr>
                          <w:t>miopija – daugiau kaip 10,0 D</w:t>
                        </w:r>
                        <w:r>
                          <w:rPr>
                            <w:sz w:val="18"/>
                            <w:szCs w:val="18"/>
                          </w:rPr>
                          <w:t>, hipermetropija – daugiau kaip 8.0 D, astigmatizmas – daugiau kaip 3,0 D</w:t>
                        </w:r>
                      </w:p>
                      <w:p>
                        <w:pPr>
                          <w:rPr>
                            <w:sz w:val="18"/>
                            <w:szCs w:val="18"/>
                          </w:rPr>
                        </w:pPr>
                        <w:r>
                          <w:rPr>
                            <w:sz w:val="18"/>
                            <w:szCs w:val="18"/>
                          </w:rPr>
                          <w:t>3. Akomodacijos susilpnėjimas ne pagal amžių H45- H51</w:t>
                        </w:r>
                      </w:p>
                      <w:p>
                        <w:pPr>
                          <w:tabs>
                            <w:tab w:val="center" w:pos="33"/>
                          </w:tabs>
                          <w:rPr>
                            <w:sz w:val="18"/>
                            <w:szCs w:val="18"/>
                          </w:rPr>
                        </w:pPr>
                        <w:r>
                          <w:rPr>
                            <w:sz w:val="18"/>
                            <w:szCs w:val="18"/>
                          </w:rPr>
                          <w:t>4. Lėtinės akių ligos H15–H45. Individualiu atveju dėl galimybės dirbti sprendžia gydytojas oftalmologas.</w:t>
                        </w:r>
                      </w:p>
                      <w:p>
                        <w:pPr>
                          <w:rPr>
                            <w:sz w:val="18"/>
                            <w:szCs w:val="18"/>
                          </w:rPr>
                        </w:pPr>
                        <w:r>
                          <w:rPr>
                            <w:sz w:val="18"/>
                            <w:szCs w:val="18"/>
                          </w:rPr>
                          <w:t>5. Regos nervo ir tinklainės ligos H30–H36, H46–H48. Individualiu atveju dėl galimybės dirbti sprendžia gydytojas oftalmologas.</w:t>
                        </w:r>
                      </w:p>
                      <w:p>
                        <w:pPr>
                          <w:rPr>
                            <w:sz w:val="18"/>
                            <w:szCs w:val="18"/>
                          </w:rPr>
                        </w:pPr>
                        <w:r>
                          <w:rPr>
                            <w:sz w:val="18"/>
                            <w:szCs w:val="18"/>
                          </w:rPr>
                          <w:t>6. Glaukoma H40–H42. Individualiu atveju dėl galimybės dirbti sprendžia gydytojas oftalmologas.</w:t>
                        </w:r>
                      </w:p>
                    </w:tc>
                  </w:tr>
                  <w:tr>
                    <w:tc>
                      <w:tcPr>
                        <w:tcW w:w="14740" w:type="dxa"/>
                        <w:gridSpan w:val="9"/>
                      </w:tcPr>
                      <w:p>
                        <w:pPr>
                          <w:jc w:val="center"/>
                          <w:rPr>
                            <w:b/>
                            <w:caps/>
                            <w:sz w:val="18"/>
                            <w:szCs w:val="18"/>
                            <w:highlight w:val="yellow"/>
                          </w:rPr>
                        </w:pPr>
                        <w:r>
                          <w:rPr>
                            <w:b/>
                            <w:caps/>
                            <w:sz w:val="18"/>
                            <w:szCs w:val="18"/>
                          </w:rPr>
                          <w:t>5. Psichosocialiniai veiksniai</w:t>
                        </w:r>
                      </w:p>
                    </w:tc>
                  </w:tr>
                  <w:tr>
                    <w:tc>
                      <w:tcPr>
                        <w:tcW w:w="2383" w:type="dxa"/>
                      </w:tcPr>
                      <w:p>
                        <w:pPr>
                          <w:rPr>
                            <w:sz w:val="18"/>
                            <w:szCs w:val="18"/>
                          </w:rPr>
                        </w:pPr>
                        <w:r>
                          <w:rPr>
                            <w:sz w:val="18"/>
                            <w:szCs w:val="18"/>
                          </w:rPr>
                          <w:t xml:space="preserve">5.1. Naktinis darbas </w:t>
                        </w:r>
                      </w:p>
                    </w:tc>
                    <w:tc>
                      <w:tcPr>
                        <w:tcW w:w="1748" w:type="dxa"/>
                      </w:tcPr>
                      <w:p>
                        <w:pPr>
                          <w:rPr>
                            <w:sz w:val="18"/>
                            <w:szCs w:val="18"/>
                          </w:rPr>
                        </w:pPr>
                        <w:r>
                          <w:rPr>
                            <w:sz w:val="18"/>
                            <w:szCs w:val="18"/>
                          </w:rPr>
                          <w:t>Naktį dirbantys darbuotojai</w:t>
                        </w:r>
                      </w:p>
                    </w:tc>
                    <w:tc>
                      <w:tcPr>
                        <w:tcW w:w="1419" w:type="dxa"/>
                        <w:gridSpan w:val="2"/>
                      </w:tcPr>
                      <w:p>
                        <w:pPr>
                          <w:rPr>
                            <w:sz w:val="18"/>
                            <w:szCs w:val="18"/>
                          </w:rPr>
                        </w:pPr>
                        <w:r>
                          <w:rPr>
                            <w:sz w:val="18"/>
                            <w:szCs w:val="18"/>
                          </w:rPr>
                          <w:t>1 kartą per 2 metus</w:t>
                        </w:r>
                      </w:p>
                    </w:tc>
                    <w:tc>
                      <w:tcPr>
                        <w:tcW w:w="1932" w:type="dxa"/>
                      </w:tcPr>
                      <w:p>
                        <w:pPr>
                          <w:rPr>
                            <w:sz w:val="18"/>
                            <w:szCs w:val="18"/>
                          </w:rPr>
                        </w:pPr>
                        <w:r>
                          <w:rPr>
                            <w:sz w:val="18"/>
                            <w:szCs w:val="18"/>
                          </w:rPr>
                          <w:t>Šeimos medicinos paslaugas teikiantys gydytojai arba darbo medicinos gydytojas</w:t>
                        </w:r>
                      </w:p>
                    </w:tc>
                    <w:tc>
                      <w:tcPr>
                        <w:tcW w:w="2460" w:type="dxa"/>
                        <w:gridSpan w:val="2"/>
                      </w:tcPr>
                      <w:p>
                        <w:pPr>
                          <w:rPr>
                            <w:sz w:val="18"/>
                            <w:szCs w:val="18"/>
                          </w:rPr>
                        </w:pPr>
                        <w:r>
                          <w:rPr>
                            <w:sz w:val="18"/>
                            <w:szCs w:val="18"/>
                          </w:rPr>
                          <w:t xml:space="preserve">Esant indikacijų – </w:t>
                        </w:r>
                        <w:r>
                          <w:rPr>
                            <w:bCs/>
                            <w:sz w:val="18"/>
                            <w:szCs w:val="18"/>
                          </w:rPr>
                          <w:t>kitų profesinių kvalifikacijų gydytojai</w:t>
                        </w:r>
                        <w:r>
                          <w:rPr>
                            <w:sz w:val="18"/>
                            <w:szCs w:val="18"/>
                          </w:rPr>
                          <w:t xml:space="preserve"> </w:t>
                        </w:r>
                      </w:p>
                    </w:tc>
                    <w:tc>
                      <w:tcPr>
                        <w:tcW w:w="2630" w:type="dxa"/>
                      </w:tcPr>
                      <w:p>
                        <w:pPr>
                          <w:rPr>
                            <w:sz w:val="18"/>
                            <w:szCs w:val="18"/>
                          </w:rPr>
                        </w:pPr>
                        <w:r>
                          <w:rPr>
                            <w:sz w:val="18"/>
                            <w:szCs w:val="18"/>
                          </w:rPr>
                          <w:t xml:space="preserve">EKG, </w:t>
                        </w:r>
                      </w:p>
                      <w:p>
                        <w:pPr>
                          <w:rPr>
                            <w:sz w:val="18"/>
                            <w:szCs w:val="18"/>
                          </w:rPr>
                        </w:pPr>
                        <w:r>
                          <w:rPr>
                            <w:sz w:val="18"/>
                            <w:szCs w:val="18"/>
                          </w:rPr>
                          <w:t>esant indikacijų – radiologinis tyrimas</w:t>
                        </w:r>
                      </w:p>
                    </w:tc>
                    <w:tc>
                      <w:tcPr>
                        <w:tcW w:w="2168" w:type="dxa"/>
                      </w:tcPr>
                      <w:p>
                        <w:pPr>
                          <w:rPr>
                            <w:sz w:val="18"/>
                            <w:szCs w:val="18"/>
                          </w:rPr>
                        </w:pPr>
                        <w:r>
                          <w:rPr>
                            <w:sz w:val="18"/>
                            <w:szCs w:val="18"/>
                          </w:rPr>
                          <w:t>1. Kvėpavimo organų ir širdies kraujagyslių ligos su nepakankamumu J44.9, J45, J80, J84, I05–I52;</w:t>
                        </w:r>
                      </w:p>
                      <w:p>
                        <w:pPr>
                          <w:rPr>
                            <w:sz w:val="18"/>
                            <w:szCs w:val="18"/>
                          </w:rPr>
                        </w:pPr>
                        <w:r>
                          <w:rPr>
                            <w:sz w:val="18"/>
                            <w:szCs w:val="18"/>
                          </w:rPr>
                          <w:t>2. Miego sutrikimai F51.1, F51.4, F51.5;</w:t>
                        </w:r>
                      </w:p>
                      <w:p>
                        <w:pPr>
                          <w:rPr>
                            <w:sz w:val="18"/>
                            <w:szCs w:val="18"/>
                          </w:rPr>
                        </w:pPr>
                        <w:r>
                          <w:rPr>
                            <w:sz w:val="18"/>
                            <w:szCs w:val="18"/>
                          </w:rPr>
                          <w:t xml:space="preserve">3. Organiniai ir simptominiai psichikos sutrikimai F00–F06.4; F07 – nuolat; psichikos ir elgesio sutrikimai vartojant psichoaktyviąsias medžiagas  F10–F19 – aktyviai vartojant psichoaktyviąsias medžiagas arba remisija, trumpesnė negu 2 m.; schizofrenija, schizotipinis ir kliedesiniai sutrikimai F20–F23; F25; F28; F29 – jei remisija trumpesnė negu 5 m.; nuotaikos (afektiniai) sutrikimai F30.1–F33.9 ir neuroziniai sutrikimai F40.0; F41.0–F41.8– jei remisija trumpesnė negu 3m.; suaugusiųjų asmenybės sutrikimai F60.0–F60.3; F61.0; F63.1 – kai kompensacija trunka mažiau kaip 3 m; protinis atsilikimas F71–F79.</w:t>
                        </w:r>
                      </w:p>
                    </w:tc>
                  </w:tr>
                </w:tbl>
                <w:p>
                  <w:pPr>
                    <w:ind w:firstLine="567"/>
                    <w:jc w:val="both"/>
                    <w:rPr>
                      <w:sz w:val="16"/>
                    </w:rPr>
                  </w:pPr>
                  <w:r>
                    <w:rPr>
                      <w:sz w:val="16"/>
                    </w:rPr>
                    <w:t xml:space="preserve">*– poveikis: F – fibrogeninis, J – jautrinantis, K – kancerogeninis, M – mutageninis, O – patekimas per nepažeistą odą, </w:t>
                  </w:r>
                </w:p>
                <w:p>
                  <w:pPr>
                    <w:ind w:firstLine="567"/>
                    <w:jc w:val="both"/>
                    <w:rPr>
                      <w:sz w:val="16"/>
                    </w:rPr>
                  </w:pPr>
                  <w:r>
                    <w:rPr>
                      <w:sz w:val="16"/>
                    </w:rPr>
                    <w:t>R – reprodukcijai toksiškas, Ū – ūmus.</w:t>
                  </w:r>
                </w:p>
                <w:p>
                  <w:pPr>
                    <w:ind w:firstLine="567"/>
                    <w:jc w:val="both"/>
                    <w:rPr>
                      <w:sz w:val="16"/>
                    </w:rPr>
                  </w:pPr>
                  <w:r>
                    <w:rPr>
                      <w:b/>
                      <w:sz w:val="16"/>
                    </w:rPr>
                    <w:t>SANTRUMPOS</w:t>
                  </w:r>
                  <w:r>
                    <w:rPr>
                      <w:sz w:val="16"/>
                    </w:rPr>
                    <w:t xml:space="preserve">: </w:t>
                  </w:r>
                  <w:r>
                    <w:rPr>
                      <w:bCs/>
                      <w:sz w:val="16"/>
                    </w:rPr>
                    <w:t>EEG</w:t>
                  </w:r>
                  <w:r>
                    <w:rPr>
                      <w:sz w:val="16"/>
                    </w:rPr>
                    <w:t xml:space="preserve"> – elektroencefalograma, </w:t>
                  </w:r>
                </w:p>
                <w:p>
                  <w:pPr>
                    <w:ind w:firstLine="567"/>
                    <w:jc w:val="both"/>
                    <w:rPr>
                      <w:sz w:val="16"/>
                    </w:rPr>
                  </w:pPr>
                  <w:r>
                    <w:rPr>
                      <w:sz w:val="16"/>
                    </w:rPr>
                    <w:t xml:space="preserve">EKG – elektrokardiograma, </w:t>
                  </w:r>
                </w:p>
                <w:p>
                  <w:pPr>
                    <w:ind w:firstLine="567"/>
                    <w:jc w:val="both"/>
                    <w:rPr>
                      <w:sz w:val="16"/>
                    </w:rPr>
                  </w:pPr>
                  <w:r>
                    <w:rPr>
                      <w:sz w:val="16"/>
                    </w:rPr>
                    <w:t>ENG – eritrocitų nusėdimo greitis,</w:t>
                  </w:r>
                </w:p>
                <w:p>
                  <w:pPr>
                    <w:ind w:firstLine="567"/>
                    <w:jc w:val="both"/>
                    <w:rPr>
                      <w:sz w:val="16"/>
                    </w:rPr>
                  </w:pPr>
                  <w:r>
                    <w:rPr>
                      <w:sz w:val="16"/>
                    </w:rPr>
                    <w:t xml:space="preserve">KLR – krūtinės ląstos rentgenograma, </w:t>
                  </w:r>
                </w:p>
                <w:p>
                  <w:pPr>
                    <w:ind w:firstLine="567"/>
                    <w:jc w:val="both"/>
                    <w:rPr>
                      <w:sz w:val="16"/>
                    </w:rPr>
                  </w:pPr>
                  <w:r>
                    <w:rPr>
                      <w:sz w:val="16"/>
                    </w:rPr>
                    <w:t xml:space="preserve">IKFT – išorinio kvėpavimo funkcijos tyrimas. </w:t>
                  </w:r>
                </w:p>
                <w:p>
                  <w:pPr>
                    <w:ind w:firstLine="567"/>
                    <w:jc w:val="both"/>
                  </w:pPr>
                </w:p>
                <w:p>
                  <w:pPr>
                    <w:jc w:val="center"/>
                  </w:pPr>
                  <w:r>
                    <w:t>_________________</w:t>
                  </w:r>
                </w:p>
              </w:sdtContent>
            </w:sdt>
            <w:sdt>
              <w:sdtPr>
                <w:alias w:val="lentele"/>
                <w:tag w:val="part_fe84a7c8da6649f5ae31ab99e5f9a70c"/>
                <w:lock w:val="sdtLocked"/>
                <w:richText/>
              </w:sdtPr>
              <w:sdtContent>
                <w:p>
                  <w:pPr>
                    <w:ind w:firstLine="567"/>
                    <w:jc w:val="both"/>
                  </w:pPr>
                </w:p>
                <w:p>
                  <w:pPr>
                    <w:ind w:firstLine="567"/>
                    <w:jc w:val="both"/>
                    <w:sectPr>
                      <w:pgSz w:w="16840" w:h="11907" w:orient="landscape" w:code="9"/>
                      <w:pgMar w:top="1701" w:right="1134" w:bottom="1134" w:left="1134" w:header="567" w:footer="284" w:gutter="0"/>
                      <w:pgNumType w:start="1"/>
                      <w:cols w:space="1296"/>
                      <w:titlePg/>
                      <w:docGrid w:linePitch="360"/>
                    </w:sectPr>
                  </w:pPr>
                </w:p>
                <w:p>
                  <w:pPr>
                    <w:ind w:firstLine="567"/>
                    <w:jc w:val="both"/>
                  </w:pPr>
                </w:p>
                <w:p>
                  <w:pPr>
                    <w:ind w:left="4535"/>
                    <w:jc w:val="right"/>
                    <w:rPr>
                      <w:b/>
                      <w:caps/>
                    </w:rPr>
                  </w:pPr>
                  <w:r>
                    <w:t>3 lentelė</w:t>
                  </w:r>
                </w:p>
                <w:sdt>
                  <w:sdtPr>
                    <w:alias w:val="Pavadinimas"/>
                    <w:tag w:val="title_fe84a7c8da6649f5ae31ab99e5f9a70c"/>
                    <w:lock w:val="sdtLocked"/>
                    <w:richText/>
                  </w:sdtPr>
                  <w:sdtContent>
                    <w:p>
                      <w:pPr>
                        <w:jc w:val="center"/>
                        <w:rPr>
                          <w:b/>
                          <w:caps/>
                        </w:rPr>
                      </w:pPr>
                      <w:r>
                        <w:rPr>
                          <w:b/>
                          <w:caps/>
                        </w:rPr>
                        <w:t>Pavyzdinis PROTOKOLAS</w:t>
                      </w:r>
                    </w:p>
                  </w:sdtContent>
                </w:sdt>
                <w:p/>
                <w:tbl>
                  <w:tblPr>
                    <w:tblW w:w="9070" w:type="dxa"/>
                    <w:tblLayout w:type="fixed"/>
                    <w:tblLook w:val="0000" w:firstRow="0" w:lastRow="0" w:firstColumn="0" w:lastColumn="0" w:noHBand="0" w:noVBand="0"/>
                  </w:tblPr>
                  <w:tblGrid>
                    <w:gridCol w:w="1990"/>
                    <w:gridCol w:w="1990"/>
                    <w:gridCol w:w="5090"/>
                  </w:tblGrid>
                  <w:tr>
                    <w:tc>
                      <w:tcPr>
                        <w:tcW w:w="9070" w:type="dxa"/>
                        <w:gridSpan w:val="3"/>
                      </w:tcPr>
                      <w:p>
                        <w:r>
                          <w:t>Įstaigos (įmonės) pavadinimas</w:t>
                        </w:r>
                      </w:p>
                    </w:tc>
                  </w:tr>
                  <w:tr>
                    <w:tc>
                      <w:tcPr>
                        <w:tcW w:w="9070" w:type="dxa"/>
                        <w:gridSpan w:val="3"/>
                        <w:tcBorders>
                          <w:top w:val="single" w:sz="6" w:space="0" w:color="auto"/>
                          <w:bottom w:val="single" w:sz="6" w:space="0" w:color="auto"/>
                        </w:tcBorders>
                      </w:tcPr>
                      <w:p>
                        <w:r>
                          <w:t>Adresas</w:t>
                        </w:r>
                      </w:p>
                    </w:tc>
                  </w:tr>
                  <w:tr>
                    <w:tc>
                      <w:tcPr>
                        <w:tcW w:w="1990" w:type="dxa"/>
                        <w:tcBorders>
                          <w:bottom w:val="single" w:sz="6" w:space="0" w:color="auto"/>
                        </w:tcBorders>
                      </w:tcPr>
                      <w:p>
                        <w:r>
                          <w:t>Tel.,</w:t>
                        </w:r>
                      </w:p>
                    </w:tc>
                    <w:tc>
                      <w:tcPr>
                        <w:tcW w:w="1990" w:type="dxa"/>
                        <w:tcBorders>
                          <w:bottom w:val="single" w:sz="6" w:space="0" w:color="auto"/>
                        </w:tcBorders>
                      </w:tcPr>
                      <w:p>
                        <w:r>
                          <w:t>faks.</w:t>
                        </w:r>
                      </w:p>
                    </w:tc>
                    <w:tc>
                      <w:tcPr>
                        <w:tcW w:w="5090" w:type="dxa"/>
                        <w:tcBorders>
                          <w:bottom w:val="single" w:sz="6" w:space="0" w:color="auto"/>
                        </w:tcBorders>
                      </w:tcPr>
                      <w:p>
                        <w:r>
                          <w:t xml:space="preserve">el. paštas </w:t>
                        </w:r>
                      </w:p>
                    </w:tc>
                  </w:tr>
                </w:tbl>
                <w:p/>
                <w:sdt>
                  <w:sdtPr>
                    <w:alias w:val="skirsnis"/>
                    <w:tag w:val="part_89c0df95c14c4cd1819ea8a6dc04edb7"/>
                    <w:lock w:val="sdtLocked"/>
                    <w:richText/>
                  </w:sdtPr>
                  <w:sdtContent>
                    <w:p>
                      <w:pPr>
                        <w:jc w:val="center"/>
                      </w:pPr>
                      <w:sdt>
                        <w:sdtPr>
                          <w:alias w:val="Pavadinimas"/>
                          <w:tag w:val="title_89c0df95c14c4cd1819ea8a6dc04edb7"/>
                          <w:lock w:val="sdtLocked"/>
                          <w:richText/>
                        </w:sdtPr>
                        <w:sdtContent>
                          <w:r>
                            <w:t>PROTOKOLAS</w:t>
                          </w:r>
                        </w:sdtContent>
                      </w:sdt>
                    </w:p>
                    <w:sdt>
                      <w:sdtPr>
                        <w:alias w:val="13 pr. 200 p."/>
                        <w:tag w:val="part_be0958740bd147479ef6b8addb801973"/>
                        <w:lock w:val="sdtLocked"/>
                        <w:richText/>
                      </w:sdtPr>
                      <w:sdtContent>
                        <w:p>
                          <w:pPr>
                            <w:jc w:val="center"/>
                          </w:pPr>
                          <w:sdt>
                            <w:sdtPr>
                              <w:alias w:val="Numeris"/>
                              <w:tag w:val="nr_be0958740bd147479ef6b8addb801973"/>
                              <w:lock w:val="sdtLocked"/>
                              <w:richText/>
                            </w:sdtPr>
                            <w:sdtContent>
                              <w:r>
                                <w:t>200.................</w:t>
                              </w:r>
                            </w:sdtContent>
                          </w:sdt>
                        </w:p>
                        <w:p>
                          <w:pPr>
                            <w:jc w:val="center"/>
                          </w:pPr>
                          <w:r>
                            <w:t>(Data, Nr.)</w:t>
                          </w:r>
                        </w:p>
                        <w:p>
                          <w:pPr>
                            <w:jc w:val="center"/>
                          </w:pPr>
                          <w:r>
                            <w:t>..................</w:t>
                          </w:r>
                        </w:p>
                        <w:p>
                          <w:pPr>
                            <w:jc w:val="center"/>
                          </w:pPr>
                          <w:r>
                            <w:t>(Vieta)</w:t>
                          </w:r>
                        </w:p>
                        <w:p>
                          <w:pPr>
                            <w:ind w:firstLine="567"/>
                            <w:jc w:val="both"/>
                          </w:pPr>
                        </w:p>
                        <w:p>
                          <w:pPr>
                            <w:ind w:firstLine="567"/>
                            <w:jc w:val="both"/>
                          </w:pPr>
                          <w:r>
                            <w:t xml:space="preserve">Vadovaujantis Lietuvos Respublikos pacientų teisių ir žalos sveikatai atlyginimo įstatymu (Žin., 1996, Nr. </w:t>
                          </w:r>
                          <w:hyperlink r:id="rId77" w:tgtFrame="_blank" w:history="1">
                            <w:r>
                              <w:rPr>
                                <w:color w:val="0000FF" w:themeColor="hyperlink"/>
                                <w:u w:val="single"/>
                              </w:rPr>
                              <w:t>102-2317</w:t>
                            </w:r>
                          </w:hyperlink>
                          <w:r>
                            <w:t>; 2004, Nr. 115-4284), visa informacija apie paciento sveikatos būklę, diagnozę, prognozę ir gydymą turi būti konfidenciali, ja galima naudotis tik dėl dirbančiojo interesų, gerbiant pastarojo asmens privatumą.</w:t>
                          </w:r>
                        </w:p>
                        <w:p>
                          <w:pPr>
                            <w:jc w:val="both"/>
                          </w:pPr>
                        </w:p>
                      </w:sdtContent>
                    </w:sdt>
                  </w:sdtContent>
                </w:sdt>
                <w:sdt>
                  <w:sdtPr>
                    <w:alias w:val="skirsnis"/>
                    <w:tag w:val="part_4d3e7ca4abf24c3393f54bac95296bc3"/>
                    <w:lock w:val="sdtLocked"/>
                    <w:richText/>
                  </w:sdtPr>
                  <w:sdtContent>
                    <w:p>
                      <w:pPr>
                        <w:jc w:val="both"/>
                        <w:rPr>
                          <w:b/>
                        </w:rPr>
                      </w:pPr>
                      <w:sdt>
                        <w:sdtPr>
                          <w:alias w:val="Pavadinimas"/>
                          <w:tag w:val="title_4d3e7ca4abf24c3393f54bac95296bc3"/>
                          <w:lock w:val="sdtLocked"/>
                          <w:richText/>
                        </w:sdtPr>
                        <w:sdtContent>
                          <w:r>
                            <w:rPr>
                              <w:b/>
                            </w:rPr>
                            <w:t>Dėl asmenų, dirbančių galimos profesinės rizikos sąlygomis, sveikatos tikrinimo</w:t>
                          </w:r>
                        </w:sdtContent>
                      </w:sdt>
                    </w:p>
                    <w:p>
                      <w:pPr>
                        <w:jc w:val="both"/>
                      </w:pPr>
                    </w:p>
                    <w:p>
                      <w:pPr>
                        <w:tabs>
                          <w:tab w:val="left" w:leader="dot" w:pos="8902"/>
                        </w:tabs>
                        <w:jc w:val="both"/>
                      </w:pPr>
                      <w:r>
                        <w:t>...</w:t>
                        <w:tab/>
                      </w:r>
                    </w:p>
                    <w:p>
                      <w:pPr>
                        <w:jc w:val="center"/>
                      </w:pPr>
                      <w:r>
                        <w:t>(asmens sveikatos priežiūros įstaigos pavadinimas)</w:t>
                      </w:r>
                    </w:p>
                    <w:p>
                      <w:pPr>
                        <w:jc w:val="both"/>
                      </w:pPr>
                    </w:p>
                    <w:p>
                      <w:pPr>
                        <w:tabs>
                          <w:tab w:val="left" w:leader="dot" w:pos="8902"/>
                        </w:tabs>
                        <w:jc w:val="both"/>
                      </w:pPr>
                      <w:r>
                        <w:t>...</w:t>
                        <w:tab/>
                      </w:r>
                    </w:p>
                    <w:p>
                      <w:pPr>
                        <w:jc w:val="both"/>
                      </w:pPr>
                      <w:r>
                        <w:t>šeimos medicinos paslaugas teikiantis gydytojas arba darbo medicinos gydytojas</w:t>
                        <w:tab/>
                      </w:r>
                    </w:p>
                    <w:p>
                      <w:pPr>
                        <w:jc w:val="center"/>
                      </w:pPr>
                      <w:r>
                        <w:t>(gydytojo vardas, pavardė)</w:t>
                      </w:r>
                    </w:p>
                    <w:p>
                      <w:pPr>
                        <w:jc w:val="both"/>
                      </w:pPr>
                      <w:r>
                        <w:t xml:space="preserve">vadovaudamasis įstaigos vadovo 200... m. ...............mėn.       d. įsakymu Nr. ... atliko profilaktinį dirbančiųjų sveikatos tikrinimą.</w:t>
                      </w:r>
                    </w:p>
                    <w:p>
                      <w:pPr>
                        <w:jc w:val="both"/>
                      </w:pPr>
                    </w:p>
                    <w:sdt>
                      <w:sdtPr>
                        <w:alias w:val="13 pr. 1 p."/>
                        <w:tag w:val="part_b73a34da9ca44c2881405de7ac62184c"/>
                        <w:lock w:val="sdtLocked"/>
                        <w:richText/>
                      </w:sdtPr>
                      <w:sdtContent>
                        <w:p>
                          <w:pPr>
                            <w:jc w:val="both"/>
                          </w:pPr>
                          <w:sdt>
                            <w:sdtPr>
                              <w:alias w:val="Numeris"/>
                              <w:tag w:val="nr_b73a34da9ca44c2881405de7ac62184c"/>
                              <w:lock w:val="sdtLocked"/>
                              <w:richText/>
                            </w:sdtPr>
                            <w:sdtContent>
                              <w:r>
                                <w:t>1</w:t>
                              </w:r>
                            </w:sdtContent>
                          </w:sdt>
                          <w:r>
                            <w:t>. Įmonės (įstaigos) profesinės rizikos veiksniai (cheminiai, biologiniai, fizikiniai, ergonominiai, fiziniai ir kt.):</w:t>
                          </w:r>
                        </w:p>
                        <w:tbl>
                          <w:tblPr>
                            <w:tblW w:w="907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016"/>
                            <w:gridCol w:w="5054"/>
                          </w:tblGrid>
                          <w:tr>
                            <w:tc>
                              <w:tcPr>
                                <w:tcW w:w="4428" w:type="dxa"/>
                              </w:tcPr>
                              <w:p/>
                            </w:tc>
                            <w:tc>
                              <w:tcPr>
                                <w:tcW w:w="5580" w:type="dxa"/>
                              </w:tcPr>
                              <w:p/>
                            </w:tc>
                          </w:tr>
                          <w:tr>
                            <w:tc>
                              <w:tcPr>
                                <w:tcW w:w="4428" w:type="dxa"/>
                              </w:tcPr>
                              <w:p/>
                            </w:tc>
                            <w:tc>
                              <w:tcPr>
                                <w:tcW w:w="5580" w:type="dxa"/>
                              </w:tcPr>
                              <w:p/>
                            </w:tc>
                          </w:tr>
                          <w:tr>
                            <w:tc>
                              <w:tcPr>
                                <w:tcW w:w="4428" w:type="dxa"/>
                              </w:tcPr>
                              <w:p/>
                            </w:tc>
                            <w:tc>
                              <w:tcPr>
                                <w:tcW w:w="5580" w:type="dxa"/>
                              </w:tcPr>
                              <w:p/>
                            </w:tc>
                          </w:tr>
                        </w:tbl>
                        <w:p/>
                      </w:sdtContent>
                    </w:sdt>
                    <w:sdt>
                      <w:sdtPr>
                        <w:alias w:val="13 pr. 2 p."/>
                        <w:tag w:val="part_ad7c93319de54f1da04fb75c50f4fb3c"/>
                        <w:lock w:val="sdtLocked"/>
                        <w:richText/>
                      </w:sdtPr>
                      <w:sdtContent>
                        <w:p>
                          <w:sdt>
                            <w:sdtPr>
                              <w:alias w:val="Numeris"/>
                              <w:tag w:val="nr_ad7c93319de54f1da04fb75c50f4fb3c"/>
                              <w:lock w:val="sdtLocked"/>
                              <w:richText/>
                            </w:sdtPr>
                            <w:sdtContent>
                              <w:r>
                                <w:t>2</w:t>
                              </w:r>
                            </w:sdtContent>
                          </w:sdt>
                          <w:r>
                            <w:t>. Profilaktinio sveikatos tikrinimo duomenys:</w:t>
                          </w:r>
                        </w:p>
                        <w:tbl>
                          <w:tblPr>
                            <w:tblW w:w="907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854"/>
                            <w:gridCol w:w="1895"/>
                            <w:gridCol w:w="918"/>
                            <w:gridCol w:w="999"/>
                            <w:gridCol w:w="1732"/>
                            <w:gridCol w:w="999"/>
                            <w:gridCol w:w="999"/>
                            <w:gridCol w:w="674"/>
                          </w:tblGrid>
                          <w:tr>
                            <w:tc>
                              <w:tcPr>
                                <w:tcW w:w="6948" w:type="dxa"/>
                                <w:gridSpan w:val="5"/>
                              </w:tcPr>
                              <w:p>
                                <w:r>
                                  <w:t>Tikrinimo duomenys</w:t>
                                </w:r>
                              </w:p>
                            </w:tc>
                            <w:tc>
                              <w:tcPr>
                                <w:tcW w:w="1080" w:type="dxa"/>
                              </w:tcPr>
                              <w:p>
                                <w:r>
                                  <w:t>Vyrai</w:t>
                                </w:r>
                              </w:p>
                            </w:tc>
                            <w:tc>
                              <w:tcPr>
                                <w:tcW w:w="1080" w:type="dxa"/>
                              </w:tcPr>
                              <w:p>
                                <w:r>
                                  <w:t>Moterys</w:t>
                                </w:r>
                              </w:p>
                            </w:tc>
                            <w:tc>
                              <w:tcPr>
                                <w:tcW w:w="720" w:type="dxa"/>
                              </w:tcPr>
                              <w:p>
                                <w:r>
                                  <w:t>Iš viso</w:t>
                                </w:r>
                              </w:p>
                            </w:tc>
                          </w:tr>
                          <w:tr>
                            <w:tc>
                              <w:tcPr>
                                <w:tcW w:w="6948" w:type="dxa"/>
                                <w:gridSpan w:val="5"/>
                              </w:tcPr>
                              <w:p>
                                <w:r>
                                  <w:t>Reikėjo patikrinti</w:t>
                                </w:r>
                              </w:p>
                            </w:tc>
                            <w:tc>
                              <w:tcPr>
                                <w:tcW w:w="1080" w:type="dxa"/>
                              </w:tcPr>
                              <w:p/>
                            </w:tc>
                            <w:tc>
                              <w:tcPr>
                                <w:tcW w:w="1080" w:type="dxa"/>
                              </w:tcPr>
                              <w:p/>
                            </w:tc>
                            <w:tc>
                              <w:tcPr>
                                <w:tcW w:w="720" w:type="dxa"/>
                              </w:tcPr>
                              <w:p/>
                            </w:tc>
                          </w:tr>
                          <w:tr>
                            <w:tc>
                              <w:tcPr>
                                <w:tcW w:w="6948" w:type="dxa"/>
                                <w:gridSpan w:val="5"/>
                              </w:tcPr>
                              <w:p>
                                <w:r>
                                  <w:t>Patikrinta</w:t>
                                </w:r>
                              </w:p>
                            </w:tc>
                            <w:tc>
                              <w:tcPr>
                                <w:tcW w:w="1080" w:type="dxa"/>
                              </w:tcPr>
                              <w:p/>
                            </w:tc>
                            <w:tc>
                              <w:tcPr>
                                <w:tcW w:w="1080" w:type="dxa"/>
                              </w:tcPr>
                              <w:p/>
                            </w:tc>
                            <w:tc>
                              <w:tcPr>
                                <w:tcW w:w="720" w:type="dxa"/>
                              </w:tcPr>
                              <w:p/>
                            </w:tc>
                          </w:tr>
                          <w:tr>
                            <w:trPr>
                              <w:cantSplit/>
                            </w:trPr>
                            <w:tc>
                              <w:tcPr>
                                <w:tcW w:w="918" w:type="dxa"/>
                              </w:tcPr>
                              <w:p>
                                <w:r>
                                  <w:t>Eil. Nr.</w:t>
                                </w:r>
                              </w:p>
                            </w:tc>
                            <w:tc>
                              <w:tcPr>
                                <w:tcW w:w="2070" w:type="dxa"/>
                              </w:tcPr>
                              <w:p>
                                <w:r>
                                  <w:t>vardas, pavardė</w:t>
                                </w:r>
                              </w:p>
                            </w:tc>
                            <w:tc>
                              <w:tcPr>
                                <w:tcW w:w="990" w:type="dxa"/>
                              </w:tcPr>
                              <w:p>
                                <w:r>
                                  <w:t>gim. m.</w:t>
                                </w:r>
                              </w:p>
                            </w:tc>
                            <w:tc>
                              <w:tcPr>
                                <w:tcW w:w="1080" w:type="dxa"/>
                              </w:tcPr>
                              <w:p>
                                <w:r>
                                  <w:t>profesija</w:t>
                                </w:r>
                              </w:p>
                            </w:tc>
                            <w:tc>
                              <w:tcPr>
                                <w:tcW w:w="1890" w:type="dxa"/>
                              </w:tcPr>
                              <w:p>
                                <w:r>
                                  <w:t>profesinės rizikos veiksnys</w:t>
                                </w:r>
                              </w:p>
                            </w:tc>
                            <w:tc>
                              <w:tcPr>
                                <w:tcW w:w="1080" w:type="dxa"/>
                              </w:tcPr>
                              <w:p/>
                            </w:tc>
                            <w:tc>
                              <w:tcPr>
                                <w:tcW w:w="1080" w:type="dxa"/>
                              </w:tcPr>
                              <w:p/>
                            </w:tc>
                            <w:tc>
                              <w:tcPr>
                                <w:tcW w:w="720" w:type="dxa"/>
                              </w:tcPr>
                              <w:p/>
                            </w:tc>
                          </w:tr>
                          <w:tr>
                            <w:trPr>
                              <w:cantSplit/>
                            </w:trPr>
                            <w:tc>
                              <w:tcPr>
                                <w:tcW w:w="918" w:type="dxa"/>
                              </w:tcPr>
                              <w:p>
                                <w:r>
                                  <w:t>1.</w:t>
                                </w:r>
                              </w:p>
                            </w:tc>
                            <w:tc>
                              <w:tcPr>
                                <w:tcW w:w="2070" w:type="dxa"/>
                              </w:tcPr>
                              <w:p/>
                            </w:tc>
                            <w:tc>
                              <w:tcPr>
                                <w:tcW w:w="990" w:type="dxa"/>
                              </w:tcPr>
                              <w:p/>
                            </w:tc>
                            <w:tc>
                              <w:tcPr>
                                <w:tcW w:w="1080" w:type="dxa"/>
                              </w:tcPr>
                              <w:p/>
                            </w:tc>
                            <w:tc>
                              <w:tcPr>
                                <w:tcW w:w="1890" w:type="dxa"/>
                              </w:tcPr>
                              <w:p/>
                            </w:tc>
                            <w:tc>
                              <w:tcPr>
                                <w:tcW w:w="1080" w:type="dxa"/>
                              </w:tcPr>
                              <w:p/>
                            </w:tc>
                            <w:tc>
                              <w:tcPr>
                                <w:tcW w:w="1080" w:type="dxa"/>
                              </w:tcPr>
                              <w:p/>
                            </w:tc>
                            <w:tc>
                              <w:tcPr>
                                <w:tcW w:w="720" w:type="dxa"/>
                              </w:tcPr>
                              <w:p/>
                            </w:tc>
                          </w:tr>
                          <w:tr>
                            <w:trPr>
                              <w:cantSplit/>
                            </w:trPr>
                            <w:tc>
                              <w:tcPr>
                                <w:tcW w:w="918" w:type="dxa"/>
                              </w:tcPr>
                              <w:p>
                                <w:r>
                                  <w:t>2.</w:t>
                                </w:r>
                              </w:p>
                            </w:tc>
                            <w:tc>
                              <w:tcPr>
                                <w:tcW w:w="2070" w:type="dxa"/>
                              </w:tcPr>
                              <w:p/>
                            </w:tc>
                            <w:tc>
                              <w:tcPr>
                                <w:tcW w:w="990" w:type="dxa"/>
                              </w:tcPr>
                              <w:p/>
                            </w:tc>
                            <w:tc>
                              <w:tcPr>
                                <w:tcW w:w="1080" w:type="dxa"/>
                              </w:tcPr>
                              <w:p/>
                            </w:tc>
                            <w:tc>
                              <w:tcPr>
                                <w:tcW w:w="1890" w:type="dxa"/>
                              </w:tcPr>
                              <w:p/>
                            </w:tc>
                            <w:tc>
                              <w:tcPr>
                                <w:tcW w:w="1080" w:type="dxa"/>
                              </w:tcPr>
                              <w:p/>
                            </w:tc>
                            <w:tc>
                              <w:tcPr>
                                <w:tcW w:w="1080" w:type="dxa"/>
                              </w:tcPr>
                              <w:p/>
                            </w:tc>
                            <w:tc>
                              <w:tcPr>
                                <w:tcW w:w="720" w:type="dxa"/>
                              </w:tcPr>
                              <w:p/>
                            </w:tc>
                          </w:tr>
                          <w:tr>
                            <w:trPr>
                              <w:cantSplit/>
                            </w:trPr>
                            <w:tc>
                              <w:tcPr>
                                <w:tcW w:w="918" w:type="dxa"/>
                              </w:tcPr>
                              <w:p>
                                <w:r>
                                  <w:t>3.</w:t>
                                </w:r>
                              </w:p>
                            </w:tc>
                            <w:tc>
                              <w:tcPr>
                                <w:tcW w:w="2070" w:type="dxa"/>
                              </w:tcPr>
                              <w:p/>
                            </w:tc>
                            <w:tc>
                              <w:tcPr>
                                <w:tcW w:w="990" w:type="dxa"/>
                              </w:tcPr>
                              <w:p/>
                            </w:tc>
                            <w:tc>
                              <w:tcPr>
                                <w:tcW w:w="1080" w:type="dxa"/>
                              </w:tcPr>
                              <w:p/>
                            </w:tc>
                            <w:tc>
                              <w:tcPr>
                                <w:tcW w:w="1890" w:type="dxa"/>
                              </w:tcPr>
                              <w:p/>
                            </w:tc>
                            <w:tc>
                              <w:tcPr>
                                <w:tcW w:w="1080" w:type="dxa"/>
                              </w:tcPr>
                              <w:p/>
                            </w:tc>
                            <w:tc>
                              <w:tcPr>
                                <w:tcW w:w="1080" w:type="dxa"/>
                              </w:tcPr>
                              <w:p/>
                            </w:tc>
                            <w:tc>
                              <w:tcPr>
                                <w:tcW w:w="720" w:type="dxa"/>
                              </w:tcPr>
                              <w:p/>
                            </w:tc>
                          </w:tr>
                        </w:tbl>
                        <w:p/>
                      </w:sdtContent>
                    </w:sdt>
                    <w:sdt>
                      <w:sdtPr>
                        <w:alias w:val="13 pr. 3 p."/>
                        <w:tag w:val="part_adb6e8e62ec844cfb39e03130ff62487"/>
                        <w:lock w:val="sdtLocked"/>
                        <w:richText/>
                      </w:sdtPr>
                      <w:sdtContent>
                        <w:p>
                          <w:sdt>
                            <w:sdtPr>
                              <w:alias w:val="Numeris"/>
                              <w:tag w:val="nr_adb6e8e62ec844cfb39e03130ff62487"/>
                              <w:lock w:val="sdtLocked"/>
                              <w:richText/>
                            </w:sdtPr>
                            <w:sdtContent>
                              <w:r>
                                <w:t>3</w:t>
                              </w:r>
                            </w:sdtContent>
                          </w:sdt>
                          <w:r>
                            <w:t>. Tikrinimo metu atlikta:</w:t>
                          </w:r>
                        </w:p>
                        <w:tbl>
                          <w:tblPr>
                            <w:tblW w:w="9070" w:type="dxa"/>
                            <w:tblLayout w:type="fixed"/>
                            <w:tblLook w:val="0000" w:firstRow="0" w:lastRow="0" w:firstColumn="0" w:lastColumn="0" w:noHBand="0" w:noVBand="0"/>
                          </w:tblPr>
                          <w:tblGrid>
                            <w:gridCol w:w="915"/>
                            <w:gridCol w:w="4749"/>
                            <w:gridCol w:w="3406"/>
                          </w:tblGrid>
                          <w:tr>
                            <w:trPr>
                              <w:tblHeader/>
                            </w:trPr>
                            <w:tc>
                              <w:tcPr>
                                <w:tcW w:w="918" w:type="dxa"/>
                                <w:tcBorders>
                                  <w:top w:val="single" w:sz="6" w:space="0" w:color="auto"/>
                                  <w:left w:val="single" w:sz="6" w:space="0" w:color="auto"/>
                                  <w:bottom w:val="single" w:sz="6" w:space="0" w:color="auto"/>
                                  <w:right w:val="single" w:sz="6" w:space="0" w:color="auto"/>
                                </w:tcBorders>
                              </w:tcPr>
                              <w:p>
                                <w:r>
                                  <w:t>Eil. Nr.</w:t>
                                </w:r>
                              </w:p>
                            </w:tc>
                            <w:tc>
                              <w:tcPr>
                                <w:tcW w:w="4770" w:type="dxa"/>
                                <w:tcBorders>
                                  <w:top w:val="single" w:sz="6" w:space="0" w:color="auto"/>
                                  <w:left w:val="single" w:sz="6" w:space="0" w:color="auto"/>
                                  <w:bottom w:val="single" w:sz="6" w:space="0" w:color="auto"/>
                                  <w:right w:val="single" w:sz="6" w:space="0" w:color="auto"/>
                                </w:tcBorders>
                              </w:tcPr>
                              <w:p>
                                <w:r>
                                  <w:t>Tyrimai</w:t>
                                </w:r>
                              </w:p>
                            </w:tc>
                            <w:tc>
                              <w:tcPr>
                                <w:tcW w:w="3420" w:type="dxa"/>
                                <w:tcBorders>
                                  <w:top w:val="single" w:sz="6" w:space="0" w:color="auto"/>
                                  <w:bottom w:val="single" w:sz="6" w:space="0" w:color="auto"/>
                                  <w:right w:val="single" w:sz="6" w:space="0" w:color="auto"/>
                                </w:tcBorders>
                              </w:tcPr>
                              <w:p>
                                <w:r>
                                  <w:t>Skaičius</w:t>
                                </w: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1.</w:t>
                                </w:r>
                              </w:p>
                            </w:tc>
                            <w:tc>
                              <w:tcPr>
                                <w:tcW w:w="4770" w:type="dxa"/>
                              </w:tcPr>
                              <w:p>
                                <w:r>
                                  <w:t>Klinikiniai kraujo tyrimai (Hb, leukocitai, ENG)</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2.</w:t>
                                </w:r>
                              </w:p>
                            </w:tc>
                            <w:tc>
                              <w:tcPr>
                                <w:tcW w:w="4770" w:type="dxa"/>
                              </w:tcPr>
                              <w:p>
                                <w:r>
                                  <w:t>Šlapimo tyrimai</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3.</w:t>
                                </w:r>
                              </w:p>
                            </w:tc>
                            <w:tc>
                              <w:tcPr>
                                <w:tcW w:w="4770" w:type="dxa"/>
                              </w:tcPr>
                              <w:p>
                                <w:r>
                                  <w:t>Krūtinės ląstos rentgenogramos</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4.</w:t>
                                </w:r>
                              </w:p>
                            </w:tc>
                            <w:tc>
                              <w:tcPr>
                                <w:tcW w:w="4770" w:type="dxa"/>
                              </w:tcPr>
                              <w:p>
                                <w:r>
                                  <w:t>Biocheminiai kraujo tyrimai</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 xml:space="preserve">5. </w:t>
                                </w:r>
                              </w:p>
                            </w:tc>
                            <w:tc>
                              <w:tcPr>
                                <w:tcW w:w="4770" w:type="dxa"/>
                              </w:tcPr>
                              <w:p>
                                <w:r>
                                  <w:t>Mikroprecipitacijos reakcijos</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6.</w:t>
                                </w:r>
                              </w:p>
                            </w:tc>
                            <w:tc>
                              <w:tcPr>
                                <w:tcW w:w="4770" w:type="dxa"/>
                              </w:tcPr>
                              <w:p>
                                <w:r>
                                  <w:t>Audiogramos</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7.</w:t>
                                </w:r>
                              </w:p>
                            </w:tc>
                            <w:tc>
                              <w:tcPr>
                                <w:tcW w:w="4770" w:type="dxa"/>
                              </w:tcPr>
                              <w:p>
                                <w:r>
                                  <w:t>EKG</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8.</w:t>
                                </w:r>
                              </w:p>
                            </w:tc>
                            <w:tc>
                              <w:tcPr>
                                <w:tcW w:w="4770" w:type="dxa"/>
                              </w:tcPr>
                              <w:p>
                                <w:r>
                                  <w:t>Tyrimai ultragarsu</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9.</w:t>
                                </w:r>
                              </w:p>
                            </w:tc>
                            <w:tc>
                              <w:tcPr>
                                <w:tcW w:w="4770" w:type="dxa"/>
                              </w:tcPr>
                              <w:p>
                                <w:r>
                                  <w:t>Kvėpavimo funkcijos tyrimai</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 xml:space="preserve">10. </w:t>
                                </w:r>
                              </w:p>
                            </w:tc>
                            <w:tc>
                              <w:tcPr>
                                <w:tcW w:w="4770" w:type="dxa"/>
                              </w:tcPr>
                              <w:p>
                                <w:r>
                                  <w:t>Skreplių citologiniai tyrimai</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 xml:space="preserve">11. </w:t>
                                </w:r>
                              </w:p>
                            </w:tc>
                            <w:tc>
                              <w:tcPr>
                                <w:tcW w:w="4770" w:type="dxa"/>
                              </w:tcPr>
                              <w:p>
                                <w:r>
                                  <w:t>Kiti tyrimai</w:t>
                                </w:r>
                              </w:p>
                            </w:tc>
                            <w:tc>
                              <w:tcPr>
                                <w:tcW w:w="3420" w:type="dxa"/>
                              </w:tcPr>
                              <w:p/>
                            </w:tc>
                          </w:tr>
                        </w:tbl>
                        <w:p/>
                      </w:sdtContent>
                    </w:sdt>
                    <w:sdt>
                      <w:sdtPr>
                        <w:alias w:val="13 pr. 4 p."/>
                        <w:tag w:val="part_31470062180c4d71b3f5d7f7b735a64d"/>
                        <w:lock w:val="sdtLocked"/>
                        <w:richText/>
                      </w:sdtPr>
                      <w:sdtContent>
                        <w:p>
                          <w:sdt>
                            <w:sdtPr>
                              <w:alias w:val="Numeris"/>
                              <w:tag w:val="nr_31470062180c4d71b3f5d7f7b735a64d"/>
                              <w:lock w:val="sdtLocked"/>
                              <w:richText/>
                            </w:sdtPr>
                            <w:sdtContent>
                              <w:r>
                                <w:t>4</w:t>
                              </w:r>
                            </w:sdtContent>
                          </w:sdt>
                          <w:r>
                            <w:t>. Pateiktos išvados:</w:t>
                          </w:r>
                        </w:p>
                        <w:sdt>
                          <w:sdtPr>
                            <w:alias w:val="13 pr. 4.1 p."/>
                            <w:tag w:val="part_f59816ec77884423b6c9571ff20a5ac3"/>
                            <w:lock w:val="sdtLocked"/>
                            <w:richText/>
                          </w:sdtPr>
                          <w:sdtContent>
                            <w:p>
                              <w:sdt>
                                <w:sdtPr>
                                  <w:alias w:val="Numeris"/>
                                  <w:tag w:val="nr_f59816ec77884423b6c9571ff20a5ac3"/>
                                  <w:lock w:val="sdtLocked"/>
                                  <w:richText/>
                                </w:sdtPr>
                                <w:sdtContent>
                                  <w:r>
                                    <w:t>4.1</w:t>
                                  </w:r>
                                </w:sdtContent>
                              </w:sdt>
                              <w:r>
                                <w:t>. Dėl asmenų, kuriems leidžiama dirbti su apribojimais:</w:t>
                              </w:r>
                            </w:p>
                            <w:tbl>
                              <w:tblPr>
                                <w:tblW w:w="907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631"/>
                                <w:gridCol w:w="1551"/>
                                <w:gridCol w:w="896"/>
                                <w:gridCol w:w="1074"/>
                                <w:gridCol w:w="1397"/>
                                <w:gridCol w:w="1478"/>
                                <w:gridCol w:w="2043"/>
                              </w:tblGrid>
                              <w:tr>
                                <w:tc>
                                  <w:tcPr>
                                    <w:tcW w:w="675" w:type="dxa"/>
                                  </w:tcPr>
                                  <w:p>
                                    <w:r>
                                      <w:t>Eil. Nr.</w:t>
                                    </w:r>
                                  </w:p>
                                </w:tc>
                                <w:tc>
                                  <w:tcPr>
                                    <w:tcW w:w="1701" w:type="dxa"/>
                                  </w:tcPr>
                                  <w:p>
                                    <w:r>
                                      <w:t>Vardas, pavardė</w:t>
                                    </w:r>
                                  </w:p>
                                </w:tc>
                                <w:tc>
                                  <w:tcPr>
                                    <w:tcW w:w="972" w:type="dxa"/>
                                  </w:tcPr>
                                  <w:p>
                                    <w:r>
                                      <w:t>Gim. m.</w:t>
                                    </w:r>
                                  </w:p>
                                </w:tc>
                                <w:tc>
                                  <w:tcPr>
                                    <w:tcW w:w="1170" w:type="dxa"/>
                                  </w:tcPr>
                                  <w:p>
                                    <w:r>
                                      <w:t>Profesija</w:t>
                                    </w:r>
                                  </w:p>
                                </w:tc>
                                <w:tc>
                                  <w:tcPr>
                                    <w:tcW w:w="1530" w:type="dxa"/>
                                  </w:tcPr>
                                  <w:p>
                                    <w:r>
                                      <w:t>Profesinės rizikos veiksnys</w:t>
                                    </w:r>
                                  </w:p>
                                </w:tc>
                                <w:tc>
                                  <w:tcPr>
                                    <w:tcW w:w="1620" w:type="dxa"/>
                                  </w:tcPr>
                                  <w:p>
                                    <w:r>
                                      <w:t>Apribojimai</w:t>
                                    </w:r>
                                  </w:p>
                                </w:tc>
                                <w:tc>
                                  <w:tcPr>
                                    <w:tcW w:w="2250" w:type="dxa"/>
                                  </w:tcPr>
                                  <w:p>
                                    <w:r>
                                      <w:t>Siūlymai darbdaviui ir darbuotojui</w:t>
                                    </w:r>
                                  </w:p>
                                </w:tc>
                              </w:tr>
                              <w:tr>
                                <w:tc>
                                  <w:tcPr>
                                    <w:tcW w:w="675" w:type="dxa"/>
                                    <w:tcBorders>
                                      <w:top w:val="nil"/>
                                    </w:tcBorders>
                                  </w:tcPr>
                                  <w:p>
                                    <w:r>
                                      <w:t>1.</w:t>
                                    </w:r>
                                  </w:p>
                                </w:tc>
                                <w:tc>
                                  <w:tcPr>
                                    <w:tcW w:w="1701" w:type="dxa"/>
                                    <w:tcBorders>
                                      <w:top w:val="nil"/>
                                    </w:tcBorders>
                                  </w:tcPr>
                                  <w:p/>
                                </w:tc>
                                <w:tc>
                                  <w:tcPr>
                                    <w:tcW w:w="972" w:type="dxa"/>
                                    <w:tcBorders>
                                      <w:top w:val="nil"/>
                                    </w:tcBorders>
                                  </w:tcPr>
                                  <w:p/>
                                </w:tc>
                                <w:tc>
                                  <w:tcPr>
                                    <w:tcW w:w="1170" w:type="dxa"/>
                                    <w:tcBorders>
                                      <w:top w:val="nil"/>
                                    </w:tcBorders>
                                  </w:tcPr>
                                  <w:p/>
                                </w:tc>
                                <w:tc>
                                  <w:tcPr>
                                    <w:tcW w:w="1530" w:type="dxa"/>
                                    <w:tcBorders>
                                      <w:top w:val="nil"/>
                                    </w:tcBorders>
                                  </w:tcPr>
                                  <w:p/>
                                </w:tc>
                                <w:tc>
                                  <w:tcPr>
                                    <w:tcW w:w="1620" w:type="dxa"/>
                                    <w:tcBorders>
                                      <w:top w:val="nil"/>
                                    </w:tcBorders>
                                  </w:tcPr>
                                  <w:p/>
                                </w:tc>
                                <w:tc>
                                  <w:tcPr>
                                    <w:tcW w:w="2250" w:type="dxa"/>
                                    <w:tcBorders>
                                      <w:top w:val="nil"/>
                                    </w:tcBorders>
                                  </w:tcPr>
                                  <w:p/>
                                </w:tc>
                              </w:tr>
                              <w:tr>
                                <w:tc>
                                  <w:tcPr>
                                    <w:tcW w:w="675" w:type="dxa"/>
                                  </w:tcPr>
                                  <w:p>
                                    <w:r>
                                      <w:t>2.</w:t>
                                    </w:r>
                                  </w:p>
                                </w:tc>
                                <w:tc>
                                  <w:tcPr>
                                    <w:tcW w:w="1701" w:type="dxa"/>
                                  </w:tcPr>
                                  <w:p/>
                                </w:tc>
                                <w:tc>
                                  <w:tcPr>
                                    <w:tcW w:w="972" w:type="dxa"/>
                                  </w:tcPr>
                                  <w:p/>
                                </w:tc>
                                <w:tc>
                                  <w:tcPr>
                                    <w:tcW w:w="1170" w:type="dxa"/>
                                  </w:tcPr>
                                  <w:p/>
                                </w:tc>
                                <w:tc>
                                  <w:tcPr>
                                    <w:tcW w:w="1530" w:type="dxa"/>
                                  </w:tcPr>
                                  <w:p/>
                                </w:tc>
                                <w:tc>
                                  <w:tcPr>
                                    <w:tcW w:w="1620" w:type="dxa"/>
                                  </w:tcPr>
                                  <w:p/>
                                </w:tc>
                                <w:tc>
                                  <w:tcPr>
                                    <w:tcW w:w="2250" w:type="dxa"/>
                                  </w:tcPr>
                                  <w:p/>
                                </w:tc>
                              </w:tr>
                              <w:tr>
                                <w:tc>
                                  <w:tcPr>
                                    <w:tcW w:w="675" w:type="dxa"/>
                                  </w:tcPr>
                                  <w:p>
                                    <w:r>
                                      <w:t>3.</w:t>
                                    </w:r>
                                  </w:p>
                                </w:tc>
                                <w:tc>
                                  <w:tcPr>
                                    <w:tcW w:w="1701" w:type="dxa"/>
                                  </w:tcPr>
                                  <w:p/>
                                </w:tc>
                                <w:tc>
                                  <w:tcPr>
                                    <w:tcW w:w="972" w:type="dxa"/>
                                  </w:tcPr>
                                  <w:p/>
                                </w:tc>
                                <w:tc>
                                  <w:tcPr>
                                    <w:tcW w:w="1170" w:type="dxa"/>
                                  </w:tcPr>
                                  <w:p/>
                                </w:tc>
                                <w:tc>
                                  <w:tcPr>
                                    <w:tcW w:w="1530" w:type="dxa"/>
                                  </w:tcPr>
                                  <w:p/>
                                </w:tc>
                                <w:tc>
                                  <w:tcPr>
                                    <w:tcW w:w="1620" w:type="dxa"/>
                                  </w:tcPr>
                                  <w:p/>
                                </w:tc>
                                <w:tc>
                                  <w:tcPr>
                                    <w:tcW w:w="2250" w:type="dxa"/>
                                  </w:tcPr>
                                  <w:p/>
                                </w:tc>
                              </w:tr>
                            </w:tbl>
                            <w:p/>
                          </w:sdtContent>
                        </w:sdt>
                        <w:sdt>
                          <w:sdtPr>
                            <w:alias w:val="13 pr. 4.2 p."/>
                            <w:tag w:val="part_deb46bf600d24d2090065763213bfbf6"/>
                            <w:lock w:val="sdtLocked"/>
                            <w:richText/>
                          </w:sdtPr>
                          <w:sdtContent>
                            <w:p>
                              <w:sdt>
                                <w:sdtPr>
                                  <w:alias w:val="Numeris"/>
                                  <w:tag w:val="nr_deb46bf600d24d2090065763213bfbf6"/>
                                  <w:lock w:val="sdtLocked"/>
                                  <w:richText/>
                                </w:sdtPr>
                                <w:sdtContent>
                                  <w:r>
                                    <w:t>4.2</w:t>
                                  </w:r>
                                </w:sdtContent>
                              </w:sdt>
                              <w:r>
                                <w:t>. Dėl asmenų, kuriems įtariama profesinė liga:</w:t>
                              </w:r>
                            </w:p>
                            <w:tbl>
                              <w:tblPr>
                                <w:tblW w:w="907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630"/>
                                <w:gridCol w:w="1535"/>
                                <w:gridCol w:w="913"/>
                                <w:gridCol w:w="1074"/>
                                <w:gridCol w:w="1397"/>
                                <w:gridCol w:w="1478"/>
                                <w:gridCol w:w="2043"/>
                              </w:tblGrid>
                              <w:tr>
                                <w:tc>
                                  <w:tcPr>
                                    <w:tcW w:w="675" w:type="dxa"/>
                                  </w:tcPr>
                                  <w:p>
                                    <w:r>
                                      <w:t>Eil. Nr.</w:t>
                                    </w:r>
                                  </w:p>
                                </w:tc>
                                <w:tc>
                                  <w:tcPr>
                                    <w:tcW w:w="1683" w:type="dxa"/>
                                  </w:tcPr>
                                  <w:p>
                                    <w:r>
                                      <w:t>Vardas, pavardė</w:t>
                                    </w:r>
                                  </w:p>
                                </w:tc>
                                <w:tc>
                                  <w:tcPr>
                                    <w:tcW w:w="990" w:type="dxa"/>
                                  </w:tcPr>
                                  <w:p>
                                    <w:r>
                                      <w:t>Gim. m.</w:t>
                                    </w:r>
                                  </w:p>
                                </w:tc>
                                <w:tc>
                                  <w:tcPr>
                                    <w:tcW w:w="1170" w:type="dxa"/>
                                  </w:tcPr>
                                  <w:p>
                                    <w:r>
                                      <w:t>Profesija</w:t>
                                    </w:r>
                                  </w:p>
                                </w:tc>
                                <w:tc>
                                  <w:tcPr>
                                    <w:tcW w:w="1530" w:type="dxa"/>
                                  </w:tcPr>
                                  <w:p>
                                    <w:r>
                                      <w:t>Profesinės rizikos veiksnys</w:t>
                                    </w:r>
                                  </w:p>
                                </w:tc>
                                <w:tc>
                                  <w:tcPr>
                                    <w:tcW w:w="1620" w:type="dxa"/>
                                  </w:tcPr>
                                  <w:p>
                                    <w:r>
                                      <w:t>Įtariama diagnozė</w:t>
                                    </w:r>
                                  </w:p>
                                </w:tc>
                                <w:tc>
                                  <w:tcPr>
                                    <w:tcW w:w="2250" w:type="dxa"/>
                                  </w:tcPr>
                                  <w:p>
                                    <w:r>
                                      <w:t xml:space="preserve">Siūlymai darbdaviui ir darbuotojui </w:t>
                                    </w:r>
                                  </w:p>
                                </w:tc>
                              </w:tr>
                              <w:tr>
                                <w:tc>
                                  <w:tcPr>
                                    <w:tcW w:w="675" w:type="dxa"/>
                                  </w:tcPr>
                                  <w:p>
                                    <w:r>
                                      <w:t>1.</w:t>
                                    </w:r>
                                  </w:p>
                                </w:tc>
                                <w:tc>
                                  <w:tcPr>
                                    <w:tcW w:w="1683" w:type="dxa"/>
                                  </w:tcPr>
                                  <w:p/>
                                </w:tc>
                                <w:tc>
                                  <w:tcPr>
                                    <w:tcW w:w="990" w:type="dxa"/>
                                  </w:tcPr>
                                  <w:p/>
                                </w:tc>
                                <w:tc>
                                  <w:tcPr>
                                    <w:tcW w:w="1170" w:type="dxa"/>
                                  </w:tcPr>
                                  <w:p/>
                                </w:tc>
                                <w:tc>
                                  <w:tcPr>
                                    <w:tcW w:w="1530" w:type="dxa"/>
                                  </w:tcPr>
                                  <w:p/>
                                </w:tc>
                                <w:tc>
                                  <w:tcPr>
                                    <w:tcW w:w="1620" w:type="dxa"/>
                                  </w:tcPr>
                                  <w:p/>
                                </w:tc>
                                <w:tc>
                                  <w:tcPr>
                                    <w:tcW w:w="2250" w:type="dxa"/>
                                  </w:tcPr>
                                  <w:p/>
                                </w:tc>
                              </w:tr>
                              <w:tr>
                                <w:tc>
                                  <w:tcPr>
                                    <w:tcW w:w="675" w:type="dxa"/>
                                  </w:tcPr>
                                  <w:p>
                                    <w:r>
                                      <w:t>2.</w:t>
                                    </w:r>
                                  </w:p>
                                </w:tc>
                                <w:tc>
                                  <w:tcPr>
                                    <w:tcW w:w="1683" w:type="dxa"/>
                                  </w:tcPr>
                                  <w:p/>
                                </w:tc>
                                <w:tc>
                                  <w:tcPr>
                                    <w:tcW w:w="990" w:type="dxa"/>
                                  </w:tcPr>
                                  <w:p/>
                                </w:tc>
                                <w:tc>
                                  <w:tcPr>
                                    <w:tcW w:w="1170" w:type="dxa"/>
                                  </w:tcPr>
                                  <w:p/>
                                </w:tc>
                                <w:tc>
                                  <w:tcPr>
                                    <w:tcW w:w="1530" w:type="dxa"/>
                                  </w:tcPr>
                                  <w:p/>
                                </w:tc>
                                <w:tc>
                                  <w:tcPr>
                                    <w:tcW w:w="1620" w:type="dxa"/>
                                  </w:tcPr>
                                  <w:p/>
                                </w:tc>
                                <w:tc>
                                  <w:tcPr>
                                    <w:tcW w:w="2250" w:type="dxa"/>
                                  </w:tcPr>
                                  <w:p/>
                                </w:tc>
                              </w:tr>
                              <w:tr>
                                <w:tc>
                                  <w:tcPr>
                                    <w:tcW w:w="675" w:type="dxa"/>
                                  </w:tcPr>
                                  <w:p>
                                    <w:r>
                                      <w:t>3.</w:t>
                                    </w:r>
                                  </w:p>
                                </w:tc>
                                <w:tc>
                                  <w:tcPr>
                                    <w:tcW w:w="1683" w:type="dxa"/>
                                  </w:tcPr>
                                  <w:p/>
                                </w:tc>
                                <w:tc>
                                  <w:tcPr>
                                    <w:tcW w:w="990" w:type="dxa"/>
                                  </w:tcPr>
                                  <w:p/>
                                </w:tc>
                                <w:tc>
                                  <w:tcPr>
                                    <w:tcW w:w="1170" w:type="dxa"/>
                                  </w:tcPr>
                                  <w:p/>
                                </w:tc>
                                <w:tc>
                                  <w:tcPr>
                                    <w:tcW w:w="1530" w:type="dxa"/>
                                  </w:tcPr>
                                  <w:p/>
                                </w:tc>
                                <w:tc>
                                  <w:tcPr>
                                    <w:tcW w:w="1620" w:type="dxa"/>
                                  </w:tcPr>
                                  <w:p/>
                                </w:tc>
                                <w:tc>
                                  <w:tcPr>
                                    <w:tcW w:w="2250" w:type="dxa"/>
                                  </w:tcPr>
                                  <w:p/>
                                </w:tc>
                              </w:tr>
                            </w:tbl>
                            <w:p/>
                          </w:sdtContent>
                        </w:sdt>
                        <w:sdt>
                          <w:sdtPr>
                            <w:alias w:val="13 pr. 4.3 p."/>
                            <w:tag w:val="part_2984e5fe057947eab12160cf989c762e"/>
                            <w:lock w:val="sdtLocked"/>
                            <w:richText/>
                          </w:sdtPr>
                          <w:sdtContent>
                            <w:p>
                              <w:sdt>
                                <w:sdtPr>
                                  <w:alias w:val="Numeris"/>
                                  <w:tag w:val="nr_2984e5fe057947eab12160cf989c762e"/>
                                  <w:lock w:val="sdtLocked"/>
                                  <w:richText/>
                                </w:sdtPr>
                                <w:sdtContent>
                                  <w:r>
                                    <w:t>4.3</w:t>
                                  </w:r>
                                </w:sdtContent>
                              </w:sdt>
                              <w:r>
                                <w:t>. Dėl asmenų, kuriems dėl sveikatos būklės būtina pakeisti darbo sąlygas į nesusijusias su profesinės rizikos veiksniais:</w:t>
                              </w:r>
                            </w:p>
                            <w:tbl>
                              <w:tblPr>
                                <w:tblW w:w="907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631"/>
                                <w:gridCol w:w="1539"/>
                                <w:gridCol w:w="915"/>
                                <w:gridCol w:w="1077"/>
                                <w:gridCol w:w="2130"/>
                                <w:gridCol w:w="2778"/>
                              </w:tblGrid>
                              <w:tr>
                                <w:tc>
                                  <w:tcPr>
                                    <w:tcW w:w="675" w:type="dxa"/>
                                  </w:tcPr>
                                  <w:p>
                                    <w:r>
                                      <w:t>Eil. Nr.</w:t>
                                    </w:r>
                                  </w:p>
                                </w:tc>
                                <w:tc>
                                  <w:tcPr>
                                    <w:tcW w:w="1683" w:type="dxa"/>
                                  </w:tcPr>
                                  <w:p>
                                    <w:r>
                                      <w:t>Vardas, pavardė</w:t>
                                    </w:r>
                                  </w:p>
                                </w:tc>
                                <w:tc>
                                  <w:tcPr>
                                    <w:tcW w:w="990" w:type="dxa"/>
                                  </w:tcPr>
                                  <w:p>
                                    <w:r>
                                      <w:t>Gim. m.</w:t>
                                    </w:r>
                                  </w:p>
                                </w:tc>
                                <w:tc>
                                  <w:tcPr>
                                    <w:tcW w:w="1170" w:type="dxa"/>
                                  </w:tcPr>
                                  <w:p>
                                    <w:r>
                                      <w:t>Profesija</w:t>
                                    </w:r>
                                  </w:p>
                                </w:tc>
                                <w:tc>
                                  <w:tcPr>
                                    <w:tcW w:w="2340" w:type="dxa"/>
                                  </w:tcPr>
                                  <w:p>
                                    <w:r>
                                      <w:t>Profesinės rizikos veiksnys</w:t>
                                    </w:r>
                                  </w:p>
                                </w:tc>
                                <w:tc>
                                  <w:tcPr>
                                    <w:tcW w:w="3060" w:type="dxa"/>
                                  </w:tcPr>
                                  <w:p>
                                    <w:r>
                                      <w:t>Siūlymai darbdaviui ir darbuotojui</w:t>
                                    </w:r>
                                  </w:p>
                                </w:tc>
                              </w:tr>
                              <w:tr>
                                <w:tc>
                                  <w:tcPr>
                                    <w:tcW w:w="675" w:type="dxa"/>
                                  </w:tcPr>
                                  <w:p>
                                    <w:r>
                                      <w:t>1.</w:t>
                                    </w:r>
                                  </w:p>
                                </w:tc>
                                <w:tc>
                                  <w:tcPr>
                                    <w:tcW w:w="1683" w:type="dxa"/>
                                  </w:tcPr>
                                  <w:p/>
                                </w:tc>
                                <w:tc>
                                  <w:tcPr>
                                    <w:tcW w:w="990" w:type="dxa"/>
                                  </w:tcPr>
                                  <w:p/>
                                </w:tc>
                                <w:tc>
                                  <w:tcPr>
                                    <w:tcW w:w="1170" w:type="dxa"/>
                                  </w:tcPr>
                                  <w:p/>
                                </w:tc>
                                <w:tc>
                                  <w:tcPr>
                                    <w:tcW w:w="2340" w:type="dxa"/>
                                  </w:tcPr>
                                  <w:p/>
                                </w:tc>
                                <w:tc>
                                  <w:tcPr>
                                    <w:tcW w:w="3060" w:type="dxa"/>
                                  </w:tcPr>
                                  <w:p/>
                                </w:tc>
                              </w:tr>
                              <w:tr>
                                <w:tc>
                                  <w:tcPr>
                                    <w:tcW w:w="675" w:type="dxa"/>
                                  </w:tcPr>
                                  <w:p>
                                    <w:r>
                                      <w:t>2.</w:t>
                                    </w:r>
                                  </w:p>
                                </w:tc>
                                <w:tc>
                                  <w:tcPr>
                                    <w:tcW w:w="1683" w:type="dxa"/>
                                  </w:tcPr>
                                  <w:p/>
                                </w:tc>
                                <w:tc>
                                  <w:tcPr>
                                    <w:tcW w:w="990" w:type="dxa"/>
                                  </w:tcPr>
                                  <w:p/>
                                </w:tc>
                                <w:tc>
                                  <w:tcPr>
                                    <w:tcW w:w="1170" w:type="dxa"/>
                                  </w:tcPr>
                                  <w:p/>
                                </w:tc>
                                <w:tc>
                                  <w:tcPr>
                                    <w:tcW w:w="2340" w:type="dxa"/>
                                  </w:tcPr>
                                  <w:p/>
                                </w:tc>
                                <w:tc>
                                  <w:tcPr>
                                    <w:tcW w:w="3060" w:type="dxa"/>
                                  </w:tcPr>
                                  <w:p/>
                                </w:tc>
                              </w:tr>
                              <w:tr>
                                <w:tc>
                                  <w:tcPr>
                                    <w:tcW w:w="675" w:type="dxa"/>
                                  </w:tcPr>
                                  <w:p>
                                    <w:r>
                                      <w:t>3.</w:t>
                                    </w:r>
                                  </w:p>
                                </w:tc>
                                <w:tc>
                                  <w:tcPr>
                                    <w:tcW w:w="1683" w:type="dxa"/>
                                  </w:tcPr>
                                  <w:p/>
                                </w:tc>
                                <w:tc>
                                  <w:tcPr>
                                    <w:tcW w:w="990" w:type="dxa"/>
                                  </w:tcPr>
                                  <w:p/>
                                </w:tc>
                                <w:tc>
                                  <w:tcPr>
                                    <w:tcW w:w="1170" w:type="dxa"/>
                                  </w:tcPr>
                                  <w:p/>
                                </w:tc>
                                <w:tc>
                                  <w:tcPr>
                                    <w:tcW w:w="2340" w:type="dxa"/>
                                  </w:tcPr>
                                  <w:p/>
                                </w:tc>
                                <w:tc>
                                  <w:tcPr>
                                    <w:tcW w:w="3060" w:type="dxa"/>
                                  </w:tcPr>
                                  <w:p/>
                                </w:tc>
                              </w:tr>
                            </w:tbl>
                            <w:p>
                              <w:r>
                                <w:t xml:space="preserve">Protokolas surašomas dviem egzemplioriais (paciento darbdaviui, patikrinimą atlikusiai ASPĮ) </w:t>
                              </w:r>
                            </w:p>
                            <w:p/>
                            <w:p>
                              <w:pPr>
                                <w:tabs>
                                  <w:tab w:val="left" w:leader="dot" w:pos="8902"/>
                                </w:tabs>
                                <w:jc w:val="both"/>
                              </w:pPr>
                              <w:r>
                                <w:t>...</w:t>
                                <w:tab/>
                              </w:r>
                            </w:p>
                            <w:tbl>
                              <w:tblPr>
                                <w:tblW w:w="9070" w:type="dxa"/>
                                <w:tblLook w:val="01E0" w:firstRow="1" w:lastRow="1" w:firstColumn="1" w:lastColumn="1" w:noHBand="0" w:noVBand="0"/>
                              </w:tblPr>
                              <w:tblGrid>
                                <w:gridCol w:w="4537"/>
                                <w:gridCol w:w="4533"/>
                              </w:tblGrid>
                              <w:tr>
                                <w:tc>
                                  <w:tcPr>
                                    <w:tcW w:w="4644" w:type="dxa"/>
                                  </w:tcPr>
                                  <w:p>
                                    <w:r>
                                      <w:t>šeimos medicinos paslaugas teikiantis gydytojas arba darbo medicinos gydytojas, tel. ...... (vardas, pavardė) “</w:t>
                                    </w:r>
                                  </w:p>
                                </w:tc>
                                <w:tc>
                                  <w:tcPr>
                                    <w:tcW w:w="4644" w:type="dxa"/>
                                  </w:tcPr>
                                  <w:p>
                                    <w:pPr>
                                      <w:jc w:val="center"/>
                                    </w:pPr>
                                    <w:r>
                                      <w:t>(parašas)</w:t>
                                    </w:r>
                                  </w:p>
                                </w:tc>
                              </w:tr>
                            </w:tbl>
                            <w:p/>
                          </w:sdtContent>
                        </w:sdt>
                      </w:sdtContent>
                    </w:sdt>
                  </w:sdtContent>
                </w:sdt>
                <w:sdt>
                  <w:sdtPr>
                    <w:alias w:val="pabaiga"/>
                    <w:tag w:val="part_f9964173ee2a4b89a1a3afa977e4b92e"/>
                    <w:lock w:val="sdtLocked"/>
                    <w:richText/>
                  </w:sdtPr>
                  <w:sdtContent>
                    <w:p>
                      <w:pPr>
                        <w:jc w:val="center"/>
                      </w:pPr>
                      <w:r>
                        <w:t>_________________</w:t>
                      </w:r>
                    </w:p>
                    <w:p/>
                    <w:p>
                      <w:pPr>
                        <w:rPr>
                          <w:color w:val="000000"/>
                        </w:rPr>
                      </w:pPr>
                    </w:p>
                  </w:sdtContent>
                </w:sdt>
              </w:sdtContent>
            </w:sdt>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CD069E8FA43">
            <w:r w:rsidRPr="00532B9F">
              <w:rPr>
                <w:rFonts w:ascii="Times New Roman" w:eastAsia="MS Mincho" w:hAnsi="Times New Roman"/>
                <w:sz w:val="20"/>
                <w:i/>
                <w:iCs/>
                <w:color w:val="0000FF" w:themeColor="hyperlink"/>
                <w:u w:val="single"/>
              </w:rPr>
              <w:t>V-1072</w:t>
            </w:r>
          </w:fldSimple>
          <w:r>
            <w:rPr>
              <w:rFonts w:ascii="Times New Roman" w:eastAsia="MS Mincho" w:hAnsi="Times New Roman"/>
              <w:sz w:val="20"/>
              <w:i/>
              <w:iCs/>
            </w:rPr>
            <w:t>,
2009-12-29,
Žin., 2010, Nr.
4-163 (2010-01-12), i. k. 1092250ISAK00V-1072            </w:t>
          </w:r>
        </w:p>
        <w:p/>
      </w:sdtContent>
    </w:sdt>
    <w:sdt>
      <w:sdtPr>
        <w:alias w:val="14 pr."/>
        <w:tag w:val="part_2fdcd7c0cfd84c7b9b74f1415695a5bb"/>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14</w:t>
          </w:r>
          <w:r>
            <w:rPr>
              <w:rFonts w:ascii="Times New Roman" w:hAnsi="Times New Roman"/>
              <w:b/>
              <w:sz w:val="22"/>
            </w:rPr>
            <w:t xml:space="preserve"> priedas.</w:t>
          </w:r>
          <w:r>
            <w:rPr>
              <w:rFonts w:ascii="Times New Roman" w:eastAsia="MS Mincho" w:hAnsi="Times New Roman"/>
              <w:sz w:val="20"/>
              <w:i/>
              <w:iCs/>
            </w:rPr>
            <w:t xml:space="preserve"> Neteko galios nuo 2003-10-02</w:t>
          </w:r>
        </w:p>
        <w:p>
          <w:pPr>
            <w:pStyle w:val="PlainText"/>
            <w:rPr>
              <w:rFonts w:ascii="Times New Roman" w:eastAsia="MS Mincho" w:hAnsi="Times New Roman"/>
              <w:sz w:val="20"/>
              <w:i/>
              <w:iCs/>
            </w:rPr>
          </w:pPr>
          <w:r>
            <w:rPr>
              <w:rFonts w:ascii="Times New Roman" w:eastAsia="MS Mincho" w:hAnsi="Times New Roman"/>
              <w:sz w:val="20"/>
              <w:i/>
              <w:iCs/>
            </w:rPr>
            <w:t>Priedo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FF49B1BF8F5">
            <w:r w:rsidRPr="00532B9F">
              <w:rPr>
                <w:rFonts w:ascii="Times New Roman" w:eastAsia="MS Mincho" w:hAnsi="Times New Roman"/>
                <w:sz w:val="20"/>
                <w:i/>
                <w:iCs/>
                <w:color w:val="0000FF" w:themeColor="hyperlink"/>
                <w:u w:val="single"/>
              </w:rPr>
              <w:t>V-540</w:t>
            </w:r>
          </w:fldSimple>
          <w:r>
            <w:rPr>
              <w:rFonts w:ascii="Times New Roman" w:eastAsia="MS Mincho" w:hAnsi="Times New Roman"/>
              <w:sz w:val="20"/>
              <w:i/>
              <w:iCs/>
            </w:rPr>
            <w:t>,
2003-09-18,
Žin. 2003,
Nr.
92-4164 (2003-10-01), i. k. 1032250ISAK000V-540        </w:t>
          </w:r>
        </w:p>
        <w:p/>
      </w:sdtContent>
    </w:sdt>
    <w:sdt>
      <w:sdtPr>
        <w:alias w:val="15 pr."/>
        <w:tag w:val="part_ad4efd8c177b4a289b600a2975af93d6"/>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15</w:t>
          </w:r>
          <w:r>
            <w:rPr>
              <w:rFonts w:ascii="Times New Roman" w:hAnsi="Times New Roman"/>
              <w:b/>
              <w:sz w:val="22"/>
            </w:rPr>
            <w:t xml:space="preserve"> priedas.</w:t>
          </w:r>
          <w:r>
            <w:rPr>
              <w:rFonts w:ascii="Times New Roman" w:eastAsia="MS Mincho" w:hAnsi="Times New Roman"/>
              <w:sz w:val="20"/>
              <w:i/>
              <w:iCs/>
            </w:rPr>
            <w:t xml:space="preserve"> Neteko galios nuo 2016-01-01</w:t>
          </w:r>
        </w:p>
        <w:p>
          <w:pPr>
            <w:pStyle w:val="PlainText"/>
            <w:rPr>
              <w:rFonts w:ascii="Times New Roman" w:eastAsia="MS Mincho" w:hAnsi="Times New Roman"/>
              <w:sz w:val="20"/>
              <w:i/>
              <w:iCs/>
            </w:rPr>
          </w:pPr>
          <w:r>
            <w:rPr>
              <w:rFonts w:ascii="Times New Roman" w:eastAsia="MS Mincho" w:hAnsi="Times New Roman"/>
              <w:sz w:val="20"/>
              <w:i/>
              <w:iCs/>
            </w:rPr>
            <w:t>Priedo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f70b810aee111e5b12fbb7dc920ee2c">
            <w:r w:rsidRPr="00532B9F">
              <w:rPr>
                <w:rFonts w:ascii="Times New Roman" w:eastAsia="MS Mincho" w:hAnsi="Times New Roman"/>
                <w:sz w:val="20"/>
                <w:i/>
                <w:iCs/>
                <w:color w:val="0000FF" w:themeColor="hyperlink"/>
                <w:u w:val="single"/>
              </w:rPr>
              <w:t>V-1521</w:t>
            </w:r>
          </w:fldSimple>
          <w:r>
            <w:rPr>
              <w:rFonts w:ascii="Times New Roman" w:eastAsia="MS Mincho" w:hAnsi="Times New Roman"/>
              <w:sz w:val="20"/>
              <w:i/>
              <w:iCs/>
            </w:rPr>
            <w:t>,
2015-12-29,
paskelbta TAR 2015-12-30, i. k. 2015-20985        </w:t>
          </w:r>
        </w:p>
        <w:p>
          <w:pPr>
            <w:pStyle w:val="PlainText"/>
            <w:rPr>
              <w:rFonts w:ascii="Times New Roman" w:eastAsia="MS Mincho" w:hAnsi="Times New Roman"/>
              <w:sz w:val="20"/>
              <w:i/>
              <w:iCs/>
            </w:rPr>
          </w:pPr>
          <w:r>
            <w:rPr>
              <w:rFonts w:ascii="Times New Roman" w:eastAsia="MS Mincho" w:hAnsi="Times New Roman"/>
              <w:sz w:val="20"/>
              <w:i/>
              <w:iCs/>
            </w:rPr>
            <w:t>Pakeistas priedo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c9c90465d11e5a38cd6cdb94b0c51">
            <w:r w:rsidRPr="00532B9F">
              <w:rPr>
                <w:rFonts w:ascii="Times New Roman" w:eastAsia="MS Mincho" w:hAnsi="Times New Roman"/>
                <w:sz w:val="20"/>
                <w:i/>
                <w:iCs/>
                <w:color w:val="0000FF" w:themeColor="hyperlink"/>
                <w:u w:val="single"/>
              </w:rPr>
              <w:t>V-990</w:t>
            </w:r>
          </w:fldSimple>
          <w:r>
            <w:rPr>
              <w:rFonts w:ascii="Times New Roman" w:eastAsia="MS Mincho" w:hAnsi="Times New Roman"/>
              <w:sz w:val="20"/>
              <w:i/>
              <w:iCs/>
            </w:rPr>
            <w:t>,
2015-08-18,
paskelbta TAR 2015-08-19, i. k. 2015-12418        </w:t>
          </w:r>
        </w:p>
        <w:p/>
      </w:sdtContent>
    </w:sdt>
    <w:sdt>
      <w:sdtPr>
        <w:alias w:val="16 pr."/>
        <w:tag w:val="part_7ad791ab7dd94f85be58aa9d4360274a"/>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16</w:t>
          </w:r>
          <w:r>
            <w:rPr>
              <w:rFonts w:ascii="Times New Roman" w:hAnsi="Times New Roman"/>
              <w:b/>
              <w:sz w:val="22"/>
            </w:rPr>
            <w:t xml:space="preserve"> priedas.</w:t>
          </w:r>
          <w:r>
            <w:rPr>
              <w:rFonts w:ascii="Times New Roman" w:eastAsia="MS Mincho" w:hAnsi="Times New Roman"/>
              <w:sz w:val="20"/>
              <w:i/>
              <w:iCs/>
            </w:rPr>
            <w:t xml:space="preserve"> Neteko galios nuo 2015-08-22</w:t>
          </w:r>
        </w:p>
        <w:p>
          <w:pPr>
            <w:pStyle w:val="PlainText"/>
            <w:rPr>
              <w:rFonts w:ascii="Times New Roman" w:eastAsia="MS Mincho" w:hAnsi="Times New Roman"/>
              <w:sz w:val="20"/>
              <w:i/>
              <w:iCs/>
            </w:rPr>
          </w:pPr>
          <w:r>
            <w:rPr>
              <w:rFonts w:ascii="Times New Roman" w:eastAsia="MS Mincho" w:hAnsi="Times New Roman"/>
              <w:sz w:val="20"/>
              <w:i/>
              <w:iCs/>
            </w:rPr>
            <w:t>Priedo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a1f2e047c611e5a38cd6cdb94b0c51">
            <w:r w:rsidRPr="00532B9F">
              <w:rPr>
                <w:rFonts w:ascii="Times New Roman" w:eastAsia="MS Mincho" w:hAnsi="Times New Roman"/>
                <w:sz w:val="20"/>
                <w:i/>
                <w:iCs/>
                <w:color w:val="0000FF" w:themeColor="hyperlink"/>
                <w:u w:val="single"/>
              </w:rPr>
              <w:t>V-974</w:t>
            </w:r>
          </w:fldSimple>
          <w:r>
            <w:rPr>
              <w:rFonts w:ascii="Times New Roman" w:eastAsia="MS Mincho" w:hAnsi="Times New Roman"/>
              <w:sz w:val="20"/>
              <w:i/>
              <w:iCs/>
            </w:rPr>
            <w:t>,
2015-08-18,
paskelbta TAR 2015-08-21, i. k. 2015-12478        </w:t>
          </w:r>
        </w:p>
        <w:p/>
      </w:sdtContent>
    </w:sdt>
    <w:sdt>
      <w:sdtPr>
        <w:alias w:val="17 pr."/>
        <w:tag w:val="part_8b0d19f6b5e94bb7ae372cc42e2efe46"/>
        <w:lock w:val="sdtLocked"/>
        <w:richText/>
      </w:sdtPr>
      <w:sdtContent>
        <w:p>
          <w:pPr>
            <w:tabs>
              <w:tab w:val="left" w:pos="1304"/>
              <w:tab w:val="left" w:pos="1457"/>
              <w:tab w:val="left" w:pos="1604"/>
              <w:tab w:val="left" w:pos="1757"/>
            </w:tabs>
            <w:ind w:left="5102"/>
            <w:sectPr>
              <w:pgSz w:w="11907" w:h="16839"/>
              <w:pgMar w:top="1134" w:right="567" w:bottom="1134" w:left="1701" w:header="567" w:footer="567" w:gutter="0"/>
              <w:cols w:space="1296"/>
              <w:titlePg/>
              <w:docGrid w:linePitch="360"/>
            </w:sectPr>
          </w:pPr>
        </w:p>
        <w:p>
          <w:pPr>
            <w:tabs>
              <w:tab w:val="left" w:pos="1304"/>
              <w:tab w:val="left" w:pos="1457"/>
              <w:tab w:val="left" w:pos="1604"/>
              <w:tab w:val="left" w:pos="1757"/>
            </w:tabs>
            <w:ind w:left="5102"/>
            <w:rPr>
              <w:color w:val="000000"/>
            </w:rPr>
          </w:pPr>
          <w:r>
            <w:rPr>
              <w:color w:val="000000"/>
            </w:rPr>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8b0d19f6b5e94bb7ae372cc42e2efe46"/>
              <w:lock w:val="sdtLocked"/>
              <w:richText/>
            </w:sdtPr>
            <w:sdtContent>
              <w:r>
                <w:rPr>
                  <w:color w:val="000000"/>
                </w:rPr>
                <w:t>17</w:t>
              </w:r>
            </w:sdtContent>
          </w:sdt>
          <w:r>
            <w:rPr>
              <w:color w:val="000000"/>
            </w:rPr>
            <w:t xml:space="preserve"> priedas</w:t>
          </w:r>
        </w:p>
        <w:p>
          <w:pPr>
            <w:widowControl w:val="0"/>
            <w:ind w:left="5462"/>
            <w:rPr>
              <w:color w:val="000000"/>
            </w:rPr>
          </w:pPr>
        </w:p>
        <w:p>
          <w:pPr>
            <w:jc w:val="center"/>
            <w:rPr>
              <w:b/>
              <w:caps/>
              <w:color w:val="000000"/>
            </w:rPr>
          </w:pPr>
          <w:sdt>
            <w:sdtPr>
              <w:alias w:val="Pavadinimas"/>
              <w:tag w:val="title_8b0d19f6b5e94bb7ae372cc42e2efe46"/>
              <w:lock w:val="sdtLocked"/>
              <w:richText/>
            </w:sdtPr>
            <w:sdtContent>
              <w:r>
                <w:rPr>
                  <w:b/>
                  <w:caps/>
                  <w:color w:val="000000"/>
                </w:rPr>
                <w:t>ASMENŲ, NORINČIŲ SUSITUOKTI, SVEIKATOS TIKRINIMO TVARKA</w:t>
              </w:r>
            </w:sdtContent>
          </w:sdt>
        </w:p>
        <w:p>
          <w:pPr>
            <w:widowControl w:val="0"/>
            <w:tabs>
              <w:tab w:val="left" w:pos="1304"/>
              <w:tab w:val="left" w:pos="2778"/>
              <w:tab w:val="left" w:pos="4876"/>
              <w:tab w:val="left" w:pos="6860"/>
            </w:tabs>
            <w:ind w:left="1069"/>
            <w:rPr>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56"/>
            <w:gridCol w:w="3178"/>
            <w:gridCol w:w="3303"/>
          </w:tblGrid>
          <w:tr>
            <w:tc>
              <w:tcPr>
                <w:tcW w:w="6334" w:type="dxa"/>
                <w:gridSpan w:val="2"/>
                <w:shd w:val="clear" w:color="auto" w:fill="auto"/>
              </w:tcPr>
              <w:p>
                <w:pPr>
                  <w:widowControl w:val="0"/>
                  <w:ind w:left="360"/>
                  <w:jc w:val="center"/>
                  <w:rPr>
                    <w:sz w:val="14"/>
                  </w:rPr>
                </w:pPr>
                <w:r>
                  <w:rPr>
                    <w:sz w:val="14"/>
                  </w:rPr>
                  <w:t>Sveikatos tikrintojas</w:t>
                </w:r>
              </w:p>
            </w:tc>
            <w:tc>
              <w:tcPr>
                <w:tcW w:w="3303" w:type="dxa"/>
                <w:vMerge w:val="restart"/>
                <w:shd w:val="clear" w:color="auto" w:fill="auto"/>
              </w:tcPr>
              <w:p>
                <w:pPr>
                  <w:widowControl w:val="0"/>
                  <w:ind w:left="360"/>
                  <w:jc w:val="center"/>
                  <w:rPr>
                    <w:sz w:val="14"/>
                  </w:rPr>
                </w:pPr>
                <w:r>
                  <w:rPr>
                    <w:sz w:val="14"/>
                  </w:rPr>
                  <w:t>Tyrimai</w:t>
                </w:r>
              </w:p>
            </w:tc>
          </w:tr>
          <w:tr>
            <w:trPr>
              <w:trHeight w:val="680"/>
            </w:trPr>
            <w:tc>
              <w:tcPr>
                <w:tcW w:w="3156" w:type="dxa"/>
                <w:tcBorders>
                  <w:bottom w:val="single" w:sz="4" w:space="0" w:color="auto"/>
                </w:tcBorders>
                <w:shd w:val="clear" w:color="auto" w:fill="auto"/>
              </w:tcPr>
              <w:p>
                <w:pPr>
                  <w:widowControl w:val="0"/>
                  <w:ind w:left="360"/>
                  <w:jc w:val="center"/>
                  <w:rPr>
                    <w:sz w:val="14"/>
                  </w:rPr>
                </w:pPr>
                <w:r>
                  <w:rPr>
                    <w:sz w:val="14"/>
                  </w:rPr>
                  <w:t>Pirminio lygio asmens sveikatos priežiūros gydytojai</w:t>
                </w:r>
              </w:p>
            </w:tc>
            <w:tc>
              <w:tcPr>
                <w:tcW w:w="3178" w:type="dxa"/>
                <w:tcBorders>
                  <w:bottom w:val="single" w:sz="4" w:space="0" w:color="auto"/>
                </w:tcBorders>
                <w:shd w:val="clear" w:color="auto" w:fill="auto"/>
              </w:tcPr>
              <w:p>
                <w:pPr>
                  <w:widowControl w:val="0"/>
                  <w:ind w:left="360"/>
                  <w:jc w:val="center"/>
                  <w:rPr>
                    <w:sz w:val="14"/>
                  </w:rPr>
                </w:pPr>
                <w:r>
                  <w:rPr>
                    <w:sz w:val="14"/>
                  </w:rPr>
                  <w:t>Privalomos antrinio lygio gydytojų specialistų konsultacijos</w:t>
                </w:r>
              </w:p>
            </w:tc>
            <w:tc>
              <w:tcPr>
                <w:tcW w:w="3303" w:type="dxa"/>
                <w:vMerge/>
                <w:tcBorders>
                  <w:bottom w:val="single" w:sz="4" w:space="0" w:color="auto"/>
                </w:tcBorders>
                <w:shd w:val="clear" w:color="auto" w:fill="auto"/>
              </w:tcPr>
              <w:p>
                <w:pPr>
                  <w:widowControl w:val="0"/>
                  <w:ind w:left="360"/>
                  <w:jc w:val="center"/>
                  <w:rPr>
                    <w:sz w:val="14"/>
                  </w:rPr>
                </w:pPr>
              </w:p>
            </w:tc>
          </w:tr>
          <w:tr>
            <w:trPr>
              <w:trHeight w:val="2065"/>
            </w:trPr>
            <w:tc>
              <w:tcPr>
                <w:tcW w:w="3156" w:type="dxa"/>
                <w:shd w:val="clear" w:color="auto" w:fill="auto"/>
              </w:tcPr>
              <w:p>
                <w:pPr>
                  <w:widowControl w:val="0"/>
                  <w:ind w:left="360"/>
                  <w:rPr>
                    <w:sz w:val="14"/>
                  </w:rPr>
                </w:pPr>
                <w:r>
                  <w:rPr>
                    <w:sz w:val="14"/>
                  </w:rPr>
                  <w:t>Bendrosios praktikos gydytojas (pagal normą MN 14) arba terapeutas</w:t>
                </w:r>
              </w:p>
            </w:tc>
            <w:tc>
              <w:tcPr>
                <w:tcW w:w="3178" w:type="dxa"/>
                <w:tcBorders>
                  <w:bottom w:val="single" w:sz="4" w:space="0" w:color="auto"/>
                </w:tcBorders>
                <w:shd w:val="clear" w:color="auto" w:fill="auto"/>
              </w:tcPr>
              <w:p>
                <w:pPr>
                  <w:widowControl w:val="0"/>
                  <w:ind w:left="360"/>
                  <w:rPr>
                    <w:sz w:val="14"/>
                  </w:rPr>
                </w:pPr>
                <w:r>
                  <w:rPr>
                    <w:sz w:val="14"/>
                  </w:rPr>
                  <w:t>Pagal indikacijas</w:t>
                </w:r>
              </w:p>
              <w:p>
                <w:pPr>
                  <w:widowControl w:val="0"/>
                  <w:ind w:left="360"/>
                  <w:rPr>
                    <w:sz w:val="14"/>
                  </w:rPr>
                </w:pPr>
                <w:r>
                  <w:rPr>
                    <w:sz w:val="14"/>
                  </w:rPr>
                  <w:t>Akušeris-ginekologas, kiti specialistai – pagal indikacijas</w:t>
                </w:r>
              </w:p>
            </w:tc>
            <w:tc>
              <w:tcPr>
                <w:tcW w:w="3303" w:type="dxa"/>
                <w:tcBorders>
                  <w:bottom w:val="single" w:sz="4" w:space="0" w:color="auto"/>
                </w:tcBorders>
                <w:shd w:val="clear" w:color="auto" w:fill="auto"/>
              </w:tcPr>
              <w:p>
                <w:pPr>
                  <w:widowControl w:val="0"/>
                  <w:ind w:left="360"/>
                  <w:rPr>
                    <w:sz w:val="14"/>
                  </w:rPr>
                </w:pPr>
                <w:r>
                  <w:rPr>
                    <w:sz w:val="14"/>
                  </w:rPr>
                  <w:t>Atvykusių savo noru profilaktinių sveikatos tikrinimų (1.13.3 punktas), jei teisės aktai nenumato kitaip, periodiškumą, siuntimą atlikti tyrimus ir konsultuotis nustato pirminės sveikatos priežiūros paslaugas teikiantis gydytojas (bendrosios praktikos gydytojas ar apylinkės terapeutas, pediatras).</w:t>
                </w:r>
              </w:p>
            </w:tc>
          </w:tr>
        </w:tbl>
        <w:p>
          <w:pPr>
            <w:widowControl w:val="0"/>
            <w:tabs>
              <w:tab w:val="left" w:pos="1304"/>
              <w:tab w:val="left" w:pos="2778"/>
              <w:tab w:val="left" w:pos="4876"/>
              <w:tab w:val="left" w:pos="6860"/>
            </w:tabs>
            <w:ind w:left="1069"/>
            <w:rPr>
              <w:color w:val="000000"/>
            </w:rPr>
          </w:pPr>
        </w:p>
        <w:sdt>
          <w:sdtPr>
            <w:alias w:val="17 pr. 1 p."/>
            <w:tag w:val="part_8968eaa6cd5045f09329620d6ea9d1ff"/>
            <w:lock w:val="sdtLocked"/>
            <w:richText/>
          </w:sdtPr>
          <w:sdtContent>
            <w:p>
              <w:pPr>
                <w:widowControl w:val="0"/>
                <w:ind w:firstLine="720"/>
                <w:jc w:val="both"/>
                <w:rPr>
                  <w:color w:val="000000"/>
                </w:rPr>
              </w:pPr>
              <w:sdt>
                <w:sdtPr>
                  <w:alias w:val="Numeris"/>
                  <w:tag w:val="nr_8968eaa6cd5045f09329620d6ea9d1ff"/>
                  <w:lock w:val="sdtLocked"/>
                  <w:richText/>
                </w:sdtPr>
                <w:sdtContent>
                  <w:r>
                    <w:rPr>
                      <w:color w:val="000000"/>
                    </w:rPr>
                    <w:t>1</w:t>
                  </w:r>
                </w:sdtContent>
              </w:sdt>
              <w:r>
                <w:rPr>
                  <w:color w:val="000000"/>
                </w:rPr>
                <w:t>. Informacija apie tyrimų rezultatus yra konfidenciali, pateikiama tik sveikatą pasitikrinusiam asmeniui.</w:t>
              </w:r>
            </w:p>
          </w:sdtContent>
        </w:sdt>
        <w:sdt>
          <w:sdtPr>
            <w:alias w:val="17 pr. 2 p."/>
            <w:tag w:val="part_4196ae8d5fba4079b5f1fc78144a4f50"/>
            <w:lock w:val="sdtLocked"/>
            <w:richText/>
          </w:sdtPr>
          <w:sdtContent>
            <w:p>
              <w:pPr>
                <w:widowControl w:val="0"/>
                <w:ind w:firstLine="720"/>
                <w:jc w:val="both"/>
                <w:rPr>
                  <w:color w:val="000000"/>
                </w:rPr>
              </w:pPr>
              <w:sdt>
                <w:sdtPr>
                  <w:alias w:val="Numeris"/>
                  <w:tag w:val="nr_4196ae8d5fba4079b5f1fc78144a4f50"/>
                  <w:lock w:val="sdtLocked"/>
                  <w:richText/>
                </w:sdtPr>
                <w:sdtContent>
                  <w:r>
                    <w:rPr>
                      <w:color w:val="000000"/>
                    </w:rPr>
                    <w:t>2</w:t>
                  </w:r>
                </w:sdtContent>
              </w:sdt>
              <w:r>
                <w:rPr>
                  <w:color w:val="000000"/>
                </w:rPr>
                <w:t>. Civilinės metrikacijos biurui pateikiama pažyma (F 046/a), informuojanti apie atliktą sveikatos pasitikrinimą (nepateikiant ligos diagnozės ir kitų išvadų).</w:t>
              </w:r>
            </w:p>
            <w:p>
              <w:pPr>
                <w:jc w:val="center"/>
                <w:rPr>
                  <w:color w:val="000000"/>
                </w:rPr>
              </w:pPr>
              <w:r>
                <w:rPr>
                  <w:color w:val="000000"/>
                </w:rPr>
                <w:t>______________</w:t>
              </w:r>
            </w:p>
          </w:sdtContent>
        </w:sdt>
      </w:sdtContent>
    </w:sdt>
    <w:sdt>
      <w:sdtPr>
        <w:alias w:val="18 pr."/>
        <w:tag w:val="part_c9fbee2fbb374148a1aad8071661e4ff"/>
        <w:lock w:val="sdtLocked"/>
        <w:richText/>
      </w:sdtPr>
      <w:sdtContent>
        <w:p>
          <w:pPr>
            <w:ind w:firstLine="4536"/>
            <w:sectPr>
              <w:headerReference w:type="default" r:id="rId51"/>
              <w:headerReference w:type="first" r:id="rId52"/>
              <w:pgSz w:w="11906" w:h="16838" w:code="9"/>
              <w:pgMar w:top="1134" w:right="567" w:bottom="1134" w:left="1701" w:header="1134" w:footer="1134" w:gutter="0"/>
              <w:pgNumType w:start="1"/>
              <w:cols w:space="1296"/>
              <w:titlePg/>
              <w:docGrid w:linePitch="326"/>
            </w:sectPr>
          </w:pPr>
        </w:p>
        <w:p>
          <w:pPr>
            <w:ind w:firstLine="4536"/>
            <w:rPr>
              <w:szCs w:val="24"/>
            </w:rPr>
          </w:pPr>
          <w:r>
            <w:rPr>
              <w:szCs w:val="24"/>
            </w:rPr>
            <w:t>PATVIRTINTA</w:t>
          </w:r>
        </w:p>
        <w:p>
          <w:pPr>
            <w:ind w:firstLine="4536"/>
            <w:rPr>
              <w:szCs w:val="24"/>
            </w:rPr>
          </w:pPr>
          <w:r>
            <w:rPr>
              <w:szCs w:val="24"/>
            </w:rPr>
            <w:t>Lietuvos Respublikos sveikatos apsaugos ministro</w:t>
          </w:r>
        </w:p>
        <w:p>
          <w:pPr>
            <w:ind w:firstLine="4536"/>
            <w:rPr>
              <w:szCs w:val="24"/>
            </w:rPr>
          </w:pPr>
          <w:smartTag w:uri="urn:schemas-microsoft-com:office:smarttags" w:element="metricconverter">
            <w:smartTagPr>
              <w:attr w:name="ProductID" w:val="2000 m"/>
            </w:smartTagPr>
            <w:r>
              <w:rPr>
                <w:szCs w:val="24"/>
              </w:rPr>
              <w:t>2000 m</w:t>
            </w:r>
          </w:smartTag>
          <w:r>
            <w:rPr>
              <w:szCs w:val="24"/>
            </w:rPr>
            <w:t>. gegužės 31 d. įsakymu Nr. 301</w:t>
          </w:r>
        </w:p>
        <w:p>
          <w:pPr>
            <w:ind w:firstLine="4536"/>
            <w:rPr>
              <w:szCs w:val="24"/>
            </w:rPr>
          </w:pPr>
          <w:r>
            <w:rPr>
              <w:szCs w:val="24"/>
            </w:rPr>
            <w:t xml:space="preserve">(Lietuvos Respublikos sveikatos apsaugos ministro </w:t>
          </w:r>
        </w:p>
        <w:p>
          <w:pPr>
            <w:ind w:firstLine="4536"/>
          </w:pPr>
          <w:r>
            <w:t>2023 m. vasario 6 d. </w:t>
          </w:r>
          <w:r>
            <w:rPr>
              <w:szCs w:val="24"/>
            </w:rPr>
            <w:t xml:space="preserve">įsakymo </w:t>
          </w:r>
          <w:r>
            <w:t>Nr. V-175</w:t>
          </w:r>
        </w:p>
        <w:p>
          <w:pPr>
            <w:ind w:firstLine="4536"/>
            <w:rPr>
              <w:szCs w:val="24"/>
            </w:rPr>
          </w:pPr>
          <w:sdt>
            <w:sdtPr>
              <w:alias w:val="Numeris"/>
              <w:tag w:val="nr_c9fbee2fbb374148a1aad8071661e4ff"/>
              <w:lock w:val="sdtLocked"/>
              <w:richText/>
            </w:sdtPr>
            <w:sdtContent>
              <w:r>
                <w:rPr>
                  <w:szCs w:val="24"/>
                </w:rPr>
                <w:t>18</w:t>
              </w:r>
            </w:sdtContent>
          </w:sdt>
          <w:r>
            <w:rPr>
              <w:szCs w:val="24"/>
            </w:rPr>
            <w:t xml:space="preserve"> priedas</w:t>
          </w:r>
        </w:p>
        <w:p>
          <w:pPr>
            <w:rPr>
              <w:szCs w:val="24"/>
            </w:rPr>
          </w:pPr>
        </w:p>
        <w:p>
          <w:pPr>
            <w:rPr>
              <w:szCs w:val="24"/>
            </w:rPr>
          </w:pPr>
        </w:p>
        <w:p>
          <w:pPr>
            <w:jc w:val="center"/>
            <w:rPr>
              <w:szCs w:val="24"/>
            </w:rPr>
          </w:pPr>
          <w:sdt>
            <w:sdtPr>
              <w:alias w:val="Pavadinimas"/>
              <w:tag w:val="title_c9fbee2fbb374148a1aad8071661e4ff"/>
              <w:lock w:val="sdtLocked"/>
              <w:richText/>
            </w:sdtPr>
            <w:sdtContent>
              <w:r>
                <w:rPr>
                  <w:b/>
                  <w:szCs w:val="24"/>
                </w:rPr>
                <w:t>PROFILAKTINIŲ SVEIKATOS TIKRINIMŲ, UŽ KURIUOS MOKA PATS DARBUOTOJAS, DARBDAVYS AR KITI ASMENYS, KAINŲ SĄRAŠAS</w:t>
              </w:r>
            </w:sdtContent>
          </w:sdt>
        </w:p>
        <w:p>
          <w:pPr>
            <w:rPr>
              <w:szCs w:val="24"/>
            </w:rPr>
          </w:pPr>
        </w:p>
        <w:tbl>
          <w:tblPr>
            <w:tblW w:w="96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1057"/>
            <w:gridCol w:w="5594"/>
            <w:gridCol w:w="1663"/>
            <w:gridCol w:w="1325"/>
          </w:tblGrid>
          <w:tr>
            <w:tc>
              <w:tcPr>
                <w:tcW w:w="1057" w:type="dxa"/>
                <w:vMerge w:val="restart"/>
                <w:tcBorders>
                  <w:top w:val="single" w:sz="4" w:space="0" w:color="auto"/>
                  <w:left w:val="single" w:sz="4" w:space="0" w:color="auto"/>
                  <w:bottom w:val="single" w:sz="4" w:space="0" w:color="auto"/>
                  <w:right w:val="single" w:sz="4" w:space="0" w:color="auto"/>
                </w:tcBorders>
                <w:vAlign w:val="center"/>
              </w:tcPr>
              <w:p>
                <w:pPr>
                  <w:rPr>
                    <w:b/>
                    <w:szCs w:val="24"/>
                  </w:rPr>
                </w:pPr>
                <w:r>
                  <w:rPr>
                    <w:b/>
                    <w:szCs w:val="24"/>
                  </w:rPr>
                  <w:t>Eil. Nr.</w:t>
                </w:r>
              </w:p>
            </w:tc>
            <w:tc>
              <w:tcPr>
                <w:tcW w:w="5594" w:type="dxa"/>
                <w:vMerge w:val="restart"/>
                <w:tcBorders>
                  <w:top w:val="single" w:sz="4" w:space="0" w:color="auto"/>
                  <w:left w:val="single" w:sz="4" w:space="0" w:color="auto"/>
                  <w:bottom w:val="single" w:sz="4" w:space="0" w:color="auto"/>
                  <w:right w:val="single" w:sz="4" w:space="0" w:color="auto"/>
                </w:tcBorders>
                <w:vAlign w:val="center"/>
              </w:tcPr>
              <w:p>
                <w:pPr>
                  <w:rPr>
                    <w:b/>
                    <w:szCs w:val="24"/>
                  </w:rPr>
                </w:pPr>
                <w:r>
                  <w:rPr>
                    <w:b/>
                    <w:szCs w:val="24"/>
                  </w:rPr>
                  <w:t>Profilaktinių sveikatos tikrinimų rūšys</w:t>
                </w:r>
              </w:p>
            </w:tc>
            <w:tc>
              <w:tcPr>
                <w:tcW w:w="2988" w:type="dxa"/>
                <w:gridSpan w:val="2"/>
                <w:tcBorders>
                  <w:top w:val="single" w:sz="4" w:space="0" w:color="auto"/>
                  <w:left w:val="single" w:sz="4" w:space="0" w:color="auto"/>
                  <w:bottom w:val="single" w:sz="4" w:space="0" w:color="auto"/>
                  <w:right w:val="single" w:sz="4" w:space="0" w:color="auto"/>
                </w:tcBorders>
                <w:vAlign w:val="center"/>
              </w:tcPr>
              <w:p>
                <w:pPr>
                  <w:rPr>
                    <w:b/>
                    <w:szCs w:val="24"/>
                  </w:rPr>
                </w:pPr>
                <w:r>
                  <w:rPr>
                    <w:b/>
                    <w:szCs w:val="24"/>
                  </w:rPr>
                  <w:t>Kaina (eurais)</w:t>
                </w:r>
              </w:p>
            </w:tc>
          </w:tr>
          <w:tr>
            <w:trPr>
              <w:trHeight w:val="351"/>
            </w:trPr>
            <w:tc>
              <w:tcPr>
                <w:tcW w:w="1057" w:type="dxa"/>
                <w:vMerge/>
                <w:tcBorders>
                  <w:top w:val="single" w:sz="4" w:space="0" w:color="auto"/>
                  <w:left w:val="single" w:sz="4" w:space="0" w:color="auto"/>
                  <w:bottom w:val="single" w:sz="4" w:space="0" w:color="auto"/>
                  <w:right w:val="single" w:sz="4" w:space="0" w:color="auto"/>
                </w:tcBorders>
                <w:vAlign w:val="center"/>
              </w:tcPr>
              <w:p>
                <w:pPr>
                  <w:rPr>
                    <w:b/>
                    <w:szCs w:val="24"/>
                  </w:rPr>
                </w:pPr>
              </w:p>
            </w:tc>
            <w:tc>
              <w:tcPr>
                <w:tcW w:w="5594" w:type="dxa"/>
                <w:vMerge/>
                <w:tcBorders>
                  <w:top w:val="single" w:sz="4" w:space="0" w:color="auto"/>
                  <w:left w:val="single" w:sz="4" w:space="0" w:color="auto"/>
                  <w:bottom w:val="single" w:sz="4" w:space="0" w:color="auto"/>
                  <w:right w:val="single" w:sz="4" w:space="0" w:color="auto"/>
                </w:tcBorders>
                <w:vAlign w:val="center"/>
              </w:tcPr>
              <w:p>
                <w:pPr>
                  <w:rPr>
                    <w:b/>
                    <w:szCs w:val="24"/>
                  </w:rPr>
                </w:pPr>
              </w:p>
            </w:tc>
            <w:tc>
              <w:tcPr>
                <w:tcW w:w="1663" w:type="dxa"/>
                <w:tcBorders>
                  <w:top w:val="single" w:sz="4" w:space="0" w:color="auto"/>
                  <w:left w:val="single" w:sz="4" w:space="0" w:color="auto"/>
                  <w:bottom w:val="single" w:sz="4" w:space="0" w:color="auto"/>
                  <w:right w:val="single" w:sz="4" w:space="0" w:color="auto"/>
                </w:tcBorders>
              </w:tcPr>
              <w:p>
                <w:pPr>
                  <w:rPr>
                    <w:b/>
                    <w:szCs w:val="24"/>
                  </w:rPr>
                </w:pPr>
                <w:r>
                  <w:rPr>
                    <w:b/>
                    <w:szCs w:val="24"/>
                  </w:rPr>
                  <w:t>įsidarbinant</w:t>
                </w:r>
              </w:p>
            </w:tc>
            <w:tc>
              <w:tcPr>
                <w:tcW w:w="1325" w:type="dxa"/>
                <w:tcBorders>
                  <w:top w:val="single" w:sz="4" w:space="0" w:color="auto"/>
                  <w:left w:val="single" w:sz="4" w:space="0" w:color="auto"/>
                  <w:bottom w:val="single" w:sz="4" w:space="0" w:color="auto"/>
                  <w:right w:val="single" w:sz="4" w:space="0" w:color="auto"/>
                </w:tcBorders>
              </w:tcPr>
              <w:p>
                <w:pPr>
                  <w:rPr>
                    <w:b/>
                    <w:szCs w:val="24"/>
                  </w:rPr>
                </w:pPr>
                <w:r>
                  <w:rPr>
                    <w:b/>
                    <w:szCs w:val="24"/>
                  </w:rPr>
                  <w:t>dirbant</w:t>
                </w:r>
              </w:p>
            </w:tc>
          </w:tr>
          <w:tr>
            <w:trPr>
              <w:trHeight w:val="173"/>
            </w:trPr>
            <w:tc>
              <w:tcPr>
                <w:tcW w:w="1057" w:type="dxa"/>
                <w:tcBorders>
                  <w:top w:val="single" w:sz="4" w:space="0" w:color="auto"/>
                  <w:left w:val="single" w:sz="4" w:space="0" w:color="auto"/>
                  <w:bottom w:val="single" w:sz="4" w:space="0" w:color="auto"/>
                  <w:right w:val="single" w:sz="4" w:space="0" w:color="auto"/>
                </w:tcBorders>
              </w:tcPr>
              <w:p>
                <w:pPr>
                  <w:rPr>
                    <w:szCs w:val="24"/>
                  </w:rPr>
                </w:pPr>
                <w:r>
                  <w:rPr>
                    <w:szCs w:val="24"/>
                  </w:rPr>
                  <w:t>1</w:t>
                </w:r>
              </w:p>
            </w:tc>
            <w:tc>
              <w:tcPr>
                <w:tcW w:w="5594" w:type="dxa"/>
                <w:tcBorders>
                  <w:top w:val="single" w:sz="4" w:space="0" w:color="auto"/>
                  <w:left w:val="single" w:sz="4" w:space="0" w:color="auto"/>
                  <w:bottom w:val="single" w:sz="4" w:space="0" w:color="auto"/>
                  <w:right w:val="single" w:sz="4" w:space="0" w:color="auto"/>
                </w:tcBorders>
              </w:tcPr>
              <w:p>
                <w:pPr>
                  <w:rPr>
                    <w:szCs w:val="24"/>
                  </w:rPr>
                </w:pPr>
                <w:r>
                  <w:rPr>
                    <w:szCs w:val="24"/>
                  </w:rPr>
                  <w:t>2</w:t>
                </w:r>
              </w:p>
            </w:tc>
            <w:tc>
              <w:tcPr>
                <w:tcW w:w="1663" w:type="dxa"/>
                <w:tcBorders>
                  <w:top w:val="single" w:sz="4" w:space="0" w:color="auto"/>
                  <w:left w:val="single" w:sz="4" w:space="0" w:color="auto"/>
                  <w:bottom w:val="single" w:sz="4" w:space="0" w:color="auto"/>
                  <w:right w:val="single" w:sz="4" w:space="0" w:color="auto"/>
                </w:tcBorders>
                <w:vAlign w:val="center"/>
              </w:tcPr>
              <w:p>
                <w:pPr>
                  <w:rPr>
                    <w:szCs w:val="24"/>
                  </w:rPr>
                </w:pPr>
                <w:r>
                  <w:rPr>
                    <w:szCs w:val="24"/>
                  </w:rPr>
                  <w:t>3</w:t>
                </w:r>
              </w:p>
            </w:tc>
            <w:tc>
              <w:tcPr>
                <w:tcW w:w="1325" w:type="dxa"/>
                <w:tcBorders>
                  <w:top w:val="single" w:sz="4" w:space="0" w:color="auto"/>
                  <w:left w:val="single" w:sz="4" w:space="0" w:color="auto"/>
                  <w:bottom w:val="single" w:sz="4" w:space="0" w:color="auto"/>
                  <w:right w:val="single" w:sz="4" w:space="0" w:color="auto"/>
                </w:tcBorders>
                <w:vAlign w:val="bottom"/>
              </w:tcPr>
              <w:p>
                <w:pPr>
                  <w:rPr>
                    <w:szCs w:val="24"/>
                  </w:rPr>
                </w:pPr>
                <w:r>
                  <w:rPr>
                    <w:szCs w:val="24"/>
                  </w:rPr>
                  <w:t>4</w:t>
                </w:r>
              </w:p>
            </w:tc>
          </w:tr>
          <w:tr>
            <w:tc>
              <w:tcPr>
                <w:tcW w:w="1057" w:type="dxa"/>
                <w:tcBorders>
                  <w:top w:val="single" w:sz="4" w:space="0" w:color="auto"/>
                  <w:left w:val="single" w:sz="4" w:space="0" w:color="auto"/>
                  <w:bottom w:val="single" w:sz="4" w:space="0" w:color="auto"/>
                  <w:right w:val="single" w:sz="4" w:space="0" w:color="auto"/>
                </w:tcBorders>
              </w:tcPr>
              <w:p>
                <w:pPr>
                  <w:rPr>
                    <w:szCs w:val="24"/>
                  </w:rPr>
                </w:pPr>
                <w:r>
                  <w:rPr>
                    <w:szCs w:val="24"/>
                  </w:rPr>
                  <w:t>1.</w:t>
                </w:r>
              </w:p>
            </w:tc>
            <w:tc>
              <w:tcPr>
                <w:tcW w:w="5594" w:type="dxa"/>
                <w:tcBorders>
                  <w:top w:val="single" w:sz="4" w:space="0" w:color="auto"/>
                  <w:left w:val="single" w:sz="4" w:space="0" w:color="auto"/>
                  <w:bottom w:val="single" w:sz="4" w:space="0" w:color="auto"/>
                  <w:right w:val="single" w:sz="4" w:space="0" w:color="auto"/>
                </w:tcBorders>
              </w:tcPr>
              <w:p>
                <w:pPr>
                  <w:rPr>
                    <w:szCs w:val="24"/>
                  </w:rPr>
                </w:pPr>
                <w:r>
                  <w:rPr>
                    <w:szCs w:val="24"/>
                  </w:rPr>
                  <w:t xml:space="preserve">Jūrininkų ir vidaus vandenų transporto specialistų bei motorinių pramoginių laivų ir kitų motorinių plaukiojimo priemonių laivavedžių </w:t>
                </w:r>
              </w:p>
            </w:tc>
            <w:tc>
              <w:tcPr>
                <w:tcW w:w="1663" w:type="dxa"/>
                <w:tcBorders>
                  <w:top w:val="single" w:sz="4" w:space="0" w:color="auto"/>
                  <w:left w:val="single" w:sz="4" w:space="0" w:color="auto"/>
                  <w:bottom w:val="single" w:sz="4" w:space="0" w:color="auto"/>
                  <w:right w:val="single" w:sz="4" w:space="0" w:color="auto"/>
                </w:tcBorders>
              </w:tcPr>
              <w:p>
                <w:pPr>
                  <w:rPr>
                    <w:szCs w:val="24"/>
                  </w:rPr>
                </w:pPr>
                <w:r>
                  <w:rPr>
                    <w:szCs w:val="24"/>
                  </w:rPr>
                  <w:t>28,71</w:t>
                </w:r>
              </w:p>
            </w:tc>
            <w:tc>
              <w:tcPr>
                <w:tcW w:w="1325" w:type="dxa"/>
                <w:tcBorders>
                  <w:top w:val="single" w:sz="4" w:space="0" w:color="auto"/>
                  <w:left w:val="single" w:sz="4" w:space="0" w:color="auto"/>
                  <w:bottom w:val="single" w:sz="4" w:space="0" w:color="auto"/>
                  <w:right w:val="single" w:sz="4" w:space="0" w:color="auto"/>
                </w:tcBorders>
              </w:tcPr>
              <w:p>
                <w:pPr>
                  <w:rPr>
                    <w:szCs w:val="24"/>
                  </w:rPr>
                </w:pPr>
                <w:r>
                  <w:rPr>
                    <w:szCs w:val="24"/>
                  </w:rPr>
                  <w:t>43,3</w:t>
                </w:r>
              </w:p>
            </w:tc>
          </w:tr>
          <w:tr>
            <w:trPr>
              <w:trHeight w:val="300"/>
            </w:trPr>
            <w:tc>
              <w:tcPr>
                <w:tcW w:w="1057" w:type="dxa"/>
                <w:tcBorders>
                  <w:top w:val="single" w:sz="4" w:space="0" w:color="auto"/>
                  <w:left w:val="single" w:sz="4" w:space="0" w:color="auto"/>
                  <w:bottom w:val="single" w:sz="4" w:space="0" w:color="auto"/>
                  <w:right w:val="single" w:sz="4" w:space="0" w:color="auto"/>
                </w:tcBorders>
              </w:tcPr>
              <w:p>
                <w:pPr>
                  <w:tabs>
                    <w:tab w:val="left" w:pos="916"/>
                  </w:tabs>
                  <w:rPr>
                    <w:color w:val="000000"/>
                    <w:szCs w:val="24"/>
                    <w:lang w:eastAsia="lt-LT"/>
                  </w:rPr>
                </w:pPr>
                <w:r>
                  <w:rPr>
                    <w:color w:val="000000"/>
                    <w:szCs w:val="24"/>
                    <w:lang w:eastAsia="lt-LT"/>
                  </w:rPr>
                  <w:t>2.</w:t>
                </w:r>
              </w:p>
            </w:tc>
            <w:tc>
              <w:tcPr>
                <w:tcW w:w="5594" w:type="dxa"/>
                <w:tcBorders>
                  <w:top w:val="single" w:sz="4" w:space="0" w:color="auto"/>
                  <w:left w:val="single" w:sz="4" w:space="0" w:color="auto"/>
                  <w:bottom w:val="single" w:sz="4" w:space="0" w:color="auto"/>
                  <w:right w:val="single" w:sz="4" w:space="0" w:color="auto"/>
                </w:tcBorders>
              </w:tcPr>
              <w:p>
                <w:pPr>
                  <w:tabs>
                    <w:tab w:val="left" w:pos="916"/>
                  </w:tabs>
                  <w:rPr>
                    <w:szCs w:val="24"/>
                    <w:lang w:eastAsia="lt-LT"/>
                  </w:rPr>
                </w:pPr>
                <w:r>
                  <w:rPr>
                    <w:color w:val="000000"/>
                    <w:szCs w:val="24"/>
                  </w:rPr>
                  <w:t>Traukinio mašinistų ir darbuotojų, atliekančių eismo saugai užtikrinti svarbias užduotis</w:t>
                </w:r>
              </w:p>
            </w:tc>
            <w:tc>
              <w:tcPr>
                <w:tcW w:w="1663" w:type="dxa"/>
                <w:tcBorders>
                  <w:top w:val="single" w:sz="4" w:space="0" w:color="auto"/>
                  <w:left w:val="single" w:sz="4" w:space="0" w:color="auto"/>
                  <w:bottom w:val="single" w:sz="4" w:space="0" w:color="auto"/>
                  <w:right w:val="single" w:sz="4" w:space="0" w:color="auto"/>
                </w:tcBorders>
                <w:noWrap/>
              </w:tcPr>
              <w:p>
                <w:pPr>
                  <w:tabs>
                    <w:tab w:val="left" w:pos="916"/>
                  </w:tabs>
                  <w:jc w:val="center"/>
                  <w:rPr>
                    <w:strike/>
                    <w:color w:val="000000"/>
                    <w:szCs w:val="24"/>
                    <w:lang w:eastAsia="lt-LT"/>
                  </w:rPr>
                </w:pPr>
                <w:r>
                  <w:rPr>
                    <w:szCs w:val="24"/>
                    <w:lang w:eastAsia="lt-LT"/>
                  </w:rPr>
                  <w:t>5,35</w:t>
                </w:r>
              </w:p>
            </w:tc>
            <w:tc>
              <w:tcPr>
                <w:tcW w:w="1325" w:type="dxa"/>
                <w:tcBorders>
                  <w:top w:val="single" w:sz="4" w:space="0" w:color="auto"/>
                  <w:left w:val="single" w:sz="4" w:space="0" w:color="auto"/>
                  <w:bottom w:val="single" w:sz="4" w:space="0" w:color="auto"/>
                  <w:right w:val="single" w:sz="4" w:space="0" w:color="auto"/>
                </w:tcBorders>
                <w:noWrap/>
              </w:tcPr>
              <w:p>
                <w:pPr>
                  <w:tabs>
                    <w:tab w:val="left" w:pos="916"/>
                  </w:tabs>
                  <w:jc w:val="center"/>
                  <w:rPr>
                    <w:strike/>
                    <w:color w:val="000000"/>
                    <w:szCs w:val="24"/>
                    <w:lang w:eastAsia="lt-LT"/>
                  </w:rPr>
                </w:pPr>
                <w:r>
                  <w:rPr>
                    <w:color w:val="000000"/>
                    <w:szCs w:val="24"/>
                    <w:lang w:eastAsia="lt-LT"/>
                  </w:rPr>
                  <w:t>13,14</w:t>
                </w:r>
              </w:p>
            </w:tc>
          </w:tr>
          <w:tr>
            <w:trPr>
              <w:trHeight w:val="263"/>
            </w:trPr>
            <w:tc>
              <w:tcPr>
                <w:tcW w:w="1057" w:type="dxa"/>
                <w:tcBorders>
                  <w:top w:val="single" w:sz="4" w:space="0" w:color="auto"/>
                  <w:left w:val="single" w:sz="4" w:space="0" w:color="auto"/>
                  <w:bottom w:val="single" w:sz="4" w:space="0" w:color="auto"/>
                  <w:right w:val="single" w:sz="4" w:space="0" w:color="auto"/>
                </w:tcBorders>
              </w:tcPr>
              <w:p>
                <w:pPr>
                  <w:rPr>
                    <w:szCs w:val="24"/>
                  </w:rPr>
                </w:pPr>
                <w:r>
                  <w:rPr>
                    <w:szCs w:val="24"/>
                  </w:rPr>
                  <w:t>3.</w:t>
                </w:r>
              </w:p>
              <w:p>
                <w:pPr>
                  <w:rPr>
                    <w:szCs w:val="24"/>
                  </w:rPr>
                </w:pPr>
              </w:p>
            </w:tc>
            <w:tc>
              <w:tcPr>
                <w:tcW w:w="5594" w:type="dxa"/>
                <w:tcBorders>
                  <w:top w:val="single" w:sz="4" w:space="0" w:color="auto"/>
                  <w:left w:val="single" w:sz="4" w:space="0" w:color="auto"/>
                  <w:bottom w:val="single" w:sz="4" w:space="0" w:color="auto"/>
                  <w:right w:val="single" w:sz="4" w:space="0" w:color="auto"/>
                </w:tcBorders>
              </w:tcPr>
              <w:p>
                <w:pPr>
                  <w:rPr>
                    <w:szCs w:val="24"/>
                  </w:rPr>
                </w:pPr>
                <w:r>
                  <w:rPr>
                    <w:szCs w:val="24"/>
                  </w:rPr>
                  <w:t>Aviacijos darbuotojų:</w:t>
                </w:r>
              </w:p>
            </w:tc>
            <w:tc>
              <w:tcPr>
                <w:tcW w:w="1663" w:type="dxa"/>
                <w:tcBorders>
                  <w:top w:val="single" w:sz="4" w:space="0" w:color="auto"/>
                  <w:left w:val="single" w:sz="4" w:space="0" w:color="auto"/>
                  <w:bottom w:val="single" w:sz="4" w:space="0" w:color="auto"/>
                  <w:right w:val="single" w:sz="4" w:space="0" w:color="auto"/>
                </w:tcBorders>
              </w:tcPr>
              <w:p>
                <w:pPr>
                  <w:rPr>
                    <w:szCs w:val="24"/>
                  </w:rPr>
                </w:pPr>
              </w:p>
            </w:tc>
            <w:tc>
              <w:tcPr>
                <w:tcW w:w="1325" w:type="dxa"/>
                <w:tcBorders>
                  <w:top w:val="single" w:sz="4" w:space="0" w:color="auto"/>
                  <w:left w:val="single" w:sz="4" w:space="0" w:color="auto"/>
                  <w:bottom w:val="single" w:sz="4" w:space="0" w:color="auto"/>
                  <w:right w:val="single" w:sz="4" w:space="0" w:color="auto"/>
                </w:tcBorders>
              </w:tcPr>
              <w:p>
                <w:pPr>
                  <w:rPr>
                    <w:szCs w:val="24"/>
                  </w:rPr>
                </w:pPr>
              </w:p>
            </w:tc>
          </w:tr>
          <w:tr>
            <w:trPr>
              <w:trHeight w:val="263"/>
            </w:trPr>
            <w:tc>
              <w:tcPr>
                <w:tcW w:w="1057" w:type="dxa"/>
                <w:tcBorders>
                  <w:top w:val="single" w:sz="4" w:space="0" w:color="auto"/>
                  <w:left w:val="single" w:sz="4" w:space="0" w:color="auto"/>
                  <w:bottom w:val="single" w:sz="4" w:space="0" w:color="auto"/>
                  <w:right w:val="single" w:sz="4" w:space="0" w:color="auto"/>
                </w:tcBorders>
              </w:tcPr>
              <w:p>
                <w:pPr>
                  <w:rPr>
                    <w:szCs w:val="24"/>
                  </w:rPr>
                </w:pPr>
                <w:r>
                  <w:rPr>
                    <w:szCs w:val="24"/>
                  </w:rPr>
                  <w:t>3.1.</w:t>
                </w:r>
              </w:p>
            </w:tc>
            <w:tc>
              <w:tcPr>
                <w:tcW w:w="5594" w:type="dxa"/>
                <w:tcBorders>
                  <w:top w:val="single" w:sz="4" w:space="0" w:color="auto"/>
                  <w:left w:val="single" w:sz="4" w:space="0" w:color="auto"/>
                  <w:bottom w:val="single" w:sz="4" w:space="0" w:color="auto"/>
                  <w:right w:val="single" w:sz="4" w:space="0" w:color="auto"/>
                </w:tcBorders>
              </w:tcPr>
              <w:p>
                <w:pPr>
                  <w:rPr>
                    <w:szCs w:val="24"/>
                  </w:rPr>
                </w:pPr>
                <w:r>
                  <w:rPr>
                    <w:szCs w:val="24"/>
                  </w:rPr>
                  <w:t>aviacijos darbuotojų</w:t>
                </w:r>
              </w:p>
            </w:tc>
            <w:tc>
              <w:tcPr>
                <w:tcW w:w="1663" w:type="dxa"/>
                <w:tcBorders>
                  <w:top w:val="single" w:sz="4" w:space="0" w:color="auto"/>
                  <w:left w:val="single" w:sz="4" w:space="0" w:color="auto"/>
                  <w:bottom w:val="single" w:sz="4" w:space="0" w:color="auto"/>
                  <w:right w:val="single" w:sz="4" w:space="0" w:color="auto"/>
                </w:tcBorders>
              </w:tcPr>
              <w:p>
                <w:pPr>
                  <w:rPr>
                    <w:szCs w:val="24"/>
                  </w:rPr>
                </w:pPr>
                <w:r>
                  <w:rPr>
                    <w:szCs w:val="24"/>
                  </w:rPr>
                  <w:t>77,85</w:t>
                </w:r>
              </w:p>
            </w:tc>
            <w:tc>
              <w:tcPr>
                <w:tcW w:w="1325" w:type="dxa"/>
                <w:tcBorders>
                  <w:top w:val="single" w:sz="4" w:space="0" w:color="auto"/>
                  <w:left w:val="single" w:sz="4" w:space="0" w:color="auto"/>
                  <w:bottom w:val="single" w:sz="4" w:space="0" w:color="auto"/>
                  <w:right w:val="single" w:sz="4" w:space="0" w:color="auto"/>
                </w:tcBorders>
              </w:tcPr>
              <w:p>
                <w:pPr>
                  <w:rPr>
                    <w:szCs w:val="24"/>
                  </w:rPr>
                </w:pPr>
                <w:r>
                  <w:rPr>
                    <w:szCs w:val="24"/>
                  </w:rPr>
                  <w:t>–</w:t>
                </w:r>
              </w:p>
            </w:tc>
          </w:tr>
          <w:tr>
            <w:trPr>
              <w:trHeight w:val="263"/>
            </w:trPr>
            <w:tc>
              <w:tcPr>
                <w:tcW w:w="1057" w:type="dxa"/>
                <w:tcBorders>
                  <w:top w:val="single" w:sz="4" w:space="0" w:color="auto"/>
                  <w:left w:val="single" w:sz="4" w:space="0" w:color="auto"/>
                  <w:bottom w:val="single" w:sz="4" w:space="0" w:color="auto"/>
                  <w:right w:val="single" w:sz="4" w:space="0" w:color="auto"/>
                </w:tcBorders>
              </w:tcPr>
              <w:p>
                <w:pPr>
                  <w:rPr>
                    <w:szCs w:val="24"/>
                  </w:rPr>
                </w:pPr>
                <w:r>
                  <w:rPr>
                    <w:szCs w:val="24"/>
                  </w:rPr>
                  <w:t>3.2.</w:t>
                </w:r>
              </w:p>
            </w:tc>
            <w:tc>
              <w:tcPr>
                <w:tcW w:w="5594" w:type="dxa"/>
                <w:tcBorders>
                  <w:top w:val="single" w:sz="4" w:space="0" w:color="auto"/>
                  <w:left w:val="single" w:sz="4" w:space="0" w:color="auto"/>
                  <w:bottom w:val="single" w:sz="4" w:space="0" w:color="auto"/>
                  <w:right w:val="single" w:sz="4" w:space="0" w:color="auto"/>
                </w:tcBorders>
              </w:tcPr>
              <w:p>
                <w:pPr>
                  <w:rPr>
                    <w:szCs w:val="24"/>
                  </w:rPr>
                </w:pPr>
                <w:r>
                  <w:rPr>
                    <w:szCs w:val="24"/>
                  </w:rPr>
                  <w:t>aviacijos darbuotojų (visapusiška medicinos ekspertizė)</w:t>
                </w:r>
              </w:p>
            </w:tc>
            <w:tc>
              <w:tcPr>
                <w:tcW w:w="1663" w:type="dxa"/>
                <w:tcBorders>
                  <w:top w:val="single" w:sz="4" w:space="0" w:color="auto"/>
                  <w:left w:val="single" w:sz="4" w:space="0" w:color="auto"/>
                  <w:bottom w:val="single" w:sz="4" w:space="0" w:color="auto"/>
                  <w:right w:val="single" w:sz="4" w:space="0" w:color="auto"/>
                </w:tcBorders>
              </w:tcPr>
              <w:p>
                <w:pPr>
                  <w:rPr>
                    <w:szCs w:val="24"/>
                  </w:rPr>
                </w:pPr>
                <w:r>
                  <w:rPr>
                    <w:szCs w:val="24"/>
                  </w:rPr>
                  <w:t>–</w:t>
                </w:r>
              </w:p>
            </w:tc>
            <w:tc>
              <w:tcPr>
                <w:tcW w:w="1325" w:type="dxa"/>
                <w:tcBorders>
                  <w:top w:val="single" w:sz="4" w:space="0" w:color="auto"/>
                  <w:left w:val="single" w:sz="4" w:space="0" w:color="auto"/>
                  <w:bottom w:val="single" w:sz="4" w:space="0" w:color="auto"/>
                  <w:right w:val="single" w:sz="4" w:space="0" w:color="auto"/>
                </w:tcBorders>
              </w:tcPr>
              <w:p>
                <w:pPr>
                  <w:rPr>
                    <w:szCs w:val="24"/>
                  </w:rPr>
                </w:pPr>
                <w:r>
                  <w:rPr>
                    <w:szCs w:val="24"/>
                  </w:rPr>
                  <w:t>101,69</w:t>
                </w:r>
              </w:p>
            </w:tc>
          </w:tr>
          <w:tr>
            <w:trPr>
              <w:trHeight w:val="263"/>
            </w:trPr>
            <w:tc>
              <w:tcPr>
                <w:tcW w:w="1057" w:type="dxa"/>
                <w:tcBorders>
                  <w:top w:val="single" w:sz="4" w:space="0" w:color="auto"/>
                  <w:left w:val="single" w:sz="4" w:space="0" w:color="auto"/>
                  <w:bottom w:val="single" w:sz="4" w:space="0" w:color="auto"/>
                  <w:right w:val="single" w:sz="4" w:space="0" w:color="auto"/>
                </w:tcBorders>
              </w:tcPr>
              <w:p>
                <w:pPr>
                  <w:rPr>
                    <w:szCs w:val="24"/>
                  </w:rPr>
                </w:pPr>
                <w:r>
                  <w:rPr>
                    <w:szCs w:val="24"/>
                  </w:rPr>
                  <w:t>3.3.</w:t>
                </w:r>
              </w:p>
            </w:tc>
            <w:tc>
              <w:tcPr>
                <w:tcW w:w="5594" w:type="dxa"/>
                <w:tcBorders>
                  <w:top w:val="single" w:sz="4" w:space="0" w:color="auto"/>
                  <w:left w:val="single" w:sz="4" w:space="0" w:color="auto"/>
                  <w:bottom w:val="single" w:sz="4" w:space="0" w:color="auto"/>
                  <w:right w:val="single" w:sz="4" w:space="0" w:color="auto"/>
                </w:tcBorders>
              </w:tcPr>
              <w:p>
                <w:pPr>
                  <w:rPr>
                    <w:szCs w:val="24"/>
                  </w:rPr>
                </w:pPr>
                <w:r>
                  <w:rPr>
                    <w:szCs w:val="24"/>
                  </w:rPr>
                  <w:t>aviacijos darbuotojų (dalinė medicinos ekspertizė)</w:t>
                </w:r>
              </w:p>
            </w:tc>
            <w:tc>
              <w:tcPr>
                <w:tcW w:w="1663" w:type="dxa"/>
                <w:tcBorders>
                  <w:top w:val="single" w:sz="4" w:space="0" w:color="auto"/>
                  <w:left w:val="single" w:sz="4" w:space="0" w:color="auto"/>
                  <w:bottom w:val="single" w:sz="4" w:space="0" w:color="auto"/>
                  <w:right w:val="single" w:sz="4" w:space="0" w:color="auto"/>
                </w:tcBorders>
              </w:tcPr>
              <w:p>
                <w:pPr>
                  <w:rPr>
                    <w:szCs w:val="24"/>
                  </w:rPr>
                </w:pPr>
                <w:r>
                  <w:rPr>
                    <w:szCs w:val="24"/>
                  </w:rPr>
                  <w:t>–</w:t>
                </w:r>
              </w:p>
            </w:tc>
            <w:tc>
              <w:tcPr>
                <w:tcW w:w="1325" w:type="dxa"/>
                <w:tcBorders>
                  <w:top w:val="single" w:sz="4" w:space="0" w:color="auto"/>
                  <w:left w:val="single" w:sz="4" w:space="0" w:color="auto"/>
                  <w:bottom w:val="single" w:sz="4" w:space="0" w:color="auto"/>
                  <w:right w:val="single" w:sz="4" w:space="0" w:color="auto"/>
                </w:tcBorders>
              </w:tcPr>
              <w:p>
                <w:pPr>
                  <w:rPr>
                    <w:szCs w:val="24"/>
                  </w:rPr>
                </w:pPr>
                <w:r>
                  <w:rPr>
                    <w:szCs w:val="24"/>
                  </w:rPr>
                  <w:t>46,22</w:t>
                </w:r>
              </w:p>
            </w:tc>
          </w:tr>
          <w:tr>
            <w:trPr>
              <w:trHeight w:val="351"/>
            </w:trPr>
            <w:tc>
              <w:tcPr>
                <w:tcW w:w="1057" w:type="dxa"/>
                <w:tcBorders>
                  <w:top w:val="single" w:sz="4" w:space="0" w:color="auto"/>
                  <w:left w:val="single" w:sz="4" w:space="0" w:color="auto"/>
                  <w:bottom w:val="single" w:sz="4" w:space="0" w:color="auto"/>
                  <w:right w:val="single" w:sz="4" w:space="0" w:color="auto"/>
                </w:tcBorders>
              </w:tcPr>
              <w:p>
                <w:pPr>
                  <w:rPr>
                    <w:szCs w:val="24"/>
                  </w:rPr>
                </w:pPr>
                <w:r>
                  <w:rPr>
                    <w:szCs w:val="24"/>
                  </w:rPr>
                  <w:t>4.</w:t>
                </w:r>
              </w:p>
            </w:tc>
            <w:tc>
              <w:tcPr>
                <w:tcW w:w="5594" w:type="dxa"/>
                <w:tcBorders>
                  <w:top w:val="single" w:sz="4" w:space="0" w:color="auto"/>
                  <w:left w:val="single" w:sz="4" w:space="0" w:color="auto"/>
                  <w:bottom w:val="single" w:sz="4" w:space="0" w:color="auto"/>
                  <w:right w:val="single" w:sz="4" w:space="0" w:color="auto"/>
                </w:tcBorders>
              </w:tcPr>
              <w:p>
                <w:pPr>
                  <w:rPr>
                    <w:szCs w:val="24"/>
                  </w:rPr>
                </w:pPr>
                <w:r>
                  <w:rPr>
                    <w:szCs w:val="24"/>
                  </w:rPr>
                  <w:t>Vairuotojų</w:t>
                </w:r>
              </w:p>
            </w:tc>
            <w:tc>
              <w:tcPr>
                <w:tcW w:w="1663" w:type="dxa"/>
                <w:tcBorders>
                  <w:top w:val="single" w:sz="4" w:space="0" w:color="auto"/>
                  <w:left w:val="single" w:sz="4" w:space="0" w:color="auto"/>
                  <w:bottom w:val="single" w:sz="4" w:space="0" w:color="auto"/>
                  <w:right w:val="single" w:sz="4" w:space="0" w:color="auto"/>
                </w:tcBorders>
              </w:tcPr>
              <w:p>
                <w:pPr>
                  <w:rPr>
                    <w:szCs w:val="24"/>
                  </w:rPr>
                </w:pPr>
                <w:r>
                  <w:rPr>
                    <w:szCs w:val="24"/>
                  </w:rPr>
                  <w:t>17,03</w:t>
                </w:r>
              </w:p>
            </w:tc>
            <w:tc>
              <w:tcPr>
                <w:tcW w:w="1325" w:type="dxa"/>
                <w:tcBorders>
                  <w:top w:val="single" w:sz="4" w:space="0" w:color="auto"/>
                  <w:left w:val="single" w:sz="4" w:space="0" w:color="auto"/>
                  <w:bottom w:val="single" w:sz="4" w:space="0" w:color="auto"/>
                  <w:right w:val="single" w:sz="4" w:space="0" w:color="auto"/>
                </w:tcBorders>
              </w:tcPr>
              <w:p>
                <w:pPr>
                  <w:rPr>
                    <w:szCs w:val="24"/>
                  </w:rPr>
                </w:pPr>
                <w:r>
                  <w:rPr>
                    <w:szCs w:val="24"/>
                  </w:rPr>
                  <w:t>19,46</w:t>
                </w:r>
              </w:p>
            </w:tc>
          </w:tr>
          <w:tr>
            <w:trPr>
              <w:trHeight w:val="300"/>
            </w:trPr>
            <w:tc>
              <w:tcPr>
                <w:tcW w:w="1057" w:type="dxa"/>
                <w:tcBorders>
                  <w:top w:val="single" w:sz="4" w:space="0" w:color="auto"/>
                  <w:left w:val="single" w:sz="4" w:space="0" w:color="auto"/>
                  <w:bottom w:val="single" w:sz="4" w:space="0" w:color="auto"/>
                  <w:right w:val="single" w:sz="4" w:space="0" w:color="auto"/>
                </w:tcBorders>
              </w:tcPr>
              <w:p>
                <w:pPr>
                  <w:rPr>
                    <w:szCs w:val="24"/>
                  </w:rPr>
                </w:pPr>
                <w:r>
                  <w:rPr>
                    <w:szCs w:val="24"/>
                  </w:rPr>
                  <w:t>5.</w:t>
                </w:r>
              </w:p>
            </w:tc>
            <w:tc>
              <w:tcPr>
                <w:tcW w:w="5594" w:type="dxa"/>
                <w:tcBorders>
                  <w:top w:val="single" w:sz="4" w:space="0" w:color="auto"/>
                  <w:left w:val="single" w:sz="4" w:space="0" w:color="auto"/>
                  <w:bottom w:val="single" w:sz="4" w:space="0" w:color="auto"/>
                  <w:right w:val="single" w:sz="4" w:space="0" w:color="auto"/>
                </w:tcBorders>
              </w:tcPr>
              <w:p>
                <w:pPr>
                  <w:rPr>
                    <w:szCs w:val="24"/>
                  </w:rPr>
                </w:pPr>
                <w:r>
                  <w:rPr>
                    <w:szCs w:val="24"/>
                  </w:rPr>
                  <w:t>Asmenų, norinčių pradėti dirbti ar dirbančių galimos profesinės rizikos sąlygomis (veikiant sveikatai kenksmingiems veiksniams ar dirbant pavojingus darbus):</w:t>
                </w:r>
              </w:p>
            </w:tc>
            <w:tc>
              <w:tcPr>
                <w:tcW w:w="1663" w:type="dxa"/>
                <w:tcBorders>
                  <w:top w:val="single" w:sz="4" w:space="0" w:color="auto"/>
                  <w:left w:val="single" w:sz="4" w:space="0" w:color="auto"/>
                  <w:bottom w:val="single" w:sz="4" w:space="0" w:color="auto"/>
                  <w:right w:val="single" w:sz="4" w:space="0" w:color="auto"/>
                </w:tcBorders>
                <w:noWrap/>
              </w:tcPr>
              <w:p>
                <w:pPr>
                  <w:rPr>
                    <w:szCs w:val="24"/>
                  </w:rPr>
                </w:pPr>
              </w:p>
            </w:tc>
            <w:tc>
              <w:tcPr>
                <w:tcW w:w="1325" w:type="dxa"/>
                <w:tcBorders>
                  <w:top w:val="single" w:sz="4" w:space="0" w:color="auto"/>
                  <w:left w:val="single" w:sz="4" w:space="0" w:color="auto"/>
                  <w:bottom w:val="single" w:sz="4" w:space="0" w:color="auto"/>
                  <w:right w:val="single" w:sz="4" w:space="0" w:color="auto"/>
                </w:tcBorders>
                <w:noWrap/>
              </w:tcPr>
              <w:p>
                <w:pPr>
                  <w:rPr>
                    <w:szCs w:val="24"/>
                  </w:rPr>
                </w:pPr>
              </w:p>
            </w:tc>
          </w:tr>
          <w:tr>
            <w:trPr>
              <w:trHeight w:val="300"/>
            </w:trPr>
            <w:tc>
              <w:tcPr>
                <w:tcW w:w="1057" w:type="dxa"/>
                <w:tcBorders>
                  <w:top w:val="single" w:sz="4" w:space="0" w:color="auto"/>
                  <w:left w:val="single" w:sz="4" w:space="0" w:color="auto"/>
                  <w:bottom w:val="single" w:sz="4" w:space="0" w:color="auto"/>
                  <w:right w:val="single" w:sz="4" w:space="0" w:color="auto"/>
                </w:tcBorders>
              </w:tcPr>
              <w:p>
                <w:pPr>
                  <w:rPr>
                    <w:szCs w:val="24"/>
                  </w:rPr>
                </w:pPr>
                <w:r>
                  <w:rPr>
                    <w:szCs w:val="24"/>
                  </w:rPr>
                  <w:t>5.1.</w:t>
                </w:r>
              </w:p>
            </w:tc>
            <w:tc>
              <w:tcPr>
                <w:tcW w:w="5594" w:type="dxa"/>
                <w:tcBorders>
                  <w:top w:val="single" w:sz="4" w:space="0" w:color="auto"/>
                  <w:left w:val="single" w:sz="4" w:space="0" w:color="auto"/>
                  <w:bottom w:val="single" w:sz="4" w:space="0" w:color="auto"/>
                  <w:right w:val="single" w:sz="4" w:space="0" w:color="auto"/>
                </w:tcBorders>
              </w:tcPr>
              <w:p>
                <w:pPr>
                  <w:rPr>
                    <w:szCs w:val="24"/>
                  </w:rPr>
                </w:pPr>
                <w:r>
                  <w:rPr>
                    <w:szCs w:val="24"/>
                  </w:rPr>
                  <w:t>darbuotojų, dirbančių profesinės rizikos sąlygomis</w:t>
                </w:r>
              </w:p>
            </w:tc>
            <w:tc>
              <w:tcPr>
                <w:tcW w:w="1663" w:type="dxa"/>
                <w:tcBorders>
                  <w:top w:val="single" w:sz="4" w:space="0" w:color="auto"/>
                  <w:left w:val="single" w:sz="4" w:space="0" w:color="auto"/>
                  <w:bottom w:val="single" w:sz="4" w:space="0" w:color="auto"/>
                  <w:right w:val="single" w:sz="4" w:space="0" w:color="auto"/>
                </w:tcBorders>
                <w:noWrap/>
              </w:tcPr>
              <w:p>
                <w:pPr>
                  <w:rPr>
                    <w:szCs w:val="24"/>
                  </w:rPr>
                </w:pPr>
                <w:r>
                  <w:rPr>
                    <w:szCs w:val="24"/>
                  </w:rPr>
                  <w:t>6,33</w:t>
                </w:r>
              </w:p>
            </w:tc>
            <w:tc>
              <w:tcPr>
                <w:tcW w:w="1325" w:type="dxa"/>
                <w:tcBorders>
                  <w:top w:val="single" w:sz="4" w:space="0" w:color="auto"/>
                  <w:left w:val="single" w:sz="4" w:space="0" w:color="auto"/>
                  <w:bottom w:val="single" w:sz="4" w:space="0" w:color="auto"/>
                  <w:right w:val="single" w:sz="4" w:space="0" w:color="auto"/>
                </w:tcBorders>
                <w:noWrap/>
              </w:tcPr>
              <w:p>
                <w:pPr>
                  <w:rPr>
                    <w:szCs w:val="24"/>
                  </w:rPr>
                </w:pPr>
                <w:r>
                  <w:rPr>
                    <w:szCs w:val="24"/>
                  </w:rPr>
                  <w:t>10,70</w:t>
                </w:r>
              </w:p>
            </w:tc>
          </w:tr>
          <w:tr>
            <w:trPr>
              <w:trHeight w:val="300"/>
            </w:trPr>
            <w:tc>
              <w:tcPr>
                <w:tcW w:w="1057" w:type="dxa"/>
                <w:tcBorders>
                  <w:top w:val="single" w:sz="4" w:space="0" w:color="auto"/>
                  <w:left w:val="single" w:sz="4" w:space="0" w:color="auto"/>
                  <w:bottom w:val="single" w:sz="4" w:space="0" w:color="auto"/>
                  <w:right w:val="single" w:sz="4" w:space="0" w:color="auto"/>
                </w:tcBorders>
              </w:tcPr>
              <w:p>
                <w:pPr>
                  <w:rPr>
                    <w:szCs w:val="24"/>
                  </w:rPr>
                </w:pPr>
                <w:r>
                  <w:rPr>
                    <w:szCs w:val="24"/>
                  </w:rPr>
                  <w:t>5.2.</w:t>
                </w:r>
              </w:p>
            </w:tc>
            <w:tc>
              <w:tcPr>
                <w:tcW w:w="5594" w:type="dxa"/>
                <w:tcBorders>
                  <w:top w:val="single" w:sz="4" w:space="0" w:color="auto"/>
                  <w:left w:val="single" w:sz="4" w:space="0" w:color="auto"/>
                  <w:bottom w:val="single" w:sz="4" w:space="0" w:color="auto"/>
                  <w:right w:val="single" w:sz="4" w:space="0" w:color="auto"/>
                </w:tcBorders>
              </w:tcPr>
              <w:p>
                <w:pPr>
                  <w:rPr>
                    <w:szCs w:val="24"/>
                  </w:rPr>
                </w:pPr>
                <w:r>
                  <w:rPr>
                    <w:szCs w:val="24"/>
                  </w:rPr>
                  <w:t>darbuotojų, dirbančių kenksmingų cheminių veiksnių rizikos sąlygomis</w:t>
                </w:r>
              </w:p>
            </w:tc>
            <w:tc>
              <w:tcPr>
                <w:tcW w:w="1663" w:type="dxa"/>
                <w:tcBorders>
                  <w:top w:val="single" w:sz="4" w:space="0" w:color="auto"/>
                  <w:left w:val="single" w:sz="4" w:space="0" w:color="auto"/>
                  <w:bottom w:val="single" w:sz="4" w:space="0" w:color="auto"/>
                  <w:right w:val="single" w:sz="4" w:space="0" w:color="auto"/>
                </w:tcBorders>
                <w:noWrap/>
              </w:tcPr>
              <w:p>
                <w:pPr>
                  <w:rPr>
                    <w:szCs w:val="24"/>
                  </w:rPr>
                </w:pPr>
                <w:r>
                  <w:rPr>
                    <w:szCs w:val="24"/>
                  </w:rPr>
                  <w:t>1,95</w:t>
                </w:r>
              </w:p>
            </w:tc>
            <w:tc>
              <w:tcPr>
                <w:tcW w:w="1325" w:type="dxa"/>
                <w:tcBorders>
                  <w:top w:val="single" w:sz="4" w:space="0" w:color="auto"/>
                  <w:left w:val="single" w:sz="4" w:space="0" w:color="auto"/>
                  <w:bottom w:val="single" w:sz="4" w:space="0" w:color="auto"/>
                  <w:right w:val="single" w:sz="4" w:space="0" w:color="auto"/>
                </w:tcBorders>
                <w:noWrap/>
              </w:tcPr>
              <w:p>
                <w:pPr>
                  <w:rPr>
                    <w:szCs w:val="24"/>
                  </w:rPr>
                </w:pPr>
                <w:r>
                  <w:rPr>
                    <w:szCs w:val="24"/>
                  </w:rPr>
                  <w:t>9,24</w:t>
                </w:r>
              </w:p>
            </w:tc>
          </w:tr>
          <w:tr>
            <w:trPr>
              <w:trHeight w:val="300"/>
            </w:trPr>
            <w:tc>
              <w:tcPr>
                <w:tcW w:w="1057" w:type="dxa"/>
                <w:tcBorders>
                  <w:top w:val="single" w:sz="4" w:space="0" w:color="auto"/>
                  <w:left w:val="single" w:sz="4" w:space="0" w:color="auto"/>
                  <w:bottom w:val="single" w:sz="4" w:space="0" w:color="auto"/>
                  <w:right w:val="single" w:sz="4" w:space="0" w:color="auto"/>
                </w:tcBorders>
              </w:tcPr>
              <w:p>
                <w:pPr>
                  <w:rPr>
                    <w:szCs w:val="24"/>
                  </w:rPr>
                </w:pPr>
                <w:r>
                  <w:rPr>
                    <w:szCs w:val="24"/>
                  </w:rPr>
                  <w:t>5.3.</w:t>
                </w:r>
              </w:p>
            </w:tc>
            <w:tc>
              <w:tcPr>
                <w:tcW w:w="5594" w:type="dxa"/>
                <w:tcBorders>
                  <w:top w:val="single" w:sz="4" w:space="0" w:color="auto"/>
                  <w:left w:val="single" w:sz="4" w:space="0" w:color="auto"/>
                  <w:bottom w:val="single" w:sz="4" w:space="0" w:color="auto"/>
                  <w:right w:val="single" w:sz="4" w:space="0" w:color="auto"/>
                </w:tcBorders>
              </w:tcPr>
              <w:p>
                <w:pPr>
                  <w:rPr>
                    <w:szCs w:val="24"/>
                  </w:rPr>
                </w:pPr>
                <w:r>
                  <w:rPr>
                    <w:szCs w:val="24"/>
                  </w:rPr>
                  <w:t>darbuotojų, dirbančių kenksmingų biologinių veiksnių rizikos sąlygomis</w:t>
                </w:r>
              </w:p>
            </w:tc>
            <w:tc>
              <w:tcPr>
                <w:tcW w:w="1663" w:type="dxa"/>
                <w:tcBorders>
                  <w:top w:val="single" w:sz="4" w:space="0" w:color="auto"/>
                  <w:left w:val="single" w:sz="4" w:space="0" w:color="auto"/>
                  <w:bottom w:val="single" w:sz="4" w:space="0" w:color="auto"/>
                  <w:right w:val="single" w:sz="4" w:space="0" w:color="auto"/>
                </w:tcBorders>
                <w:noWrap/>
              </w:tcPr>
              <w:p>
                <w:pPr>
                  <w:rPr>
                    <w:szCs w:val="24"/>
                  </w:rPr>
                </w:pPr>
                <w:r>
                  <w:rPr>
                    <w:szCs w:val="24"/>
                  </w:rPr>
                  <w:t>–</w:t>
                </w:r>
              </w:p>
            </w:tc>
            <w:tc>
              <w:tcPr>
                <w:tcW w:w="1325" w:type="dxa"/>
                <w:tcBorders>
                  <w:top w:val="single" w:sz="4" w:space="0" w:color="auto"/>
                  <w:left w:val="single" w:sz="4" w:space="0" w:color="auto"/>
                  <w:bottom w:val="single" w:sz="4" w:space="0" w:color="auto"/>
                  <w:right w:val="single" w:sz="4" w:space="0" w:color="auto"/>
                </w:tcBorders>
                <w:noWrap/>
              </w:tcPr>
              <w:p>
                <w:pPr>
                  <w:rPr>
                    <w:szCs w:val="24"/>
                  </w:rPr>
                </w:pPr>
                <w:r>
                  <w:rPr>
                    <w:szCs w:val="24"/>
                  </w:rPr>
                  <w:t>6,81</w:t>
                </w:r>
              </w:p>
            </w:tc>
          </w:tr>
          <w:tr>
            <w:trPr>
              <w:trHeight w:val="300"/>
            </w:trPr>
            <w:tc>
              <w:tcPr>
                <w:tcW w:w="1057" w:type="dxa"/>
                <w:tcBorders>
                  <w:top w:val="single" w:sz="4" w:space="0" w:color="auto"/>
                  <w:left w:val="single" w:sz="4" w:space="0" w:color="auto"/>
                  <w:bottom w:val="single" w:sz="4" w:space="0" w:color="auto"/>
                  <w:right w:val="single" w:sz="4" w:space="0" w:color="auto"/>
                </w:tcBorders>
              </w:tcPr>
              <w:p>
                <w:pPr>
                  <w:rPr>
                    <w:szCs w:val="24"/>
                  </w:rPr>
                </w:pPr>
                <w:r>
                  <w:rPr>
                    <w:szCs w:val="24"/>
                  </w:rPr>
                  <w:t>5.4.</w:t>
                </w:r>
              </w:p>
            </w:tc>
            <w:tc>
              <w:tcPr>
                <w:tcW w:w="5594" w:type="dxa"/>
                <w:tcBorders>
                  <w:top w:val="single" w:sz="4" w:space="0" w:color="auto"/>
                  <w:left w:val="single" w:sz="4" w:space="0" w:color="auto"/>
                  <w:bottom w:val="single" w:sz="4" w:space="0" w:color="auto"/>
                  <w:right w:val="single" w:sz="4" w:space="0" w:color="auto"/>
                </w:tcBorders>
              </w:tcPr>
              <w:p>
                <w:pPr>
                  <w:rPr>
                    <w:szCs w:val="24"/>
                  </w:rPr>
                </w:pPr>
                <w:r>
                  <w:rPr>
                    <w:szCs w:val="24"/>
                  </w:rPr>
                  <w:t>darbuotojų, dirbančių kenksmingų pramoninių aerozolių rizikos sąlygomis</w:t>
                </w:r>
              </w:p>
            </w:tc>
            <w:tc>
              <w:tcPr>
                <w:tcW w:w="1663" w:type="dxa"/>
                <w:tcBorders>
                  <w:top w:val="single" w:sz="4" w:space="0" w:color="auto"/>
                  <w:left w:val="single" w:sz="4" w:space="0" w:color="auto"/>
                  <w:bottom w:val="single" w:sz="4" w:space="0" w:color="auto"/>
                  <w:right w:val="single" w:sz="4" w:space="0" w:color="auto"/>
                </w:tcBorders>
                <w:noWrap/>
              </w:tcPr>
              <w:p>
                <w:pPr>
                  <w:rPr>
                    <w:szCs w:val="24"/>
                  </w:rPr>
                </w:pPr>
                <w:r>
                  <w:rPr>
                    <w:szCs w:val="24"/>
                  </w:rPr>
                  <w:t>5,35</w:t>
                </w:r>
              </w:p>
            </w:tc>
            <w:tc>
              <w:tcPr>
                <w:tcW w:w="1325" w:type="dxa"/>
                <w:tcBorders>
                  <w:top w:val="single" w:sz="4" w:space="0" w:color="auto"/>
                  <w:left w:val="single" w:sz="4" w:space="0" w:color="auto"/>
                  <w:bottom w:val="single" w:sz="4" w:space="0" w:color="auto"/>
                  <w:right w:val="single" w:sz="4" w:space="0" w:color="auto"/>
                </w:tcBorders>
                <w:noWrap/>
              </w:tcPr>
              <w:p>
                <w:pPr>
                  <w:rPr>
                    <w:szCs w:val="24"/>
                  </w:rPr>
                </w:pPr>
                <w:r>
                  <w:rPr>
                    <w:szCs w:val="24"/>
                  </w:rPr>
                  <w:t>11,19</w:t>
                </w:r>
              </w:p>
            </w:tc>
          </w:tr>
          <w:tr>
            <w:trPr>
              <w:trHeight w:val="300"/>
            </w:trPr>
            <w:tc>
              <w:tcPr>
                <w:tcW w:w="1057" w:type="dxa"/>
                <w:tcBorders>
                  <w:top w:val="single" w:sz="4" w:space="0" w:color="auto"/>
                  <w:left w:val="single" w:sz="4" w:space="0" w:color="auto"/>
                  <w:bottom w:val="single" w:sz="4" w:space="0" w:color="auto"/>
                  <w:right w:val="single" w:sz="4" w:space="0" w:color="auto"/>
                </w:tcBorders>
              </w:tcPr>
              <w:p>
                <w:pPr>
                  <w:rPr>
                    <w:szCs w:val="24"/>
                  </w:rPr>
                </w:pPr>
                <w:r>
                  <w:rPr>
                    <w:szCs w:val="24"/>
                  </w:rPr>
                  <w:t>5.5.</w:t>
                </w:r>
              </w:p>
            </w:tc>
            <w:tc>
              <w:tcPr>
                <w:tcW w:w="5594" w:type="dxa"/>
                <w:tcBorders>
                  <w:top w:val="single" w:sz="4" w:space="0" w:color="auto"/>
                  <w:left w:val="single" w:sz="4" w:space="0" w:color="auto"/>
                  <w:bottom w:val="single" w:sz="4" w:space="0" w:color="auto"/>
                  <w:right w:val="single" w:sz="4" w:space="0" w:color="auto"/>
                </w:tcBorders>
              </w:tcPr>
              <w:p>
                <w:pPr>
                  <w:rPr>
                    <w:szCs w:val="24"/>
                  </w:rPr>
                </w:pPr>
                <w:r>
                  <w:rPr>
                    <w:szCs w:val="24"/>
                  </w:rPr>
                  <w:t>darbuotojų, dirbančių kenksmingų fizikinių veiksnių rizikos sąlygomis</w:t>
                </w:r>
              </w:p>
            </w:tc>
            <w:tc>
              <w:tcPr>
                <w:tcW w:w="1663" w:type="dxa"/>
                <w:tcBorders>
                  <w:top w:val="single" w:sz="4" w:space="0" w:color="auto"/>
                  <w:left w:val="single" w:sz="4" w:space="0" w:color="auto"/>
                  <w:bottom w:val="single" w:sz="4" w:space="0" w:color="auto"/>
                  <w:right w:val="single" w:sz="4" w:space="0" w:color="auto"/>
                </w:tcBorders>
              </w:tcPr>
              <w:p>
                <w:pPr>
                  <w:rPr>
                    <w:szCs w:val="24"/>
                  </w:rPr>
                </w:pPr>
                <w:r>
                  <w:rPr>
                    <w:szCs w:val="24"/>
                  </w:rPr>
                  <w:t>2,43</w:t>
                </w:r>
              </w:p>
            </w:tc>
            <w:tc>
              <w:tcPr>
                <w:tcW w:w="1325" w:type="dxa"/>
                <w:tcBorders>
                  <w:top w:val="single" w:sz="4" w:space="0" w:color="auto"/>
                  <w:left w:val="single" w:sz="4" w:space="0" w:color="auto"/>
                  <w:bottom w:val="single" w:sz="4" w:space="0" w:color="auto"/>
                  <w:right w:val="single" w:sz="4" w:space="0" w:color="auto"/>
                </w:tcBorders>
                <w:noWrap/>
              </w:tcPr>
              <w:p>
                <w:pPr>
                  <w:rPr>
                    <w:szCs w:val="24"/>
                  </w:rPr>
                </w:pPr>
                <w:r>
                  <w:rPr>
                    <w:szCs w:val="24"/>
                  </w:rPr>
                  <w:t>7,30</w:t>
                </w:r>
              </w:p>
            </w:tc>
          </w:tr>
          <w:tr>
            <w:trPr>
              <w:trHeight w:val="300"/>
            </w:trPr>
            <w:tc>
              <w:tcPr>
                <w:tcW w:w="1057" w:type="dxa"/>
                <w:tcBorders>
                  <w:top w:val="single" w:sz="4" w:space="0" w:color="auto"/>
                  <w:left w:val="single" w:sz="4" w:space="0" w:color="auto"/>
                  <w:bottom w:val="single" w:sz="4" w:space="0" w:color="auto"/>
                  <w:right w:val="single" w:sz="4" w:space="0" w:color="auto"/>
                </w:tcBorders>
              </w:tcPr>
              <w:p>
                <w:pPr>
                  <w:rPr>
                    <w:szCs w:val="24"/>
                  </w:rPr>
                </w:pPr>
                <w:r>
                  <w:rPr>
                    <w:szCs w:val="24"/>
                  </w:rPr>
                  <w:t>5.6.</w:t>
                </w:r>
              </w:p>
            </w:tc>
            <w:tc>
              <w:tcPr>
                <w:tcW w:w="5594" w:type="dxa"/>
                <w:tcBorders>
                  <w:top w:val="single" w:sz="4" w:space="0" w:color="auto"/>
                  <w:left w:val="single" w:sz="4" w:space="0" w:color="auto"/>
                  <w:bottom w:val="single" w:sz="4" w:space="0" w:color="auto"/>
                  <w:right w:val="single" w:sz="4" w:space="0" w:color="auto"/>
                </w:tcBorders>
              </w:tcPr>
              <w:p>
                <w:pPr>
                  <w:rPr>
                    <w:szCs w:val="24"/>
                  </w:rPr>
                </w:pPr>
                <w:r>
                  <w:rPr>
                    <w:szCs w:val="24"/>
                  </w:rPr>
                  <w:t>darbuotojų, dirbančių dėl fizinių perkrovų pavojingą darbą</w:t>
                </w:r>
              </w:p>
            </w:tc>
            <w:tc>
              <w:tcPr>
                <w:tcW w:w="1663" w:type="dxa"/>
                <w:tcBorders>
                  <w:top w:val="single" w:sz="4" w:space="0" w:color="auto"/>
                  <w:left w:val="single" w:sz="4" w:space="0" w:color="auto"/>
                  <w:bottom w:val="single" w:sz="4" w:space="0" w:color="auto"/>
                  <w:right w:val="single" w:sz="4" w:space="0" w:color="auto"/>
                </w:tcBorders>
                <w:noWrap/>
              </w:tcPr>
              <w:p>
                <w:pPr>
                  <w:rPr>
                    <w:szCs w:val="24"/>
                  </w:rPr>
                </w:pPr>
                <w:r>
                  <w:rPr>
                    <w:szCs w:val="24"/>
                  </w:rPr>
                  <w:t>2,92</w:t>
                </w:r>
              </w:p>
            </w:tc>
            <w:tc>
              <w:tcPr>
                <w:tcW w:w="1325" w:type="dxa"/>
                <w:tcBorders>
                  <w:top w:val="single" w:sz="4" w:space="0" w:color="auto"/>
                  <w:left w:val="single" w:sz="4" w:space="0" w:color="auto"/>
                  <w:bottom w:val="single" w:sz="4" w:space="0" w:color="auto"/>
                  <w:right w:val="single" w:sz="4" w:space="0" w:color="auto"/>
                </w:tcBorders>
                <w:noWrap/>
              </w:tcPr>
              <w:p>
                <w:pPr>
                  <w:rPr>
                    <w:szCs w:val="24"/>
                  </w:rPr>
                </w:pPr>
                <w:r>
                  <w:rPr>
                    <w:szCs w:val="24"/>
                  </w:rPr>
                  <w:t>7,30</w:t>
                </w:r>
              </w:p>
            </w:tc>
          </w:tr>
          <w:tr>
            <w:trPr>
              <w:trHeight w:val="300"/>
            </w:trPr>
            <w:tc>
              <w:tcPr>
                <w:tcW w:w="1057" w:type="dxa"/>
                <w:tcBorders>
                  <w:top w:val="single" w:sz="4" w:space="0" w:color="auto"/>
                  <w:left w:val="single" w:sz="4" w:space="0" w:color="auto"/>
                  <w:bottom w:val="single" w:sz="4" w:space="0" w:color="auto"/>
                  <w:right w:val="single" w:sz="4" w:space="0" w:color="auto"/>
                </w:tcBorders>
              </w:tcPr>
              <w:p>
                <w:pPr>
                  <w:rPr>
                    <w:szCs w:val="24"/>
                  </w:rPr>
                </w:pPr>
                <w:r>
                  <w:rPr>
                    <w:szCs w:val="24"/>
                  </w:rPr>
                  <w:t>6.</w:t>
                </w:r>
              </w:p>
            </w:tc>
            <w:tc>
              <w:tcPr>
                <w:tcW w:w="5594" w:type="dxa"/>
                <w:tcBorders>
                  <w:top w:val="single" w:sz="4" w:space="0" w:color="auto"/>
                  <w:left w:val="single" w:sz="4" w:space="0" w:color="auto"/>
                  <w:bottom w:val="single" w:sz="4" w:space="0" w:color="auto"/>
                  <w:right w:val="single" w:sz="4" w:space="0" w:color="auto"/>
                </w:tcBorders>
              </w:tcPr>
              <w:p>
                <w:pPr>
                  <w:rPr>
                    <w:szCs w:val="24"/>
                  </w:rPr>
                </w:pPr>
                <w:r>
                  <w:rPr>
                    <w:szCs w:val="24"/>
                  </w:rPr>
                  <w:t>Darbuotojų, kuriems leidžiama dirbti darbus ar vykdyti veiklą, kai privaloma profilaktiškai tikrintis sveikatą dėl užkrečiamųjų ligų</w:t>
                </w:r>
              </w:p>
            </w:tc>
            <w:tc>
              <w:tcPr>
                <w:tcW w:w="1663" w:type="dxa"/>
                <w:tcBorders>
                  <w:top w:val="single" w:sz="4" w:space="0" w:color="auto"/>
                  <w:left w:val="single" w:sz="4" w:space="0" w:color="auto"/>
                  <w:bottom w:val="single" w:sz="4" w:space="0" w:color="auto"/>
                  <w:right w:val="single" w:sz="4" w:space="0" w:color="auto"/>
                </w:tcBorders>
                <w:noWrap/>
              </w:tcPr>
              <w:p>
                <w:pPr>
                  <w:rPr>
                    <w:szCs w:val="24"/>
                  </w:rPr>
                </w:pPr>
                <w:r>
                  <w:rPr>
                    <w:szCs w:val="24"/>
                  </w:rPr>
                  <w:t>3,41</w:t>
                </w:r>
              </w:p>
            </w:tc>
            <w:tc>
              <w:tcPr>
                <w:tcW w:w="1325" w:type="dxa"/>
                <w:tcBorders>
                  <w:top w:val="single" w:sz="4" w:space="0" w:color="auto"/>
                  <w:left w:val="single" w:sz="4" w:space="0" w:color="auto"/>
                  <w:bottom w:val="single" w:sz="4" w:space="0" w:color="auto"/>
                  <w:right w:val="single" w:sz="4" w:space="0" w:color="auto"/>
                </w:tcBorders>
                <w:noWrap/>
              </w:tcPr>
              <w:p>
                <w:pPr>
                  <w:rPr>
                    <w:szCs w:val="24"/>
                  </w:rPr>
                </w:pPr>
                <w:r>
                  <w:rPr>
                    <w:szCs w:val="24"/>
                  </w:rPr>
                  <w:t>2,43</w:t>
                </w:r>
              </w:p>
            </w:tc>
          </w:tr>
          <w:tr>
            <w:trPr>
              <w:trHeight w:val="300"/>
            </w:trPr>
            <w:tc>
              <w:tcPr>
                <w:tcW w:w="1057" w:type="dxa"/>
                <w:tcBorders>
                  <w:top w:val="single" w:sz="4" w:space="0" w:color="auto"/>
                  <w:left w:val="single" w:sz="4" w:space="0" w:color="auto"/>
                  <w:bottom w:val="single" w:sz="4" w:space="0" w:color="auto"/>
                  <w:right w:val="single" w:sz="4" w:space="0" w:color="auto"/>
                </w:tcBorders>
              </w:tcPr>
              <w:p>
                <w:pPr>
                  <w:rPr>
                    <w:szCs w:val="24"/>
                  </w:rPr>
                </w:pPr>
                <w:r>
                  <w:rPr>
                    <w:szCs w:val="24"/>
                  </w:rPr>
                  <w:t>7.</w:t>
                </w:r>
              </w:p>
            </w:tc>
            <w:tc>
              <w:tcPr>
                <w:tcW w:w="5594" w:type="dxa"/>
                <w:tcBorders>
                  <w:top w:val="single" w:sz="4" w:space="0" w:color="auto"/>
                  <w:left w:val="single" w:sz="4" w:space="0" w:color="auto"/>
                  <w:bottom w:val="single" w:sz="4" w:space="0" w:color="auto"/>
                  <w:right w:val="single" w:sz="4" w:space="0" w:color="auto"/>
                </w:tcBorders>
              </w:tcPr>
              <w:p>
                <w:pPr>
                  <w:rPr>
                    <w:szCs w:val="24"/>
                  </w:rPr>
                </w:pPr>
                <w:r>
                  <w:rPr>
                    <w:szCs w:val="24"/>
                  </w:rPr>
                  <w:t>Vidaus tarnybos sistemos pareigūnų, kurie tikrinami pagal Vidaus tarnybos sistemos pareigūnų privalomų periodinių profilaktinių sveikatos patikrinimų tvarkos aprašą, patvirtintą Lietuvos Respublikos vidaus reikalų ministro 2008 m. birželio 16 d. įsakymu Nr. 1V-230 „Dėl Vidaus tarnybos sistemos pareigūnų privalomų periodinių profilaktinių sveikatos patikrinimų tvarkos aprašo patvirtinimo“ (toliau – Aprašas):</w:t>
                </w:r>
              </w:p>
            </w:tc>
            <w:tc>
              <w:tcPr>
                <w:tcW w:w="1663" w:type="dxa"/>
                <w:tcBorders>
                  <w:top w:val="single" w:sz="4" w:space="0" w:color="auto"/>
                  <w:left w:val="single" w:sz="4" w:space="0" w:color="auto"/>
                  <w:bottom w:val="single" w:sz="4" w:space="0" w:color="auto"/>
                  <w:right w:val="single" w:sz="4" w:space="0" w:color="auto"/>
                </w:tcBorders>
                <w:noWrap/>
              </w:tcPr>
              <w:p>
                <w:pPr>
                  <w:rPr>
                    <w:szCs w:val="24"/>
                  </w:rPr>
                </w:pPr>
              </w:p>
            </w:tc>
            <w:tc>
              <w:tcPr>
                <w:tcW w:w="1325" w:type="dxa"/>
                <w:tcBorders>
                  <w:top w:val="single" w:sz="4" w:space="0" w:color="auto"/>
                  <w:left w:val="single" w:sz="4" w:space="0" w:color="auto"/>
                  <w:bottom w:val="single" w:sz="4" w:space="0" w:color="auto"/>
                  <w:right w:val="single" w:sz="4" w:space="0" w:color="auto"/>
                </w:tcBorders>
                <w:noWrap/>
              </w:tcPr>
              <w:p>
                <w:pPr>
                  <w:rPr>
                    <w:szCs w:val="24"/>
                  </w:rPr>
                </w:pPr>
              </w:p>
            </w:tc>
          </w:tr>
          <w:tr>
            <w:trPr>
              <w:trHeight w:val="300"/>
            </w:trPr>
            <w:tc>
              <w:tcPr>
                <w:tcW w:w="1057" w:type="dxa"/>
                <w:tcBorders>
                  <w:top w:val="single" w:sz="4" w:space="0" w:color="auto"/>
                  <w:left w:val="single" w:sz="4" w:space="0" w:color="auto"/>
                  <w:bottom w:val="single" w:sz="4" w:space="0" w:color="auto"/>
                  <w:right w:val="single" w:sz="4" w:space="0" w:color="auto"/>
                </w:tcBorders>
              </w:tcPr>
              <w:p>
                <w:pPr>
                  <w:rPr>
                    <w:szCs w:val="24"/>
                  </w:rPr>
                </w:pPr>
                <w:r>
                  <w:rPr>
                    <w:szCs w:val="24"/>
                  </w:rPr>
                  <w:t>7.1.</w:t>
                </w:r>
              </w:p>
            </w:tc>
            <w:tc>
              <w:tcPr>
                <w:tcW w:w="5594" w:type="dxa"/>
                <w:tcBorders>
                  <w:top w:val="single" w:sz="4" w:space="0" w:color="auto"/>
                  <w:left w:val="single" w:sz="4" w:space="0" w:color="auto"/>
                  <w:bottom w:val="single" w:sz="4" w:space="0" w:color="auto"/>
                  <w:right w:val="single" w:sz="4" w:space="0" w:color="auto"/>
                </w:tcBorders>
              </w:tcPr>
              <w:p>
                <w:pPr>
                  <w:rPr>
                    <w:szCs w:val="24"/>
                  </w:rPr>
                </w:pPr>
                <w:r>
                  <w:rPr>
                    <w:szCs w:val="24"/>
                  </w:rPr>
                  <w:t>pareigūnų – pagal Aprašo 1 priedo 1 ir 2 punktus;</w:t>
                </w:r>
              </w:p>
              <w:p>
                <w:pPr>
                  <w:rPr>
                    <w:szCs w:val="24"/>
                  </w:rPr>
                </w:pPr>
                <w:r>
                  <w:rPr>
                    <w:szCs w:val="24"/>
                  </w:rPr>
                  <w:t>pareigūnų, kurie pagal pareigybių aprašymus patruliuoja, saugo asmenis, vykdo mobiliąsias palydas, konvojuoja, – pagal Aprašo 2 priedo 1 punktą;</w:t>
                </w:r>
              </w:p>
              <w:p>
                <w:pPr>
                  <w:rPr>
                    <w:szCs w:val="24"/>
                  </w:rPr>
                </w:pPr>
                <w:r>
                  <w:rPr>
                    <w:szCs w:val="24"/>
                  </w:rPr>
                  <w:t>pareigūnų, vykdančių tarnybines pareigas aplinkoje, kurioje aptinkami sveikatai kenksmingi veiksniai ir medžiagos, bei dirbančių pavojingą darbą, – pagal Aprašo 2 priedo 9 punktą</w:t>
                </w:r>
              </w:p>
            </w:tc>
            <w:tc>
              <w:tcPr>
                <w:tcW w:w="1663" w:type="dxa"/>
                <w:tcBorders>
                  <w:top w:val="single" w:sz="4" w:space="0" w:color="auto"/>
                  <w:left w:val="single" w:sz="4" w:space="0" w:color="auto"/>
                  <w:bottom w:val="single" w:sz="4" w:space="0" w:color="auto"/>
                  <w:right w:val="single" w:sz="4" w:space="0" w:color="auto"/>
                </w:tcBorders>
                <w:noWrap/>
              </w:tcPr>
              <w:p>
                <w:pPr>
                  <w:rPr>
                    <w:szCs w:val="24"/>
                  </w:rPr>
                </w:pPr>
                <w:r>
                  <w:rPr>
                    <w:szCs w:val="24"/>
                  </w:rPr>
                  <w:t>–</w:t>
                </w:r>
              </w:p>
            </w:tc>
            <w:tc>
              <w:tcPr>
                <w:tcW w:w="1325" w:type="dxa"/>
                <w:tcBorders>
                  <w:top w:val="single" w:sz="4" w:space="0" w:color="auto"/>
                  <w:left w:val="single" w:sz="4" w:space="0" w:color="auto"/>
                  <w:bottom w:val="single" w:sz="4" w:space="0" w:color="auto"/>
                  <w:right w:val="single" w:sz="4" w:space="0" w:color="auto"/>
                </w:tcBorders>
                <w:noWrap/>
              </w:tcPr>
              <w:p>
                <w:pPr>
                  <w:rPr>
                    <w:szCs w:val="24"/>
                  </w:rPr>
                </w:pPr>
                <w:r>
                  <w:rPr>
                    <w:szCs w:val="24"/>
                  </w:rPr>
                  <w:t>49,84</w:t>
                </w:r>
              </w:p>
            </w:tc>
          </w:tr>
          <w:tr>
            <w:trPr>
              <w:trHeight w:val="300"/>
            </w:trPr>
            <w:tc>
              <w:tcPr>
                <w:tcW w:w="1057" w:type="dxa"/>
                <w:tcBorders>
                  <w:top w:val="single" w:sz="4" w:space="0" w:color="auto"/>
                  <w:left w:val="single" w:sz="4" w:space="0" w:color="auto"/>
                  <w:bottom w:val="single" w:sz="4" w:space="0" w:color="auto"/>
                  <w:right w:val="single" w:sz="4" w:space="0" w:color="auto"/>
                </w:tcBorders>
              </w:tcPr>
              <w:p>
                <w:pPr>
                  <w:rPr>
                    <w:szCs w:val="24"/>
                  </w:rPr>
                </w:pPr>
                <w:r>
                  <w:rPr>
                    <w:szCs w:val="24"/>
                  </w:rPr>
                  <w:t>7.2.</w:t>
                </w:r>
              </w:p>
            </w:tc>
            <w:tc>
              <w:tcPr>
                <w:tcW w:w="5594" w:type="dxa"/>
                <w:tcBorders>
                  <w:top w:val="single" w:sz="4" w:space="0" w:color="auto"/>
                  <w:left w:val="single" w:sz="4" w:space="0" w:color="auto"/>
                  <w:bottom w:val="single" w:sz="4" w:space="0" w:color="auto"/>
                  <w:right w:val="single" w:sz="4" w:space="0" w:color="auto"/>
                </w:tcBorders>
              </w:tcPr>
              <w:p>
                <w:pPr>
                  <w:rPr>
                    <w:szCs w:val="24"/>
                  </w:rPr>
                </w:pPr>
                <w:r>
                  <w:rPr>
                    <w:szCs w:val="24"/>
                  </w:rPr>
                  <w:t>pareigūnų, kurie pagal pareigybės aprašymą vykdo organizuotas ginkluotas (specialiąsias) operacijas ne karo metu, – pagal Aprašo 2 priedo 2 punktą</w:t>
                </w:r>
              </w:p>
            </w:tc>
            <w:tc>
              <w:tcPr>
                <w:tcW w:w="1663" w:type="dxa"/>
                <w:tcBorders>
                  <w:top w:val="single" w:sz="4" w:space="0" w:color="auto"/>
                  <w:left w:val="single" w:sz="4" w:space="0" w:color="auto"/>
                  <w:bottom w:val="single" w:sz="4" w:space="0" w:color="auto"/>
                  <w:right w:val="single" w:sz="4" w:space="0" w:color="auto"/>
                </w:tcBorders>
                <w:noWrap/>
              </w:tcPr>
              <w:p>
                <w:pPr>
                  <w:rPr>
                    <w:szCs w:val="24"/>
                  </w:rPr>
                </w:pPr>
                <w:r>
                  <w:rPr>
                    <w:szCs w:val="24"/>
                  </w:rPr>
                  <w:t>–</w:t>
                </w:r>
              </w:p>
              <w:p>
                <w:pPr>
                  <w:rPr>
                    <w:szCs w:val="24"/>
                  </w:rPr>
                </w:pPr>
              </w:p>
              <w:p>
                <w:pPr>
                  <w:rPr>
                    <w:szCs w:val="24"/>
                  </w:rPr>
                </w:pPr>
              </w:p>
            </w:tc>
            <w:tc>
              <w:tcPr>
                <w:tcW w:w="1325" w:type="dxa"/>
                <w:tcBorders>
                  <w:top w:val="single" w:sz="4" w:space="0" w:color="auto"/>
                  <w:left w:val="single" w:sz="4" w:space="0" w:color="auto"/>
                  <w:bottom w:val="single" w:sz="4" w:space="0" w:color="auto"/>
                  <w:right w:val="single" w:sz="4" w:space="0" w:color="auto"/>
                </w:tcBorders>
                <w:noWrap/>
              </w:tcPr>
              <w:p>
                <w:pPr>
                  <w:rPr>
                    <w:szCs w:val="24"/>
                  </w:rPr>
                </w:pPr>
                <w:r>
                  <w:rPr>
                    <w:szCs w:val="24"/>
                  </w:rPr>
                  <w:t>53,67</w:t>
                </w:r>
              </w:p>
              <w:p>
                <w:pPr>
                  <w:rPr>
                    <w:szCs w:val="24"/>
                  </w:rPr>
                </w:pPr>
              </w:p>
              <w:p>
                <w:pPr>
                  <w:rPr>
                    <w:szCs w:val="24"/>
                  </w:rPr>
                </w:pPr>
              </w:p>
            </w:tc>
          </w:tr>
          <w:tr>
            <w:trPr>
              <w:trHeight w:val="300"/>
            </w:trPr>
            <w:tc>
              <w:tcPr>
                <w:tcW w:w="1057" w:type="dxa"/>
                <w:tcBorders>
                  <w:top w:val="single" w:sz="4" w:space="0" w:color="auto"/>
                  <w:left w:val="single" w:sz="4" w:space="0" w:color="auto"/>
                  <w:bottom w:val="single" w:sz="4" w:space="0" w:color="auto"/>
                  <w:right w:val="single" w:sz="4" w:space="0" w:color="auto"/>
                </w:tcBorders>
              </w:tcPr>
              <w:p>
                <w:pPr>
                  <w:rPr>
                    <w:szCs w:val="24"/>
                  </w:rPr>
                </w:pPr>
                <w:r>
                  <w:rPr>
                    <w:szCs w:val="24"/>
                  </w:rPr>
                  <w:t>7.3</w:t>
                </w:r>
              </w:p>
            </w:tc>
            <w:tc>
              <w:tcPr>
                <w:tcW w:w="5594" w:type="dxa"/>
                <w:tcBorders>
                  <w:top w:val="single" w:sz="4" w:space="0" w:color="auto"/>
                  <w:left w:val="single" w:sz="4" w:space="0" w:color="auto"/>
                  <w:bottom w:val="single" w:sz="4" w:space="0" w:color="auto"/>
                  <w:right w:val="single" w:sz="4" w:space="0" w:color="auto"/>
                </w:tcBorders>
              </w:tcPr>
              <w:p>
                <w:pPr>
                  <w:rPr>
                    <w:szCs w:val="24"/>
                  </w:rPr>
                </w:pPr>
                <w:r>
                  <w:rPr>
                    <w:szCs w:val="24"/>
                  </w:rPr>
                  <w:t>pareigūnų, pagal pareigybės aprašymą atliekančių objektų patikrą, kurios tikslas – aptikti, nustatyti ir neutralizuoti ginklus ir (ar) šaudmenis, sprogstamąsias medžiagas ir (ar) užtaisus, – pagal Aprašo 2 priedo 8 punktą</w:t>
                </w:r>
              </w:p>
            </w:tc>
            <w:tc>
              <w:tcPr>
                <w:tcW w:w="1663" w:type="dxa"/>
                <w:tcBorders>
                  <w:top w:val="single" w:sz="4" w:space="0" w:color="auto"/>
                  <w:left w:val="single" w:sz="4" w:space="0" w:color="auto"/>
                  <w:bottom w:val="single" w:sz="4" w:space="0" w:color="auto"/>
                  <w:right w:val="single" w:sz="4" w:space="0" w:color="auto"/>
                </w:tcBorders>
                <w:noWrap/>
              </w:tcPr>
              <w:p>
                <w:pPr>
                  <w:rPr>
                    <w:szCs w:val="24"/>
                  </w:rPr>
                </w:pPr>
                <w:r>
                  <w:rPr>
                    <w:szCs w:val="24"/>
                  </w:rPr>
                  <w:t>–</w:t>
                </w:r>
              </w:p>
            </w:tc>
            <w:tc>
              <w:tcPr>
                <w:tcW w:w="1325" w:type="dxa"/>
                <w:tcBorders>
                  <w:top w:val="single" w:sz="4" w:space="0" w:color="auto"/>
                  <w:left w:val="single" w:sz="4" w:space="0" w:color="auto"/>
                  <w:bottom w:val="single" w:sz="4" w:space="0" w:color="auto"/>
                  <w:right w:val="single" w:sz="4" w:space="0" w:color="auto"/>
                </w:tcBorders>
                <w:noWrap/>
              </w:tcPr>
              <w:p>
                <w:pPr>
                  <w:rPr>
                    <w:szCs w:val="24"/>
                  </w:rPr>
                </w:pPr>
                <w:r>
                  <w:rPr>
                    <w:szCs w:val="24"/>
                  </w:rPr>
                  <w:t>65,63</w:t>
                </w:r>
              </w:p>
            </w:tc>
          </w:tr>
          <w:tr>
            <w:trPr>
              <w:trHeight w:val="300"/>
            </w:trPr>
            <w:tc>
              <w:tcPr>
                <w:tcW w:w="1057" w:type="dxa"/>
                <w:tcBorders>
                  <w:top w:val="single" w:sz="4" w:space="0" w:color="auto"/>
                  <w:left w:val="single" w:sz="4" w:space="0" w:color="auto"/>
                  <w:bottom w:val="single" w:sz="4" w:space="0" w:color="auto"/>
                  <w:right w:val="single" w:sz="4" w:space="0" w:color="auto"/>
                </w:tcBorders>
              </w:tcPr>
              <w:p>
                <w:pPr>
                  <w:rPr>
                    <w:szCs w:val="24"/>
                  </w:rPr>
                </w:pPr>
                <w:r>
                  <w:rPr>
                    <w:szCs w:val="24"/>
                  </w:rPr>
                  <w:t>7.4.</w:t>
                </w:r>
              </w:p>
            </w:tc>
            <w:tc>
              <w:tcPr>
                <w:tcW w:w="5594" w:type="dxa"/>
                <w:tcBorders>
                  <w:top w:val="single" w:sz="4" w:space="0" w:color="auto"/>
                  <w:left w:val="single" w:sz="4" w:space="0" w:color="auto"/>
                  <w:bottom w:val="single" w:sz="4" w:space="0" w:color="auto"/>
                  <w:right w:val="single" w:sz="4" w:space="0" w:color="auto"/>
                </w:tcBorders>
              </w:tcPr>
              <w:p>
                <w:pPr>
                  <w:rPr>
                    <w:szCs w:val="24"/>
                  </w:rPr>
                </w:pPr>
                <w:r>
                  <w:rPr>
                    <w:szCs w:val="24"/>
                  </w:rPr>
                  <w:t>ugniagesių gelbėtojų, dirbančių kvėpuoti netinkamoje aplinkoje su autonominiu atvirojo kvėpavimo suslėgtu oru aparatu, – pagal Aprašo 2 priedo 3 punktą</w:t>
                </w:r>
              </w:p>
            </w:tc>
            <w:tc>
              <w:tcPr>
                <w:tcW w:w="1663" w:type="dxa"/>
                <w:tcBorders>
                  <w:top w:val="single" w:sz="4" w:space="0" w:color="auto"/>
                  <w:left w:val="single" w:sz="4" w:space="0" w:color="auto"/>
                  <w:bottom w:val="single" w:sz="4" w:space="0" w:color="auto"/>
                  <w:right w:val="single" w:sz="4" w:space="0" w:color="auto"/>
                </w:tcBorders>
                <w:noWrap/>
              </w:tcPr>
              <w:p>
                <w:pPr>
                  <w:rPr>
                    <w:szCs w:val="24"/>
                  </w:rPr>
                </w:pPr>
                <w:r>
                  <w:rPr>
                    <w:szCs w:val="24"/>
                  </w:rPr>
                  <w:t>–</w:t>
                </w:r>
              </w:p>
              <w:p>
                <w:pPr>
                  <w:rPr>
                    <w:szCs w:val="24"/>
                  </w:rPr>
                </w:pPr>
              </w:p>
              <w:p>
                <w:pPr>
                  <w:rPr>
                    <w:szCs w:val="24"/>
                  </w:rPr>
                </w:pPr>
              </w:p>
            </w:tc>
            <w:tc>
              <w:tcPr>
                <w:tcW w:w="1325" w:type="dxa"/>
                <w:tcBorders>
                  <w:top w:val="single" w:sz="4" w:space="0" w:color="auto"/>
                  <w:left w:val="single" w:sz="4" w:space="0" w:color="auto"/>
                  <w:bottom w:val="single" w:sz="4" w:space="0" w:color="auto"/>
                  <w:right w:val="single" w:sz="4" w:space="0" w:color="auto"/>
                </w:tcBorders>
                <w:noWrap/>
              </w:tcPr>
              <w:p>
                <w:pPr>
                  <w:rPr>
                    <w:szCs w:val="24"/>
                  </w:rPr>
                </w:pPr>
                <w:r>
                  <w:rPr>
                    <w:szCs w:val="24"/>
                  </w:rPr>
                  <w:t>65,33</w:t>
                </w:r>
              </w:p>
              <w:p>
                <w:pPr>
                  <w:rPr>
                    <w:szCs w:val="24"/>
                  </w:rPr>
                </w:pPr>
              </w:p>
              <w:p>
                <w:pPr>
                  <w:rPr>
                    <w:szCs w:val="24"/>
                  </w:rPr>
                </w:pPr>
              </w:p>
            </w:tc>
          </w:tr>
          <w:tr>
            <w:trPr>
              <w:trHeight w:val="300"/>
            </w:trPr>
            <w:tc>
              <w:tcPr>
                <w:tcW w:w="1057" w:type="dxa"/>
                <w:tcBorders>
                  <w:top w:val="single" w:sz="4" w:space="0" w:color="auto"/>
                  <w:left w:val="single" w:sz="4" w:space="0" w:color="auto"/>
                  <w:bottom w:val="single" w:sz="4" w:space="0" w:color="auto"/>
                  <w:right w:val="single" w:sz="4" w:space="0" w:color="auto"/>
                </w:tcBorders>
              </w:tcPr>
              <w:p>
                <w:pPr>
                  <w:rPr>
                    <w:szCs w:val="24"/>
                  </w:rPr>
                </w:pPr>
                <w:r>
                  <w:rPr>
                    <w:szCs w:val="24"/>
                  </w:rPr>
                  <w:t>7.5.</w:t>
                </w:r>
              </w:p>
            </w:tc>
            <w:tc>
              <w:tcPr>
                <w:tcW w:w="5594" w:type="dxa"/>
                <w:tcBorders>
                  <w:top w:val="single" w:sz="4" w:space="0" w:color="auto"/>
                  <w:left w:val="single" w:sz="4" w:space="0" w:color="auto"/>
                  <w:bottom w:val="single" w:sz="4" w:space="0" w:color="auto"/>
                  <w:right w:val="single" w:sz="4" w:space="0" w:color="auto"/>
                </w:tcBorders>
              </w:tcPr>
              <w:p>
                <w:pPr>
                  <w:rPr>
                    <w:szCs w:val="24"/>
                  </w:rPr>
                </w:pPr>
                <w:r>
                  <w:rPr>
                    <w:szCs w:val="24"/>
                  </w:rPr>
                  <w:t>skraidančiojo aviacijos personalo – pagal Aprašo 2 priedo 4 punktą</w:t>
                </w:r>
              </w:p>
            </w:tc>
            <w:tc>
              <w:tcPr>
                <w:tcW w:w="1663" w:type="dxa"/>
                <w:tcBorders>
                  <w:top w:val="single" w:sz="4" w:space="0" w:color="auto"/>
                  <w:left w:val="single" w:sz="4" w:space="0" w:color="auto"/>
                  <w:bottom w:val="single" w:sz="4" w:space="0" w:color="auto"/>
                  <w:right w:val="single" w:sz="4" w:space="0" w:color="auto"/>
                </w:tcBorders>
                <w:noWrap/>
              </w:tcPr>
              <w:p>
                <w:pPr>
                  <w:rPr>
                    <w:szCs w:val="24"/>
                  </w:rPr>
                </w:pPr>
                <w:r>
                  <w:rPr>
                    <w:szCs w:val="24"/>
                  </w:rPr>
                  <w:t>–</w:t>
                </w:r>
              </w:p>
            </w:tc>
            <w:tc>
              <w:tcPr>
                <w:tcW w:w="1325" w:type="dxa"/>
                <w:tcBorders>
                  <w:top w:val="single" w:sz="4" w:space="0" w:color="auto"/>
                  <w:left w:val="single" w:sz="4" w:space="0" w:color="auto"/>
                  <w:bottom w:val="single" w:sz="4" w:space="0" w:color="auto"/>
                  <w:right w:val="single" w:sz="4" w:space="0" w:color="auto"/>
                </w:tcBorders>
                <w:noWrap/>
              </w:tcPr>
              <w:p>
                <w:pPr>
                  <w:rPr>
                    <w:szCs w:val="24"/>
                  </w:rPr>
                </w:pPr>
                <w:r>
                  <w:rPr>
                    <w:szCs w:val="24"/>
                  </w:rPr>
                  <w:t>79,55</w:t>
                </w:r>
              </w:p>
            </w:tc>
          </w:tr>
          <w:tr>
            <w:trPr>
              <w:trHeight w:val="300"/>
            </w:trPr>
            <w:tc>
              <w:tcPr>
                <w:tcW w:w="1057" w:type="dxa"/>
                <w:tcBorders>
                  <w:top w:val="single" w:sz="4" w:space="0" w:color="auto"/>
                  <w:left w:val="single" w:sz="4" w:space="0" w:color="auto"/>
                  <w:bottom w:val="single" w:sz="4" w:space="0" w:color="auto"/>
                  <w:right w:val="single" w:sz="4" w:space="0" w:color="auto"/>
                </w:tcBorders>
              </w:tcPr>
              <w:p>
                <w:pPr>
                  <w:rPr>
                    <w:szCs w:val="24"/>
                  </w:rPr>
                </w:pPr>
                <w:r>
                  <w:rPr>
                    <w:szCs w:val="24"/>
                  </w:rPr>
                  <w:t>7.6.</w:t>
                </w:r>
              </w:p>
            </w:tc>
            <w:tc>
              <w:tcPr>
                <w:tcW w:w="5594" w:type="dxa"/>
                <w:tcBorders>
                  <w:top w:val="single" w:sz="4" w:space="0" w:color="auto"/>
                  <w:left w:val="single" w:sz="4" w:space="0" w:color="auto"/>
                  <w:bottom w:val="single" w:sz="4" w:space="0" w:color="auto"/>
                  <w:right w:val="single" w:sz="4" w:space="0" w:color="auto"/>
                </w:tcBorders>
              </w:tcPr>
              <w:p>
                <w:pPr>
                  <w:rPr>
                    <w:szCs w:val="24"/>
                  </w:rPr>
                </w:pPr>
                <w:r>
                  <w:rPr>
                    <w:szCs w:val="24"/>
                  </w:rPr>
                  <w:t>narų, dirbančių po vandeniu su autonominiu atvirojo kvėpavimo suslėgtu oru aparatu, – pagal Aprašo 2 priedo 5 punktą</w:t>
                </w:r>
              </w:p>
            </w:tc>
            <w:tc>
              <w:tcPr>
                <w:tcW w:w="1663" w:type="dxa"/>
                <w:tcBorders>
                  <w:top w:val="single" w:sz="4" w:space="0" w:color="auto"/>
                  <w:left w:val="single" w:sz="4" w:space="0" w:color="auto"/>
                  <w:bottom w:val="single" w:sz="4" w:space="0" w:color="auto"/>
                  <w:right w:val="single" w:sz="4" w:space="0" w:color="auto"/>
                </w:tcBorders>
                <w:noWrap/>
              </w:tcPr>
              <w:p>
                <w:pPr>
                  <w:rPr>
                    <w:szCs w:val="24"/>
                  </w:rPr>
                </w:pPr>
                <w:r>
                  <w:rPr>
                    <w:szCs w:val="24"/>
                  </w:rPr>
                  <w:t>–</w:t>
                </w:r>
              </w:p>
              <w:p>
                <w:pPr>
                  <w:rPr>
                    <w:szCs w:val="24"/>
                  </w:rPr>
                </w:pPr>
              </w:p>
            </w:tc>
            <w:tc>
              <w:tcPr>
                <w:tcW w:w="1325" w:type="dxa"/>
                <w:tcBorders>
                  <w:top w:val="single" w:sz="4" w:space="0" w:color="auto"/>
                  <w:left w:val="single" w:sz="4" w:space="0" w:color="auto"/>
                  <w:bottom w:val="single" w:sz="4" w:space="0" w:color="auto"/>
                  <w:right w:val="single" w:sz="4" w:space="0" w:color="auto"/>
                </w:tcBorders>
                <w:noWrap/>
              </w:tcPr>
              <w:p>
                <w:pPr>
                  <w:rPr>
                    <w:szCs w:val="24"/>
                  </w:rPr>
                </w:pPr>
                <w:r>
                  <w:rPr>
                    <w:szCs w:val="24"/>
                  </w:rPr>
                  <w:t>61,83</w:t>
                </w:r>
              </w:p>
              <w:p>
                <w:pPr>
                  <w:rPr>
                    <w:szCs w:val="24"/>
                  </w:rPr>
                </w:pPr>
              </w:p>
            </w:tc>
          </w:tr>
          <w:tr>
            <w:trPr>
              <w:trHeight w:val="300"/>
            </w:trPr>
            <w:tc>
              <w:tcPr>
                <w:tcW w:w="1057" w:type="dxa"/>
                <w:tcBorders>
                  <w:top w:val="single" w:sz="4" w:space="0" w:color="auto"/>
                  <w:left w:val="single" w:sz="4" w:space="0" w:color="auto"/>
                  <w:bottom w:val="single" w:sz="4" w:space="0" w:color="auto"/>
                  <w:right w:val="single" w:sz="4" w:space="0" w:color="auto"/>
                </w:tcBorders>
              </w:tcPr>
              <w:p>
                <w:pPr>
                  <w:rPr>
                    <w:szCs w:val="24"/>
                  </w:rPr>
                </w:pPr>
                <w:r>
                  <w:rPr>
                    <w:szCs w:val="24"/>
                  </w:rPr>
                  <w:t>7.7.</w:t>
                </w:r>
              </w:p>
            </w:tc>
            <w:tc>
              <w:tcPr>
                <w:tcW w:w="5594" w:type="dxa"/>
                <w:tcBorders>
                  <w:top w:val="single" w:sz="4" w:space="0" w:color="auto"/>
                  <w:left w:val="single" w:sz="4" w:space="0" w:color="auto"/>
                  <w:bottom w:val="single" w:sz="4" w:space="0" w:color="auto"/>
                  <w:right w:val="single" w:sz="4" w:space="0" w:color="auto"/>
                </w:tcBorders>
              </w:tcPr>
              <w:p>
                <w:pPr>
                  <w:rPr>
                    <w:szCs w:val="24"/>
                  </w:rPr>
                </w:pPr>
                <w:r>
                  <w:rPr>
                    <w:szCs w:val="24"/>
                  </w:rPr>
                  <w:t>pareigūnų neeilinis sveikatos tikrinimas po nelaimingo atsitikimo tarnyboje – pagal atitinkamus Aprašo 2 priedo 3, 4, 5 ir 6 punktus;</w:t>
                </w:r>
              </w:p>
              <w:p>
                <w:pPr>
                  <w:rPr>
                    <w:szCs w:val="24"/>
                  </w:rPr>
                </w:pPr>
                <w:r>
                  <w:rPr>
                    <w:szCs w:val="24"/>
                  </w:rPr>
                  <w:t>po incidento (šaunamojo ginklo panaudojimo, nelaimingo atsitikimo) tarnyboje – pagal Aprašo 2 priedo 7 punktą</w:t>
                </w:r>
              </w:p>
            </w:tc>
            <w:tc>
              <w:tcPr>
                <w:tcW w:w="1663" w:type="dxa"/>
                <w:tcBorders>
                  <w:top w:val="single" w:sz="4" w:space="0" w:color="auto"/>
                  <w:left w:val="single" w:sz="4" w:space="0" w:color="auto"/>
                  <w:bottom w:val="single" w:sz="4" w:space="0" w:color="auto"/>
                  <w:right w:val="single" w:sz="4" w:space="0" w:color="auto"/>
                </w:tcBorders>
                <w:noWrap/>
              </w:tcPr>
              <w:p>
                <w:pPr>
                  <w:rPr>
                    <w:szCs w:val="24"/>
                  </w:rPr>
                </w:pPr>
                <w:r>
                  <w:rPr>
                    <w:szCs w:val="24"/>
                  </w:rPr>
                  <w:t>–</w:t>
                </w:r>
              </w:p>
              <w:p>
                <w:pPr>
                  <w:rPr>
                    <w:szCs w:val="24"/>
                  </w:rPr>
                </w:pPr>
              </w:p>
              <w:p>
                <w:pPr>
                  <w:rPr>
                    <w:szCs w:val="24"/>
                  </w:rPr>
                </w:pPr>
              </w:p>
              <w:p>
                <w:pPr>
                  <w:rPr>
                    <w:szCs w:val="24"/>
                  </w:rPr>
                </w:pPr>
              </w:p>
            </w:tc>
            <w:tc>
              <w:tcPr>
                <w:tcW w:w="1325" w:type="dxa"/>
                <w:tcBorders>
                  <w:top w:val="single" w:sz="4" w:space="0" w:color="auto"/>
                  <w:left w:val="single" w:sz="4" w:space="0" w:color="auto"/>
                  <w:bottom w:val="single" w:sz="4" w:space="0" w:color="auto"/>
                  <w:right w:val="single" w:sz="4" w:space="0" w:color="auto"/>
                </w:tcBorders>
                <w:noWrap/>
              </w:tcPr>
              <w:p>
                <w:pPr>
                  <w:rPr>
                    <w:szCs w:val="24"/>
                  </w:rPr>
                </w:pPr>
                <w:r>
                  <w:rPr>
                    <w:szCs w:val="24"/>
                  </w:rPr>
                  <w:t>7,38</w:t>
                </w:r>
              </w:p>
              <w:p>
                <w:pPr>
                  <w:rPr>
                    <w:szCs w:val="24"/>
                  </w:rPr>
                </w:pPr>
              </w:p>
              <w:p>
                <w:pPr>
                  <w:rPr>
                    <w:szCs w:val="24"/>
                  </w:rPr>
                </w:pPr>
              </w:p>
              <w:p>
                <w:pPr>
                  <w:rPr>
                    <w:szCs w:val="24"/>
                  </w:rPr>
                </w:pPr>
              </w:p>
            </w:tc>
          </w:tr>
        </w:tbl>
        <w:p>
          <w:pPr>
            <w:rPr>
              <w:szCs w:val="24"/>
            </w:rPr>
          </w:pPr>
        </w:p>
        <w:p>
          <w:pPr>
            <w:jc w:val="both"/>
            <w:rPr>
              <w:sz w:val="22"/>
              <w:szCs w:val="22"/>
            </w:rPr>
          </w:pPr>
          <w:r>
            <w:rPr>
              <w:b/>
              <w:bCs/>
              <w:sz w:val="22"/>
              <w:szCs w:val="22"/>
            </w:rPr>
            <w:t>Pastaba.</w:t>
          </w:r>
          <w:r>
            <w:rPr>
              <w:sz w:val="22"/>
              <w:szCs w:val="22"/>
            </w:rPr>
            <w:t xml:space="preserve"> Šio sąrašo 7 punktu patvirtintos maksimalios vidaus tarnybos sistemos pareigūnų privalomų periodinių profilaktinių sveikatos patikrinimų kainos nustatytos pagal asmens sveikatos priežiūros įstaigų, kurių savininko teises ir pareigas įgyvendina Lietuvos Respublikos vidaus reikalų ministerija, skaičiavimus.</w:t>
          </w:r>
        </w:p>
        <w:p>
          <w:pPr>
            <w:rPr>
              <w:szCs w:val="24"/>
            </w:rPr>
          </w:pPr>
        </w:p>
        <w:p>
          <w:pPr>
            <w:jc w:val="center"/>
          </w:pPr>
          <w:r>
            <w:rPr>
              <w:szCs w:val="24"/>
            </w:rPr>
            <w:t>–––––––––––</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a090a090b811e4bb408baba2bdddf3">
            <w:r w:rsidRPr="00532B9F">
              <w:rPr>
                <w:rFonts w:ascii="Times New Roman" w:eastAsia="MS Mincho" w:hAnsi="Times New Roman"/>
                <w:sz w:val="20"/>
                <w:i/>
                <w:iCs/>
                <w:color w:val="0000FF" w:themeColor="hyperlink"/>
                <w:u w:val="single"/>
              </w:rPr>
              <w:t>V-1393</w:t>
            </w:r>
          </w:fldSimple>
          <w:r>
            <w:rPr>
              <w:rFonts w:ascii="Times New Roman" w:eastAsia="MS Mincho" w:hAnsi="Times New Roman"/>
              <w:sz w:val="20"/>
              <w:i/>
              <w:iCs/>
            </w:rPr>
            <w:t>,
2014-12-22,
paskelbta TAR 2014-12-31, i. k. 2014-21128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2adef0aaeb11e48ebccd46991dfff9">
            <w:r w:rsidRPr="00532B9F">
              <w:rPr>
                <w:rFonts w:ascii="Times New Roman" w:eastAsia="MS Mincho" w:hAnsi="Times New Roman"/>
                <w:sz w:val="20"/>
                <w:i/>
                <w:iCs/>
                <w:color w:val="0000FF" w:themeColor="hyperlink"/>
                <w:u w:val="single"/>
              </w:rPr>
              <w:t>V-73</w:t>
            </w:r>
          </w:fldSimple>
          <w:r>
            <w:rPr>
              <w:rFonts w:ascii="Times New Roman" w:eastAsia="MS Mincho" w:hAnsi="Times New Roman"/>
              <w:sz w:val="20"/>
              <w:i/>
              <w:iCs/>
            </w:rPr>
            <w:t>,
2015-01-29,
paskelbta TAR 2015-02-02, i. k. 2015-01489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61250a64511ed8df094f359a60216">
            <w:r w:rsidRPr="00532B9F">
              <w:rPr>
                <w:rFonts w:ascii="Times New Roman" w:eastAsia="MS Mincho" w:hAnsi="Times New Roman"/>
                <w:sz w:val="20"/>
                <w:i/>
                <w:iCs/>
                <w:color w:val="0000FF" w:themeColor="hyperlink"/>
                <w:u w:val="single"/>
              </w:rPr>
              <w:t>V-175</w:t>
            </w:r>
          </w:fldSimple>
          <w:r>
            <w:rPr>
              <w:rFonts w:ascii="Times New Roman" w:eastAsia="MS Mincho" w:hAnsi="Times New Roman"/>
              <w:sz w:val="20"/>
              <w:i/>
              <w:iCs/>
            </w:rPr>
            <w:t>,
2023-02-06,
paskelbta TAR 2023-02-06, i. k. 2023-02219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0f81cd0e33011ed9978886e85107ab2">
            <w:r w:rsidRPr="00532B9F">
              <w:rPr>
                <w:rFonts w:ascii="Times New Roman" w:eastAsia="MS Mincho" w:hAnsi="Times New Roman"/>
                <w:sz w:val="20"/>
                <w:i/>
                <w:iCs/>
                <w:color w:val="0000FF" w:themeColor="hyperlink"/>
                <w:u w:val="single"/>
              </w:rPr>
              <w:t>V-506</w:t>
            </w:r>
          </w:fldSimple>
          <w:r>
            <w:rPr>
              <w:rFonts w:ascii="Times New Roman" w:eastAsia="MS Mincho" w:hAnsi="Times New Roman"/>
              <w:sz w:val="20"/>
              <w:i/>
              <w:iCs/>
            </w:rPr>
            <w:t>,
2023-04-25,
paskelbta TAR 2023-04-25, i. k. 2023-07901            </w:t>
          </w:r>
        </w:p>
        <w:p/>
      </w:sdtContent>
    </w:sdt>
    <w:sdt>
      <w:sdtPr>
        <w:alias w:val="19 pr."/>
        <w:tag w:val="part_53cf551dfe634e139bc01a235fa94131"/>
        <w:lock w:val="sdtLocked"/>
        <w:richText/>
      </w:sdtPr>
      <w:sdtContent>
        <w:p>
          <w:pPr>
            <w:keepNext/>
            <w:ind w:left="6210" w:firstLine="270"/>
            <w:jc w:val="both"/>
            <w:sectPr>
              <w:headerReference w:type="even" r:id="rId120"/>
              <w:headerReference w:type="default" r:id="rId121"/>
              <w:footerReference w:type="even" r:id="rId122"/>
              <w:footerReference w:type="default" r:id="rId123"/>
              <w:headerReference w:type="first" r:id="rId124"/>
              <w:footerReference w:type="first" r:id="rId125"/>
              <w:pgSz w:w="11906" w:h="16838" w:code="9"/>
              <w:pgMar w:top="1134" w:right="567" w:bottom="1134" w:left="1701" w:header="1134" w:footer="1134" w:gutter="0"/>
              <w:pgNumType w:start="1"/>
              <w:cols w:space="720"/>
              <w:titlePg/>
            </w:sectPr>
          </w:pPr>
        </w:p>
        <w:p>
          <w:pPr>
            <w:keepNext/>
            <w:ind w:left="6210" w:firstLine="270"/>
            <w:jc w:val="both"/>
            <w:rPr>
              <w:szCs w:val="24"/>
              <w:lang w:eastAsia="lt-LT"/>
            </w:rPr>
          </w:pPr>
          <w:r>
            <w:rPr>
              <w:szCs w:val="24"/>
              <w:lang w:eastAsia="lt-LT"/>
            </w:rPr>
            <w:t>PATVIRTINTA</w:t>
          </w:r>
        </w:p>
        <w:p>
          <w:pPr>
            <w:keepNext/>
            <w:ind w:left="6300" w:firstLine="180"/>
            <w:jc w:val="both"/>
            <w:rPr>
              <w:szCs w:val="24"/>
              <w:lang w:eastAsia="lt-LT"/>
            </w:rPr>
          </w:pPr>
          <w:r>
            <w:rPr>
              <w:szCs w:val="24"/>
              <w:lang w:eastAsia="lt-LT"/>
            </w:rPr>
            <w:t xml:space="preserve">Lietuvos Respublikos </w:t>
          </w:r>
        </w:p>
        <w:p>
          <w:pPr>
            <w:keepNext/>
            <w:ind w:left="6300" w:firstLine="180"/>
            <w:jc w:val="both"/>
            <w:rPr>
              <w:szCs w:val="24"/>
              <w:lang w:eastAsia="lt-LT"/>
            </w:rPr>
          </w:pPr>
          <w:r>
            <w:rPr>
              <w:szCs w:val="24"/>
              <w:lang w:eastAsia="lt-LT"/>
            </w:rPr>
            <w:t xml:space="preserve">sveikatos apsaugos ministro </w:t>
          </w:r>
        </w:p>
        <w:p>
          <w:pPr>
            <w:ind w:left="5670" w:firstLine="791"/>
            <w:jc w:val="both"/>
          </w:pPr>
          <w:r>
            <w:t>2024 m. gegužės 13 d.</w:t>
          </w:r>
        </w:p>
        <w:p>
          <w:pPr>
            <w:ind w:left="5670" w:firstLine="791"/>
            <w:jc w:val="both"/>
            <w:rPr>
              <w:szCs w:val="24"/>
              <w:lang w:eastAsia="lt-LT"/>
            </w:rPr>
          </w:pPr>
          <w:r>
            <w:rPr>
              <w:szCs w:val="24"/>
              <w:lang w:eastAsia="lt-LT"/>
            </w:rPr>
            <w:t>įsakymu Nr. V-530</w:t>
          </w:r>
        </w:p>
        <w:p>
          <w:pPr>
            <w:ind w:left="5670" w:firstLine="791"/>
            <w:jc w:val="both"/>
            <w:rPr>
              <w:szCs w:val="24"/>
              <w:lang w:eastAsia="lt-LT"/>
            </w:rPr>
          </w:pPr>
          <w:sdt>
            <w:sdtPr>
              <w:alias w:val="Numeris"/>
              <w:tag w:val="nr_53cf551dfe634e139bc01a235fa94131"/>
              <w:lock w:val="sdtLocked"/>
              <w:richText/>
            </w:sdtPr>
            <w:sdtContent>
              <w:r>
                <w:rPr>
                  <w:szCs w:val="24"/>
                  <w:lang w:eastAsia="lt-LT"/>
                </w:rPr>
                <w:t>19</w:t>
              </w:r>
            </w:sdtContent>
          </w:sdt>
          <w:r>
            <w:rPr>
              <w:szCs w:val="24"/>
              <w:lang w:eastAsia="lt-LT"/>
            </w:rPr>
            <w:t xml:space="preserve"> priedas</w:t>
          </w:r>
        </w:p>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jc w:val="both"/>
            <w:rPr>
              <w:color w:val="000000"/>
              <w:szCs w:val="24"/>
            </w:rPr>
          </w:pPr>
        </w:p>
        <w:p>
          <w:pPr>
            <w:tabs>
              <w:tab w:val="center" w:pos="4819"/>
              <w:tab w:val="right" w:pos="9638"/>
            </w:tabs>
            <w:jc w:val="center"/>
            <w:rPr>
              <w:szCs w:val="24"/>
            </w:rPr>
          </w:pPr>
          <w:sdt>
            <w:sdtPr>
              <w:alias w:val="Pavadinimas"/>
              <w:tag w:val="title_53cf551dfe634e139bc01a235fa94131"/>
              <w:lock w:val="sdtLocked"/>
              <w:richText/>
            </w:sdtPr>
            <w:sdtContent>
              <w:r>
                <w:rPr>
                  <w:b/>
                  <w:bCs/>
                  <w:szCs w:val="24"/>
                  <w:lang w:eastAsia="lt-LT"/>
                </w:rPr>
                <w:t xml:space="preserve">AMBULATORINIŲ SLAUGOS IR AKUŠERIJOS ANKSTYVOSIOS INTERVENCIJOS PASLAUGŲ ŠEIMOMS TEIKIMO REIKALAVIMŲ TVARKOS </w:t>
              </w:r>
              <w:r>
                <w:rPr>
                  <w:b/>
                  <w:szCs w:val="24"/>
                </w:rPr>
                <w:t>APRAŠAS</w:t>
              </w:r>
            </w:sdtContent>
          </w:sdt>
        </w:p>
        <w:p>
          <w:pPr>
            <w:tabs>
              <w:tab w:val="center" w:pos="4819"/>
              <w:tab w:val="right" w:pos="9638"/>
            </w:tabs>
            <w:ind w:firstLine="993"/>
            <w:jc w:val="both"/>
            <w:rPr>
              <w:szCs w:val="24"/>
            </w:rPr>
          </w:pPr>
        </w:p>
        <w:sdt>
          <w:sdtPr>
            <w:alias w:val="skyrius"/>
            <w:tag w:val="part_9d2620b321894f3d8dae5656988db748"/>
            <w:lock w:val="sdtLocked"/>
            <w:richText/>
          </w:sdtPr>
          <w:sdtContent>
            <w:p>
              <w:pPr>
                <w:jc w:val="center"/>
                <w:rPr>
                  <w:b/>
                  <w:smallCaps/>
                  <w:szCs w:val="24"/>
                </w:rPr>
              </w:pPr>
              <w:sdt>
                <w:sdtPr>
                  <w:alias w:val="Numeris"/>
                  <w:tag w:val="nr_9d2620b321894f3d8dae5656988db748"/>
                  <w:lock w:val="sdtLocked"/>
                  <w:richText/>
                </w:sdtPr>
                <w:sdtContent>
                  <w:r>
                    <w:rPr>
                      <w:b/>
                      <w:smallCaps/>
                      <w:szCs w:val="24"/>
                    </w:rPr>
                    <w:t>I</w:t>
                  </w:r>
                </w:sdtContent>
              </w:sdt>
              <w:r>
                <w:rPr>
                  <w:b/>
                  <w:smallCaps/>
                  <w:szCs w:val="24"/>
                </w:rPr>
                <w:t xml:space="preserve"> SKYRIUS </w:t>
              </w:r>
            </w:p>
            <w:p>
              <w:pPr>
                <w:jc w:val="center"/>
                <w:rPr>
                  <w:b/>
                  <w:smallCaps/>
                  <w:szCs w:val="24"/>
                </w:rPr>
              </w:pPr>
              <w:sdt>
                <w:sdtPr>
                  <w:alias w:val="Pavadinimas"/>
                  <w:tag w:val="title_9d2620b321894f3d8dae5656988db748"/>
                  <w:lock w:val="sdtLocked"/>
                  <w:richText/>
                </w:sdtPr>
                <w:sdtContent>
                  <w:r>
                    <w:rPr>
                      <w:b/>
                      <w:smallCaps/>
                      <w:szCs w:val="24"/>
                    </w:rPr>
                    <w:t>BENDROSIOS NUOSTATOS</w:t>
                  </w:r>
                </w:sdtContent>
              </w:sdt>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93"/>
                <w:jc w:val="both"/>
                <w:rPr>
                  <w:szCs w:val="24"/>
                </w:rPr>
              </w:pPr>
            </w:p>
            <w:sdt>
              <w:sdtPr>
                <w:alias w:val="19 pr. 1 p."/>
                <w:tag w:val="part_0e646788d7c049a7901995b088f6c307"/>
                <w:lock w:val="sdtLocked"/>
                <w:richText/>
              </w:sdtPr>
              <w:sdtContent>
                <w:p>
                  <w:pPr>
                    <w:ind w:firstLine="993"/>
                    <w:jc w:val="both"/>
                    <w:rPr>
                      <w:szCs w:val="24"/>
                    </w:rPr>
                  </w:pPr>
                  <w:sdt>
                    <w:sdtPr>
                      <w:alias w:val="Numeris"/>
                      <w:tag w:val="nr_0e646788d7c049a7901995b088f6c307"/>
                      <w:lock w:val="sdtLocked"/>
                      <w:richText/>
                    </w:sdtPr>
                    <w:sdtContent>
                      <w:r>
                        <w:rPr>
                          <w:szCs w:val="24"/>
                          <w:lang w:eastAsia="lt-LT"/>
                        </w:rPr>
                        <w:t>1</w:t>
                      </w:r>
                    </w:sdtContent>
                  </w:sdt>
                  <w:r>
                    <w:rPr>
                      <w:szCs w:val="24"/>
                      <w:lang w:eastAsia="lt-LT"/>
                    </w:rPr>
                    <w:t>.</w:t>
                    <w:tab/>
                  </w:r>
                  <w:r>
                    <w:rPr>
                      <w:szCs w:val="24"/>
                    </w:rPr>
                    <w:t xml:space="preserve">Ambulatorinių slaugos ir akušerijos ankstyvosios intervencijos paslaugų šeimoms teikimo reikalavimų ir šių paslaugų išlaidų apmokėjimo Privalomojo sveikatos draudimo fondo biudžeto lėšomis tvarkos aprašas (toliau – Aprašas) nustato reikalavimus ambulatorines slaugos ir akušerijos ankstyvosios intervencijos paslaugas šeimoms paslaugą teikiančioms pirminės ambulatorinės asmens sveikatos priežiūros įstaigoms (toliau – ASPĮ), specialistams, taip pat šių paslaugų organizavimo, teikimo bei išlaidų apmokėjimo Privalomojo sveikatos draudimo fondo (toliau – PSDF)  biudžeto lėšomis tvarką. </w:t>
                  </w:r>
                </w:p>
              </w:sdtContent>
            </w:sdt>
            <w:sdt>
              <w:sdtPr>
                <w:alias w:val="19 pr. 2 p."/>
                <w:tag w:val="part_6e6221fa225a43de9f36cefac8cbe88b"/>
                <w:lock w:val="sdtLocked"/>
                <w:richText/>
              </w:sdtPr>
              <w:sdtContent>
                <w:p>
                  <w:pPr>
                    <w:tabs>
                      <w:tab w:val="left" w:pos="840"/>
                      <w:tab w:val="left"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93"/>
                    <w:jc w:val="both"/>
                    <w:rPr>
                      <w:szCs w:val="24"/>
                    </w:rPr>
                  </w:pPr>
                  <w:sdt>
                    <w:sdtPr>
                      <w:alias w:val="Numeris"/>
                      <w:tag w:val="nr_6e6221fa225a43de9f36cefac8cbe88b"/>
                      <w:lock w:val="sdtLocked"/>
                      <w:richText/>
                    </w:sdtPr>
                    <w:sdtContent>
                      <w:r>
                        <w:rPr>
                          <w:szCs w:val="24"/>
                          <w:lang w:eastAsia="lt-LT"/>
                        </w:rPr>
                        <w:t>2</w:t>
                      </w:r>
                    </w:sdtContent>
                  </w:sdt>
                  <w:r>
                    <w:rPr>
                      <w:szCs w:val="24"/>
                      <w:lang w:eastAsia="lt-LT"/>
                    </w:rPr>
                    <w:t>.</w:t>
                    <w:tab/>
                  </w:r>
                  <w:r>
                    <w:rPr>
                      <w:szCs w:val="24"/>
                    </w:rPr>
                    <w:t>Apraše vartojamos sąvokos ir jų apibrėžimai:</w:t>
                  </w:r>
                </w:p>
                <w:sdt>
                  <w:sdtPr>
                    <w:alias w:val="19 pr. 2.1 pp."/>
                    <w:tag w:val="part_2867305f39404669bcd8d00ac7943c98"/>
                    <w:lock w:val="sdtLocked"/>
                    <w:richText/>
                  </w:sdtPr>
                  <w:sdtContent>
                    <w:p>
                      <w:pPr>
                        <w:ind w:firstLine="993"/>
                        <w:jc w:val="both"/>
                        <w:rPr>
                          <w:szCs w:val="24"/>
                        </w:rPr>
                      </w:pPr>
                      <w:sdt>
                        <w:sdtPr>
                          <w:alias w:val="Numeris"/>
                          <w:tag w:val="nr_2867305f39404669bcd8d00ac7943c98"/>
                          <w:lock w:val="sdtLocked"/>
                          <w:richText/>
                        </w:sdtPr>
                        <w:sdtContent>
                          <w:r>
                            <w:rPr>
                              <w:szCs w:val="24"/>
                            </w:rPr>
                            <w:t>2.1</w:t>
                          </w:r>
                        </w:sdtContent>
                      </w:sdt>
                      <w:r>
                        <w:rPr>
                          <w:szCs w:val="24"/>
                        </w:rPr>
                        <w:t>. </w:t>
                      </w:r>
                      <w:r>
                        <w:rPr>
                          <w:b/>
                          <w:bCs/>
                          <w:szCs w:val="24"/>
                        </w:rPr>
                        <w:t>Ambulatorinės slaugos ir akušerijos ankstyvosios intervencijos paslaugos šeimoms</w:t>
                      </w:r>
                      <w:r>
                        <w:rPr>
                          <w:szCs w:val="24"/>
                        </w:rPr>
                        <w:t xml:space="preserve"> (toliau – šeimų lankymo paslaugos)  – tai asmens sveikatos priežiūros paslaugos, teikiamos paciento namuose ar kitoje jam artimoje aplinkoje, siekiant įgalinti besilaukiančią ir (ar) vaiką iki 2 metų auginančią moterį priimti atsakingus sprendimus, užtikrinančius jos pačios, šeimos ir vaiko gerovę, laiku nustatyti nėštumo ir vaiko auginimo eigą bloginančias rizikas, atlikti aktyvius veiksmus šioms rizikoms mažinti ar šalinti;</w:t>
                      </w:r>
                    </w:p>
                  </w:sdtContent>
                </w:sdt>
                <w:sdt>
                  <w:sdtPr>
                    <w:alias w:val="19 pr. 2.2 pp."/>
                    <w:tag w:val="part_db5c15f403d84937a259f9a0f17e1805"/>
                    <w:lock w:val="sdtLocked"/>
                    <w:richText/>
                  </w:sdtPr>
                  <w:sdtContent>
                    <w:p>
                      <w:pPr>
                        <w:widowControl w:val="0"/>
                        <w:suppressAutoHyphens/>
                        <w:ind w:firstLine="993"/>
                        <w:jc w:val="both"/>
                        <w:rPr>
                          <w:szCs w:val="24"/>
                        </w:rPr>
                      </w:pPr>
                      <w:sdt>
                        <w:sdtPr>
                          <w:alias w:val="Numeris"/>
                          <w:tag w:val="nr_db5c15f403d84937a259f9a0f17e1805"/>
                          <w:lock w:val="sdtLocked"/>
                          <w:richText/>
                        </w:sdtPr>
                        <w:sdtContent>
                          <w:r>
                            <w:rPr>
                              <w:szCs w:val="24"/>
                            </w:rPr>
                            <w:t>2.2</w:t>
                          </w:r>
                        </w:sdtContent>
                      </w:sdt>
                      <w:r>
                        <w:rPr>
                          <w:szCs w:val="24"/>
                        </w:rPr>
                        <w:t xml:space="preserve">. </w:t>
                      </w:r>
                      <w:r>
                        <w:rPr>
                          <w:b/>
                          <w:bCs/>
                        </w:rPr>
                        <w:t xml:space="preserve">Ambulatorinių slaugos ir akušerijos ankstyvosios intervencijos paslaugų šeimoms specialistas </w:t>
                      </w:r>
                      <w:r>
                        <w:t xml:space="preserve">(toliau </w:t>
                      </w:r>
                      <w:r>
                        <w:rPr>
                          <w:szCs w:val="24"/>
                        </w:rPr>
                        <w:t xml:space="preserve">– </w:t>
                      </w:r>
                      <w:r>
                        <w:t>š</w:t>
                      </w:r>
                      <w:r>
                        <w:rPr>
                          <w:szCs w:val="24"/>
                          <w:lang w:eastAsia="lt-LT"/>
                        </w:rPr>
                        <w:t>eimų lankymo</w:t>
                      </w:r>
                      <w:r>
                        <w:rPr>
                          <w:szCs w:val="24"/>
                        </w:rPr>
                        <w:t xml:space="preserve"> specialistas) – savarankiškai šeimų lankymo paslaugas teikiantis slaugytojas (bendruomenės ir (ar) bendrosios praktikos, ir (ar) išplėstinės praktikos) slaugytojas ir (ar) akušeris, išklausęs 63 valandų „Šeimų lankymas, teikiant ankstyvosios intervencijos paslaugas“ podiplominių studijų programą ir turintis tai patvirtinantį pažymėjimą; </w:t>
                      </w:r>
                    </w:p>
                  </w:sdtContent>
                </w:sdt>
                <w:sdt>
                  <w:sdtPr>
                    <w:alias w:val="19 pr. 2.3 pp."/>
                    <w:tag w:val="part_fda79335a5e54f59bc158d1cb57656d9"/>
                    <w:lock w:val="sdtLocked"/>
                    <w:richText/>
                  </w:sdtPr>
                  <w:sdtContent>
                    <w:p>
                      <w:pPr>
                        <w:widowControl w:val="0"/>
                        <w:suppressAutoHyphens/>
                        <w:ind w:firstLine="993"/>
                        <w:jc w:val="both"/>
                        <w:rPr>
                          <w:szCs w:val="24"/>
                        </w:rPr>
                      </w:pPr>
                      <w:sdt>
                        <w:sdtPr>
                          <w:alias w:val="Numeris"/>
                          <w:tag w:val="nr_fda79335a5e54f59bc158d1cb57656d9"/>
                          <w:lock w:val="sdtLocked"/>
                          <w:richText/>
                        </w:sdtPr>
                        <w:sdtContent>
                          <w:r>
                            <w:rPr>
                              <w:szCs w:val="24"/>
                            </w:rPr>
                            <w:t>2.3</w:t>
                          </w:r>
                        </w:sdtContent>
                      </w:sdt>
                      <w:r>
                        <w:rPr>
                          <w:szCs w:val="24"/>
                        </w:rPr>
                        <w:t xml:space="preserve">. </w:t>
                      </w:r>
                      <w:r>
                        <w:rPr>
                          <w:b/>
                          <w:bCs/>
                          <w:szCs w:val="24"/>
                        </w:rPr>
                        <w:t xml:space="preserve">Vaikas </w:t>
                      </w:r>
                      <w:r>
                        <w:rPr>
                          <w:szCs w:val="24"/>
                        </w:rPr>
                        <w:t xml:space="preserve">– šeimų lankymo paslaugas gaunantis pacientas, kuris priklausomai nuo paslaugos gavimo laiko gali būti vadinamas naujagimiu (nuo gimimo iki 28 savaitės), kūdikiu (nuo 28 sav. iki 1 m. amžiaus) ir vaiku iki 2 m. amžiaus; </w:t>
                      </w:r>
                    </w:p>
                  </w:sdtContent>
                </w:sdt>
                <w:sdt>
                  <w:sdtPr>
                    <w:alias w:val="19 pr. 2.4 pp."/>
                    <w:tag w:val="part_b82eb301f1f548749308b71cf62e5d2d"/>
                    <w:lock w:val="sdtLocked"/>
                    <w:richText/>
                  </w:sdtPr>
                  <w:sdtContent>
                    <w:p>
                      <w:pPr>
                        <w:tabs>
                          <w:tab w:val="left" w:pos="1418"/>
                          <w:tab w:val="left" w:pos="1701"/>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93"/>
                        <w:jc w:val="both"/>
                        <w:rPr>
                          <w:bCs/>
                          <w:szCs w:val="24"/>
                          <w:lang w:eastAsia="lt-LT"/>
                        </w:rPr>
                      </w:pPr>
                      <w:sdt>
                        <w:sdtPr>
                          <w:alias w:val="Numeris"/>
                          <w:tag w:val="nr_b82eb301f1f548749308b71cf62e5d2d"/>
                          <w:lock w:val="sdtLocked"/>
                          <w:richText/>
                        </w:sdtPr>
                        <w:sdtContent>
                          <w:r>
                            <w:rPr>
                              <w:bCs/>
                              <w:szCs w:val="24"/>
                              <w:lang w:eastAsia="lt-LT"/>
                            </w:rPr>
                            <w:t>2.4</w:t>
                          </w:r>
                        </w:sdtContent>
                      </w:sdt>
                      <w:r>
                        <w:rPr>
                          <w:bCs/>
                          <w:szCs w:val="24"/>
                          <w:lang w:eastAsia="lt-LT"/>
                        </w:rPr>
                        <w:t>.</w:t>
                        <w:tab/>
                      </w:r>
                      <w:r>
                        <w:rPr>
                          <w:szCs w:val="24"/>
                        </w:rPr>
                        <w:t>Kitos Apraše vartojamos sąvokos suprantamos taip, kaip jos yra apibrėžtos kituose asmens sveikatos priežiūros paslaugų teikimą reglamentuojančiuose teisės aktuose.</w:t>
                      </w:r>
                    </w:p>
                  </w:sdtContent>
                </w:sdt>
              </w:sdtContent>
            </w:sdt>
            <w:sdt>
              <w:sdtPr>
                <w:alias w:val="19 pr. 3 p."/>
                <w:tag w:val="part_41b7cf33bc014a6a8330e80425b341f2"/>
                <w:lock w:val="sdtLocked"/>
                <w:richText/>
              </w:sdtPr>
              <w:sdtContent>
                <w:p>
                  <w:pPr>
                    <w:ind w:firstLine="993"/>
                    <w:jc w:val="both"/>
                    <w:rPr>
                      <w:szCs w:val="24"/>
                    </w:rPr>
                  </w:pPr>
                  <w:sdt>
                    <w:sdtPr>
                      <w:alias w:val="Numeris"/>
                      <w:tag w:val="nr_41b7cf33bc014a6a8330e80425b341f2"/>
                      <w:lock w:val="sdtLocked"/>
                      <w:richText/>
                    </w:sdtPr>
                    <w:sdtContent>
                      <w:r>
                        <w:rPr>
                          <w:szCs w:val="24"/>
                        </w:rPr>
                        <w:t>3</w:t>
                      </w:r>
                    </w:sdtContent>
                  </w:sdt>
                  <w:r>
                    <w:rPr>
                      <w:szCs w:val="24"/>
                    </w:rPr>
                    <w:t>.  Šeimų lankymo paslaugas gali teikti ASPĮ, turinčios galiojančią licenciją teikti pirmines ambulatorines asmens sveikatos priežiūros šeimos medicinos paslaugas.</w:t>
                  </w:r>
                </w:p>
                <w:p>
                  <w:pPr>
                    <w:tabs>
                      <w:tab w:val="left" w:pos="1276"/>
                      <w:tab w:val="left" w:pos="1701"/>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1055"/>
                    <w:jc w:val="both"/>
                    <w:rPr>
                      <w:szCs w:val="24"/>
                    </w:rPr>
                  </w:pPr>
                </w:p>
              </w:sdtContent>
            </w:sdt>
          </w:sdtContent>
        </w:sdt>
        <w:sdt>
          <w:sdtPr>
            <w:alias w:val="skyrius"/>
            <w:tag w:val="part_fac5d8ad3ca1441aaa0578e48e6d9fbc"/>
            <w:lock w:val="sdtLocked"/>
            <w:richText/>
          </w:sdtPr>
          <w:sdtContent>
            <w:p>
              <w:pPr>
                <w:tabs>
                  <w:tab w:val="left" w:pos="42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bCs/>
                  <w:szCs w:val="24"/>
                  <w:lang w:eastAsia="lt-LT"/>
                </w:rPr>
              </w:pPr>
              <w:sdt>
                <w:sdtPr>
                  <w:alias w:val="Numeris"/>
                  <w:tag w:val="nr_fac5d8ad3ca1441aaa0578e48e6d9fbc"/>
                  <w:lock w:val="sdtLocked"/>
                  <w:richText/>
                </w:sdtPr>
                <w:sdtContent>
                  <w:r>
                    <w:rPr>
                      <w:b/>
                      <w:bCs/>
                      <w:szCs w:val="24"/>
                      <w:lang w:eastAsia="lt-LT"/>
                    </w:rPr>
                    <w:t>II</w:t>
                  </w:r>
                </w:sdtContent>
              </w:sdt>
              <w:r>
                <w:rPr>
                  <w:b/>
                  <w:bCs/>
                  <w:szCs w:val="24"/>
                  <w:lang w:eastAsia="lt-LT"/>
                </w:rPr>
                <w:t xml:space="preserve"> SKYRIUS</w:t>
              </w:r>
            </w:p>
            <w:p>
              <w:pPr>
                <w:tabs>
                  <w:tab w:val="left" w:pos="1276"/>
                  <w:tab w:val="num" w:pos="1701"/>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bCs/>
                  <w:szCs w:val="24"/>
                  <w:lang w:eastAsia="lt-LT"/>
                </w:rPr>
              </w:pPr>
              <w:sdt>
                <w:sdtPr>
                  <w:alias w:val="Pavadinimas"/>
                  <w:tag w:val="title_fac5d8ad3ca1441aaa0578e48e6d9fbc"/>
                  <w:lock w:val="sdtLocked"/>
                  <w:richText/>
                </w:sdtPr>
                <w:sdtContent>
                  <w:r>
                    <w:rPr>
                      <w:b/>
                      <w:bCs/>
                      <w:szCs w:val="24"/>
                      <w:lang w:eastAsia="lt-LT"/>
                    </w:rPr>
                    <w:t>REIKALAVIMAI SPECIALISTAMS IR PATALPOMS</w:t>
                  </w:r>
                </w:sdtContent>
              </w:sdt>
            </w:p>
            <w:p>
              <w:pPr>
                <w:tabs>
                  <w:tab w:val="left" w:pos="1276"/>
                  <w:tab w:val="num" w:pos="1701"/>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
                  <w:bCs/>
                  <w:szCs w:val="24"/>
                </w:rPr>
              </w:pPr>
            </w:p>
            <w:sdt>
              <w:sdtPr>
                <w:alias w:val="19 pr. 4 p."/>
                <w:tag w:val="part_d0ee0c955bf84465b4c9cf732ef21755"/>
                <w:lock w:val="sdtLocked"/>
                <w:richText/>
              </w:sdtPr>
              <w:sdtContent>
                <w:p>
                  <w:pPr>
                    <w:tabs>
                      <w:tab w:val="left" w:pos="1276"/>
                      <w:tab w:val="left" w:pos="1701"/>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93"/>
                    <w:jc w:val="both"/>
                    <w:rPr>
                      <w:b/>
                      <w:bCs/>
                      <w:szCs w:val="24"/>
                    </w:rPr>
                  </w:pPr>
                  <w:sdt>
                    <w:sdtPr>
                      <w:alias w:val="Numeris"/>
                      <w:tag w:val="nr_d0ee0c955bf84465b4c9cf732ef21755"/>
                      <w:lock w:val="sdtLocked"/>
                      <w:richText/>
                    </w:sdtPr>
                    <w:sdtContent>
                      <w:r>
                        <w:rPr>
                          <w:bCs/>
                          <w:szCs w:val="24"/>
                          <w:lang w:eastAsia="lt-LT"/>
                        </w:rPr>
                        <w:t>4</w:t>
                      </w:r>
                    </w:sdtContent>
                  </w:sdt>
                  <w:r>
                    <w:rPr>
                      <w:bCs/>
                      <w:szCs w:val="24"/>
                      <w:lang w:eastAsia="lt-LT"/>
                    </w:rPr>
                    <w:t>.</w:t>
                    <w:tab/>
                  </w:r>
                  <w:r>
                    <w:rPr>
                      <w:szCs w:val="24"/>
                    </w:rPr>
                    <w:t xml:space="preserve">Rekomenduojama, kad  šeimų lankymo paslaugas tai pačiai šeimai teiktų tas pats šeimų lankymo specialistas ir nėštumo metu, ir iki vaikui sukaks 2 metai. Jeigu vaikas ir motina prisirašę skirtingose PAASP įstaigose, šeimų lankymo paslaugas šiai šeimai teikianti ASPĮ turi sudaryti bendradarbiavimo sutartis su abejomis PAASP įstaigomis. </w:t>
                  </w:r>
                </w:p>
              </w:sdtContent>
            </w:sdt>
            <w:sdt>
              <w:sdtPr>
                <w:alias w:val="19 pr. 5 p."/>
                <w:tag w:val="part_fbae2e8659174fe7911e96abb13b9d62"/>
                <w:lock w:val="sdtLocked"/>
                <w:richText/>
              </w:sdtPr>
              <w:sdtContent>
                <w:p>
                  <w:pPr>
                    <w:tabs>
                      <w:tab w:val="left"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93"/>
                    <w:jc w:val="both"/>
                    <w:rPr>
                      <w:szCs w:val="24"/>
                    </w:rPr>
                  </w:pPr>
                  <w:sdt>
                    <w:sdtPr>
                      <w:alias w:val="Numeris"/>
                      <w:tag w:val="nr_fbae2e8659174fe7911e96abb13b9d62"/>
                      <w:lock w:val="sdtLocked"/>
                      <w:richText/>
                    </w:sdtPr>
                    <w:sdtContent>
                      <w:r>
                        <w:rPr>
                          <w:bCs/>
                          <w:szCs w:val="24"/>
                          <w:lang w:eastAsia="lt-LT"/>
                        </w:rPr>
                        <w:t>5</w:t>
                      </w:r>
                    </w:sdtContent>
                  </w:sdt>
                  <w:r>
                    <w:rPr>
                      <w:bCs/>
                      <w:szCs w:val="24"/>
                      <w:lang w:eastAsia="lt-LT"/>
                    </w:rPr>
                    <w:t>.</w:t>
                    <w:tab/>
                    <w:t>Šeimų lankymo paslaugas</w:t>
                  </w:r>
                  <w:r>
                    <w:rPr>
                      <w:rFonts w:eastAsia="Times"/>
                      <w:szCs w:val="24"/>
                    </w:rPr>
                    <w:t xml:space="preserve"> teikiančioje </w:t>
                  </w:r>
                  <w:r>
                    <w:rPr>
                      <w:szCs w:val="24"/>
                    </w:rPr>
                    <w:t>ASPĮ</w:t>
                  </w:r>
                  <w:r>
                    <w:rPr>
                      <w:rFonts w:eastAsia="Times"/>
                      <w:szCs w:val="24"/>
                    </w:rPr>
                    <w:t xml:space="preserve"> </w:t>
                  </w:r>
                  <w:r>
                    <w:rPr>
                      <w:szCs w:val="24"/>
                    </w:rPr>
                    <w:t>turi būti:</w:t>
                  </w:r>
                </w:p>
                <w:sdt>
                  <w:sdtPr>
                    <w:alias w:val="19 pr. 5.1 pp."/>
                    <w:tag w:val="part_ce5cb421a7e149fb913463784ef3000e"/>
                    <w:lock w:val="sdtLocked"/>
                    <w:richText/>
                  </w:sdtPr>
                  <w:sdtContent>
                    <w:p>
                      <w:pPr>
                        <w:tabs>
                          <w:tab w:val="left" w:pos="1560"/>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93"/>
                        <w:jc w:val="both"/>
                        <w:rPr>
                          <w:b/>
                          <w:bCs/>
                          <w:szCs w:val="24"/>
                        </w:rPr>
                      </w:pPr>
                      <w:sdt>
                        <w:sdtPr>
                          <w:alias w:val="Numeris"/>
                          <w:tag w:val="nr_ce5cb421a7e149fb913463784ef3000e"/>
                          <w:lock w:val="sdtLocked"/>
                          <w:richText/>
                        </w:sdtPr>
                        <w:sdtContent>
                          <w:r>
                            <w:rPr>
                              <w:bCs/>
                              <w:szCs w:val="24"/>
                              <w:lang w:eastAsia="lt-LT"/>
                            </w:rPr>
                            <w:t>5.1</w:t>
                          </w:r>
                        </w:sdtContent>
                      </w:sdt>
                      <w:r>
                        <w:rPr>
                          <w:bCs/>
                          <w:szCs w:val="24"/>
                          <w:lang w:eastAsia="lt-LT"/>
                        </w:rPr>
                        <w:t>.</w:t>
                        <w:tab/>
                        <w:t>šeimų lankymo</w:t>
                      </w:r>
                      <w:r>
                        <w:rPr>
                          <w:rFonts w:eastAsia="Times"/>
                          <w:szCs w:val="24"/>
                        </w:rPr>
                        <w:t xml:space="preserve"> specialistų veikloms (atliktų užduočių ataskaitoms rengti, medicinos dokumentams pildyti, darbo priemonėms laikyti ir pan.) vykdyti pritaikytos patalpos ir priemonės;</w:t>
                      </w:r>
                    </w:p>
                  </w:sdtContent>
                </w:sdt>
                <w:sdt>
                  <w:sdtPr>
                    <w:alias w:val="19 pr. 5.2 pp."/>
                    <w:tag w:val="part_5d68f5fcbb864f4aa77d3e0cba6ff517"/>
                    <w:lock w:val="sdtLocked"/>
                    <w:richText/>
                  </w:sdtPr>
                  <w:sdtContent>
                    <w:p>
                      <w:pPr>
                        <w:tabs>
                          <w:tab w:val="left" w:pos="1560"/>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93"/>
                        <w:jc w:val="both"/>
                        <w:rPr>
                          <w:rFonts w:eastAsia="Times"/>
                          <w:szCs w:val="24"/>
                        </w:rPr>
                      </w:pPr>
                      <w:sdt>
                        <w:sdtPr>
                          <w:alias w:val="Numeris"/>
                          <w:tag w:val="nr_5d68f5fcbb864f4aa77d3e0cba6ff517"/>
                          <w:lock w:val="sdtLocked"/>
                          <w:richText/>
                        </w:sdtPr>
                        <w:sdtContent>
                          <w:r>
                            <w:rPr>
                              <w:bCs/>
                              <w:szCs w:val="24"/>
                              <w:lang w:eastAsia="lt-LT"/>
                            </w:rPr>
                            <w:t>5.2</w:t>
                          </w:r>
                        </w:sdtContent>
                      </w:sdt>
                      <w:r>
                        <w:rPr>
                          <w:bCs/>
                          <w:szCs w:val="24"/>
                          <w:lang w:eastAsia="lt-LT"/>
                        </w:rPr>
                        <w:t>.</w:t>
                        <w:tab/>
                      </w:r>
                      <w:r>
                        <w:rPr>
                          <w:rFonts w:eastAsia="Times"/>
                          <w:szCs w:val="24"/>
                        </w:rPr>
                        <w:t>kompiuteris su prieiga prie interneto ir galimybe teikti nuotolines paslaugas;</w:t>
                      </w:r>
                    </w:p>
                  </w:sdtContent>
                </w:sdt>
                <w:sdt>
                  <w:sdtPr>
                    <w:alias w:val="19 pr. 5.3 pp."/>
                    <w:tag w:val="part_d0137727167e4c3c8878cd7dd313c7e8"/>
                    <w:lock w:val="sdtLocked"/>
                    <w:richText/>
                  </w:sdtPr>
                  <w:sdtContent>
                    <w:p>
                      <w:pPr>
                        <w:tabs>
                          <w:tab w:val="left" w:pos="1560"/>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93"/>
                        <w:jc w:val="both"/>
                        <w:rPr>
                          <w:b/>
                          <w:bCs/>
                          <w:szCs w:val="24"/>
                        </w:rPr>
                      </w:pPr>
                      <w:sdt>
                        <w:sdtPr>
                          <w:alias w:val="Numeris"/>
                          <w:tag w:val="nr_d0137727167e4c3c8878cd7dd313c7e8"/>
                          <w:lock w:val="sdtLocked"/>
                          <w:richText/>
                        </w:sdtPr>
                        <w:sdtContent>
                          <w:r>
                            <w:rPr>
                              <w:rFonts w:eastAsia="Times"/>
                              <w:szCs w:val="24"/>
                            </w:rPr>
                            <w:t>5.3</w:t>
                          </w:r>
                        </w:sdtContent>
                      </w:sdt>
                      <w:r>
                        <w:rPr>
                          <w:rFonts w:eastAsia="Times"/>
                          <w:szCs w:val="24"/>
                        </w:rPr>
                        <w:t xml:space="preserve">.  patalpa išimtinais atvejais teikti </w:t>
                      </w:r>
                      <w:r>
                        <w:rPr>
                          <w:bCs/>
                          <w:szCs w:val="24"/>
                          <w:lang w:eastAsia="lt-LT"/>
                        </w:rPr>
                        <w:t>šeimų lankymo</w:t>
                      </w:r>
                      <w:r>
                        <w:rPr>
                          <w:rFonts w:eastAsia="Times"/>
                          <w:szCs w:val="24"/>
                        </w:rPr>
                        <w:t xml:space="preserve"> paslaugas, kai dėl kritinės situacijos pacientės namuose  negalima suteikti kokybiškos paslaugos (rekomenduojama). Šių patalpų naudojimo šeimų lankymo paslaugoms teikti tvarką nustato įstaigos vadovas.</w:t>
                      </w:r>
                    </w:p>
                    <w:p>
                      <w:pPr>
                        <w:tabs>
                          <w:tab w:val="left" w:pos="1276"/>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
                          <w:bCs/>
                          <w:szCs w:val="24"/>
                        </w:rPr>
                      </w:pPr>
                    </w:p>
                  </w:sdtContent>
                </w:sdt>
              </w:sdtContent>
            </w:sdt>
          </w:sdtContent>
        </w:sdt>
        <w:sdt>
          <w:sdtPr>
            <w:alias w:val="skyrius"/>
            <w:tag w:val="part_4978185419284edda4d736458de859b2"/>
            <w:lock w:val="sdtLocked"/>
            <w:richText/>
          </w:sdtPr>
          <w:sdtContent>
            <w:p>
              <w:pPr>
                <w:jc w:val="center"/>
                <w:rPr>
                  <w:b/>
                  <w:bCs/>
                  <w:szCs w:val="24"/>
                  <w:lang w:eastAsia="lt-LT"/>
                </w:rPr>
              </w:pPr>
              <w:sdt>
                <w:sdtPr>
                  <w:alias w:val="Numeris"/>
                  <w:tag w:val="nr_4978185419284edda4d736458de859b2"/>
                  <w:lock w:val="sdtLocked"/>
                  <w:richText/>
                </w:sdtPr>
                <w:sdtContent>
                  <w:r>
                    <w:rPr>
                      <w:b/>
                      <w:bCs/>
                      <w:szCs w:val="24"/>
                      <w:lang w:eastAsia="lt-LT"/>
                    </w:rPr>
                    <w:t>III</w:t>
                  </w:r>
                </w:sdtContent>
              </w:sdt>
              <w:r>
                <w:rPr>
                  <w:b/>
                  <w:bCs/>
                  <w:szCs w:val="24"/>
                  <w:lang w:eastAsia="lt-LT"/>
                </w:rPr>
                <w:t xml:space="preserve"> SKYRIUS</w:t>
              </w:r>
            </w:p>
            <w:p>
              <w:pPr>
                <w:tabs>
                  <w:tab w:val="left" w:pos="1276"/>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bCs/>
                  <w:szCs w:val="24"/>
                </w:rPr>
              </w:pPr>
              <w:sdt>
                <w:sdtPr>
                  <w:alias w:val="Pavadinimas"/>
                  <w:tag w:val="title_4978185419284edda4d736458de859b2"/>
                  <w:lock w:val="sdtLocked"/>
                  <w:richText/>
                </w:sdtPr>
                <w:sdtContent>
                  <w:r>
                    <w:rPr>
                      <w:b/>
                      <w:bCs/>
                      <w:szCs w:val="24"/>
                    </w:rPr>
                    <w:t>REIKALAVIMAI MEDICINOS PRIEMONĖMS (PRIETAISAMS) IR KITOMS DARBO PRIEMONĖMS</w:t>
                  </w:r>
                </w:sdtContent>
              </w:sdt>
            </w:p>
            <w:p>
              <w:pPr>
                <w:tabs>
                  <w:tab w:val="left" w:pos="1276"/>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
                  <w:bCs/>
                  <w:szCs w:val="24"/>
                </w:rPr>
              </w:pPr>
            </w:p>
            <w:sdt>
              <w:sdtPr>
                <w:alias w:val="19 pr. 6 p."/>
                <w:tag w:val="part_694c4f05a0cf43cea749254a2d65287d"/>
                <w:lock w:val="sdtLocked"/>
                <w:richText/>
              </w:sdtPr>
              <w:sdtContent>
                <w:p>
                  <w:pPr>
                    <w:tabs>
                      <w:tab w:val="left" w:pos="141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93"/>
                    <w:jc w:val="both"/>
                    <w:rPr>
                      <w:szCs w:val="24"/>
                    </w:rPr>
                  </w:pPr>
                  <w:sdt>
                    <w:sdtPr>
                      <w:alias w:val="Numeris"/>
                      <w:tag w:val="nr_694c4f05a0cf43cea749254a2d65287d"/>
                      <w:lock w:val="sdtLocked"/>
                      <w:richText/>
                    </w:sdtPr>
                    <w:sdtContent>
                      <w:r>
                        <w:rPr>
                          <w:bCs/>
                          <w:szCs w:val="24"/>
                          <w:lang w:eastAsia="lt-LT"/>
                        </w:rPr>
                        <w:t>6</w:t>
                      </w:r>
                    </w:sdtContent>
                  </w:sdt>
                  <w:r>
                    <w:rPr>
                      <w:bCs/>
                      <w:szCs w:val="24"/>
                      <w:lang w:eastAsia="lt-LT"/>
                    </w:rPr>
                    <w:t>.</w:t>
                  </w:r>
                  <w:r>
                    <w:rPr>
                      <w:szCs w:val="24"/>
                    </w:rPr>
                    <w:t xml:space="preserve"> </w:t>
                  </w:r>
                  <w:r>
                    <w:rPr>
                      <w:bCs/>
                      <w:szCs w:val="24"/>
                      <w:lang w:eastAsia="lt-LT"/>
                    </w:rPr>
                    <w:t>Šeimų lankymo specialist</w:t>
                  </w:r>
                  <w:r>
                    <w:rPr>
                      <w:szCs w:val="24"/>
                    </w:rPr>
                    <w:t>as, vykstantis į paciento namus teikti paslaugų, privalo turėti:</w:t>
                  </w:r>
                </w:p>
                <w:sdt>
                  <w:sdtPr>
                    <w:alias w:val="19 pr. 6.1 pp."/>
                    <w:tag w:val="part_1ea89b0b2b2f428bb5ac410e5f938b47"/>
                    <w:lock w:val="sdtLocked"/>
                    <w:richText/>
                  </w:sdtPr>
                  <w:sdtContent>
                    <w:p>
                      <w:pPr>
                        <w:tabs>
                          <w:tab w:val="left" w:pos="141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93"/>
                        <w:jc w:val="both"/>
                        <w:rPr>
                          <w:bCs/>
                          <w:szCs w:val="24"/>
                          <w:lang w:eastAsia="lt-LT"/>
                        </w:rPr>
                      </w:pPr>
                      <w:sdt>
                        <w:sdtPr>
                          <w:alias w:val="Numeris"/>
                          <w:tag w:val="nr_1ea89b0b2b2f428bb5ac410e5f938b47"/>
                          <w:lock w:val="sdtLocked"/>
                          <w:richText/>
                        </w:sdtPr>
                        <w:sdtContent>
                          <w:r>
                            <w:rPr>
                              <w:szCs w:val="24"/>
                            </w:rPr>
                            <w:t>6.1</w:t>
                          </w:r>
                        </w:sdtContent>
                      </w:sdt>
                      <w:r>
                        <w:rPr>
                          <w:szCs w:val="24"/>
                        </w:rPr>
                        <w:t xml:space="preserve">. </w:t>
                      </w:r>
                      <w:r>
                        <w:rPr>
                          <w:bCs/>
                          <w:szCs w:val="24"/>
                          <w:lang w:eastAsia="lt-LT"/>
                        </w:rPr>
                        <w:t xml:space="preserve">priemones motinos, vaisiaus ir vaiko sveikatos būklei vertinti: </w:t>
                      </w:r>
                    </w:p>
                    <w:sdt>
                      <w:sdtPr>
                        <w:alias w:val="19 pr. 6.1.1 pp."/>
                        <w:tag w:val="part_0cdc6248393147f287dc126dcf303295"/>
                        <w:lock w:val="sdtLocked"/>
                        <w:richText/>
                      </w:sdtPr>
                      <w:sdtContent>
                        <w:p>
                          <w:pPr>
                            <w:ind w:firstLine="993"/>
                            <w:jc w:val="both"/>
                            <w:rPr>
                              <w:szCs w:val="24"/>
                            </w:rPr>
                          </w:pPr>
                          <w:sdt>
                            <w:sdtPr>
                              <w:alias w:val="Numeris"/>
                              <w:tag w:val="nr_0cdc6248393147f287dc126dcf303295"/>
                              <w:lock w:val="sdtLocked"/>
                              <w:richText/>
                            </w:sdtPr>
                            <w:sdtContent>
                              <w:r>
                                <w:rPr>
                                  <w:bCs/>
                                  <w:szCs w:val="24"/>
                                  <w:lang w:eastAsia="lt-LT"/>
                                </w:rPr>
                                <w:t>6.1.1</w:t>
                              </w:r>
                            </w:sdtContent>
                          </w:sdt>
                          <w:r>
                            <w:rPr>
                              <w:bCs/>
                              <w:szCs w:val="24"/>
                              <w:lang w:eastAsia="lt-LT"/>
                            </w:rPr>
                            <w:t xml:space="preserve">. </w:t>
                          </w:r>
                          <w:r>
                            <w:rPr>
                              <w:szCs w:val="24"/>
                            </w:rPr>
                            <w:t>vienkartines medines menteles;</w:t>
                          </w:r>
                        </w:p>
                      </w:sdtContent>
                    </w:sdt>
                    <w:sdt>
                      <w:sdtPr>
                        <w:alias w:val="19 pr. 6.1.2 pp."/>
                        <w:tag w:val="part_1fb9ce867167434f844dda253a355512"/>
                        <w:lock w:val="sdtLocked"/>
                        <w:richText/>
                      </w:sdtPr>
                      <w:sdtContent>
                        <w:p>
                          <w:pPr>
                            <w:ind w:firstLine="993"/>
                            <w:jc w:val="both"/>
                            <w:rPr>
                              <w:szCs w:val="24"/>
                            </w:rPr>
                          </w:pPr>
                          <w:sdt>
                            <w:sdtPr>
                              <w:alias w:val="Numeris"/>
                              <w:tag w:val="nr_1fb9ce867167434f844dda253a355512"/>
                              <w:lock w:val="sdtLocked"/>
                              <w:richText/>
                            </w:sdtPr>
                            <w:sdtContent>
                              <w:r>
                                <w:rPr>
                                  <w:szCs w:val="24"/>
                                </w:rPr>
                                <w:t>6.1.2</w:t>
                              </w:r>
                            </w:sdtContent>
                          </w:sdt>
                          <w:r>
                            <w:rPr>
                              <w:szCs w:val="24"/>
                            </w:rPr>
                            <w:t>.</w:t>
                          </w:r>
                          <w:r>
                            <w:rPr>
                              <w:szCs w:val="24"/>
                              <w:lang w:eastAsia="lt-LT"/>
                            </w:rPr>
                            <w:t xml:space="preserve"> stetofonendoskopą ar </w:t>
                          </w:r>
                          <w:r>
                            <w:rPr>
                              <w:szCs w:val="24"/>
                            </w:rPr>
                            <w:t>fonendoskopą;</w:t>
                          </w:r>
                        </w:p>
                      </w:sdtContent>
                    </w:sdt>
                    <w:sdt>
                      <w:sdtPr>
                        <w:alias w:val="19 pr. 6.1.3 pp."/>
                        <w:tag w:val="part_195ae3a8ac694ac4a6391b3474bc006e"/>
                        <w:lock w:val="sdtLocked"/>
                        <w:richText/>
                      </w:sdtPr>
                      <w:sdtContent>
                        <w:p>
                          <w:pPr>
                            <w:ind w:firstLine="993"/>
                            <w:jc w:val="both"/>
                            <w:rPr>
                              <w:szCs w:val="24"/>
                            </w:rPr>
                          </w:pPr>
                          <w:sdt>
                            <w:sdtPr>
                              <w:alias w:val="Numeris"/>
                              <w:tag w:val="nr_195ae3a8ac694ac4a6391b3474bc006e"/>
                              <w:lock w:val="sdtLocked"/>
                              <w:richText/>
                            </w:sdtPr>
                            <w:sdtContent>
                              <w:r>
                                <w:rPr>
                                  <w:szCs w:val="24"/>
                                </w:rPr>
                                <w:t>6.1.3</w:t>
                              </w:r>
                            </w:sdtContent>
                          </w:sdt>
                          <w:r>
                            <w:rPr>
                              <w:szCs w:val="24"/>
                            </w:rPr>
                            <w:t>.</w:t>
                          </w:r>
                          <w:r>
                            <w:rPr>
                              <w:szCs w:val="24"/>
                              <w:lang w:eastAsia="lt-LT"/>
                            </w:rPr>
                            <w:t xml:space="preserve"> </w:t>
                          </w:r>
                          <w:r>
                            <w:rPr>
                              <w:szCs w:val="24"/>
                            </w:rPr>
                            <w:t>arterinio kraujospūdžio matavimo aparatą;</w:t>
                          </w:r>
                        </w:p>
                      </w:sdtContent>
                    </w:sdt>
                    <w:sdt>
                      <w:sdtPr>
                        <w:alias w:val="19 pr. 6.1.4 pp."/>
                        <w:tag w:val="part_d520d63326494793977ed0d13a5698e9"/>
                        <w:lock w:val="sdtLocked"/>
                        <w:richText/>
                      </w:sdtPr>
                      <w:sdtContent>
                        <w:p>
                          <w:pPr>
                            <w:ind w:firstLine="993"/>
                            <w:jc w:val="both"/>
                            <w:rPr>
                              <w:szCs w:val="24"/>
                            </w:rPr>
                          </w:pPr>
                          <w:sdt>
                            <w:sdtPr>
                              <w:alias w:val="Numeris"/>
                              <w:tag w:val="nr_d520d63326494793977ed0d13a5698e9"/>
                              <w:lock w:val="sdtLocked"/>
                              <w:richText/>
                            </w:sdtPr>
                            <w:sdtContent>
                              <w:r>
                                <w:rPr>
                                  <w:szCs w:val="24"/>
                                </w:rPr>
                                <w:t>6.1.4</w:t>
                              </w:r>
                            </w:sdtContent>
                          </w:sdt>
                          <w:r>
                            <w:rPr>
                              <w:szCs w:val="24"/>
                            </w:rPr>
                            <w:t>. diagnostinį apžiūros šviestuvėlį;</w:t>
                          </w:r>
                        </w:p>
                      </w:sdtContent>
                    </w:sdt>
                    <w:sdt>
                      <w:sdtPr>
                        <w:alias w:val="19 pr. 6.1.5 pp."/>
                        <w:tag w:val="part_d166fc827cc545ab803efffb4787f198"/>
                        <w:lock w:val="sdtLocked"/>
                        <w:richText/>
                      </w:sdtPr>
                      <w:sdtContent>
                        <w:p>
                          <w:pPr>
                            <w:ind w:firstLine="993"/>
                            <w:jc w:val="both"/>
                            <w:rPr>
                              <w:szCs w:val="24"/>
                            </w:rPr>
                          </w:pPr>
                          <w:sdt>
                            <w:sdtPr>
                              <w:alias w:val="Numeris"/>
                              <w:tag w:val="nr_d166fc827cc545ab803efffb4787f198"/>
                              <w:lock w:val="sdtLocked"/>
                              <w:richText/>
                            </w:sdtPr>
                            <w:sdtContent>
                              <w:r>
                                <w:rPr>
                                  <w:szCs w:val="24"/>
                                </w:rPr>
                                <w:t>6.1.5</w:t>
                              </w:r>
                            </w:sdtContent>
                          </w:sdt>
                          <w:r>
                            <w:rPr>
                              <w:szCs w:val="24"/>
                            </w:rPr>
                            <w:t>. termometrą kūno temperatūrai matuoti (esant galimybių - bekontaktį);</w:t>
                          </w:r>
                        </w:p>
                      </w:sdtContent>
                    </w:sdt>
                    <w:sdt>
                      <w:sdtPr>
                        <w:alias w:val="19 pr. 6.1.6 pp."/>
                        <w:tag w:val="part_87adc4de0ff44904a8d39e0e5eef6e48"/>
                        <w:lock w:val="sdtLocked"/>
                        <w:richText/>
                      </w:sdtPr>
                      <w:sdtContent>
                        <w:p>
                          <w:pPr>
                            <w:ind w:firstLine="993"/>
                            <w:jc w:val="both"/>
                            <w:rPr>
                              <w:szCs w:val="24"/>
                            </w:rPr>
                          </w:pPr>
                          <w:sdt>
                            <w:sdtPr>
                              <w:alias w:val="Numeris"/>
                              <w:tag w:val="nr_87adc4de0ff44904a8d39e0e5eef6e48"/>
                              <w:lock w:val="sdtLocked"/>
                              <w:richText/>
                            </w:sdtPr>
                            <w:sdtContent>
                              <w:r>
                                <w:rPr>
                                  <w:szCs w:val="24"/>
                                </w:rPr>
                                <w:t>6.1.6</w:t>
                              </w:r>
                            </w:sdtContent>
                          </w:sdt>
                          <w:r>
                            <w:rPr>
                              <w:szCs w:val="24"/>
                            </w:rPr>
                            <w:t>. gliukometrą ir diagnostines juosteles gliukozės kiekiui kraujuje nustatyti;</w:t>
                          </w:r>
                        </w:p>
                      </w:sdtContent>
                    </w:sdt>
                    <w:sdt>
                      <w:sdtPr>
                        <w:alias w:val="19 pr. 6.1.7 pp."/>
                        <w:tag w:val="part_1e14ef716c2043408df1f9a7c6f7736e"/>
                        <w:lock w:val="sdtLocked"/>
                        <w:richText/>
                      </w:sdtPr>
                      <w:sdtContent>
                        <w:p>
                          <w:pPr>
                            <w:ind w:firstLine="993"/>
                            <w:jc w:val="both"/>
                            <w:rPr>
                              <w:szCs w:val="24"/>
                            </w:rPr>
                          </w:pPr>
                          <w:sdt>
                            <w:sdtPr>
                              <w:alias w:val="Numeris"/>
                              <w:tag w:val="nr_1e14ef716c2043408df1f9a7c6f7736e"/>
                              <w:lock w:val="sdtLocked"/>
                              <w:richText/>
                            </w:sdtPr>
                            <w:sdtContent>
                              <w:r>
                                <w:rPr>
                                  <w:szCs w:val="24"/>
                                </w:rPr>
                                <w:t>6.1.7</w:t>
                              </w:r>
                            </w:sdtContent>
                          </w:sdt>
                          <w:r>
                            <w:rPr>
                              <w:szCs w:val="24"/>
                            </w:rPr>
                            <w:t xml:space="preserve">. </w:t>
                          </w:r>
                          <w:r>
                            <w:rPr>
                              <w:szCs w:val="24"/>
                              <w:lang w:eastAsia="lt-LT"/>
                            </w:rPr>
                            <w:t>svarstykles ir ūgio matuoklę kūdikiui;</w:t>
                          </w:r>
                        </w:p>
                      </w:sdtContent>
                    </w:sdt>
                    <w:sdt>
                      <w:sdtPr>
                        <w:alias w:val="19 pr. 6.1.8 pp."/>
                        <w:tag w:val="part_f2ad8b3c41174a3589f2909951c30f19"/>
                        <w:lock w:val="sdtLocked"/>
                        <w:richText/>
                      </w:sdtPr>
                      <w:sdtContent>
                        <w:p>
                          <w:pPr>
                            <w:ind w:firstLine="993"/>
                            <w:jc w:val="both"/>
                            <w:rPr>
                              <w:szCs w:val="24"/>
                              <w:lang w:eastAsia="lt-LT"/>
                            </w:rPr>
                          </w:pPr>
                          <w:sdt>
                            <w:sdtPr>
                              <w:alias w:val="Numeris"/>
                              <w:tag w:val="nr_f2ad8b3c41174a3589f2909951c30f19"/>
                              <w:lock w:val="sdtLocked"/>
                              <w:richText/>
                            </w:sdtPr>
                            <w:sdtContent>
                              <w:r>
                                <w:rPr>
                                  <w:szCs w:val="24"/>
                                </w:rPr>
                                <w:t>6.1.8</w:t>
                              </w:r>
                            </w:sdtContent>
                          </w:sdt>
                          <w:r>
                            <w:rPr>
                              <w:szCs w:val="24"/>
                            </w:rPr>
                            <w:t>. priemones vaiko raidos įvertinimui, kurių sąrašas nustatytas Sveikatos apsaugos ministro 2015 m. kovo 23 d. įsakyme Nr. V-383 “Dėl Lietuvos Respublikos sveikatos apsaugos ministro 2000 m. gegužės 31 d. įsakymo Nr. 301 „Dėl profilaktinių sveikatos tikrinimų sveikatos priežiūros įstaigose“ pakeitimo“;</w:t>
                          </w:r>
                        </w:p>
                      </w:sdtContent>
                    </w:sdt>
                  </w:sdtContent>
                </w:sdt>
                <w:sdt>
                  <w:sdtPr>
                    <w:alias w:val="19 pr. 6.2 pp."/>
                    <w:tag w:val="part_fd48aa83b0c24e9486838303be142838"/>
                    <w:lock w:val="sdtLocked"/>
                    <w:richText/>
                  </w:sdtPr>
                  <w:sdtContent>
                    <w:p>
                      <w:pPr>
                        <w:tabs>
                          <w:tab w:val="left" w:pos="1560"/>
                          <w:tab w:val="left" w:pos="1701"/>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93"/>
                        <w:jc w:val="both"/>
                        <w:rPr>
                          <w:bCs/>
                          <w:szCs w:val="24"/>
                          <w:lang w:eastAsia="lt-LT"/>
                        </w:rPr>
                      </w:pPr>
                      <w:sdt>
                        <w:sdtPr>
                          <w:alias w:val="Numeris"/>
                          <w:tag w:val="nr_fd48aa83b0c24e9486838303be142838"/>
                          <w:lock w:val="sdtLocked"/>
                          <w:richText/>
                        </w:sdtPr>
                        <w:sdtContent>
                          <w:r>
                            <w:rPr>
                              <w:bCs/>
                              <w:szCs w:val="24"/>
                              <w:lang w:eastAsia="lt-LT"/>
                            </w:rPr>
                            <w:t>6.2</w:t>
                          </w:r>
                        </w:sdtContent>
                      </w:sdt>
                      <w:r>
                        <w:rPr>
                          <w:bCs/>
                          <w:szCs w:val="24"/>
                          <w:lang w:eastAsia="lt-LT"/>
                        </w:rPr>
                        <w:t>.</w:t>
                        <w:tab/>
                        <w:t xml:space="preserve">asmens apsaugos, higienos ir dezinfekcinės priemones: </w:t>
                      </w:r>
                    </w:p>
                    <w:sdt>
                      <w:sdtPr>
                        <w:alias w:val="19 pr. 6.2.1 pp."/>
                        <w:tag w:val="part_24a696b888414345bef7c8efbf753c11"/>
                        <w:lock w:val="sdtLocked"/>
                        <w:richText/>
                      </w:sdtPr>
                      <w:sdtContent>
                        <w:p>
                          <w:pPr>
                            <w:tabs>
                              <w:tab w:val="left" w:pos="1560"/>
                              <w:tab w:val="left" w:pos="1701"/>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93"/>
                            <w:jc w:val="both"/>
                            <w:rPr>
                              <w:bCs/>
                              <w:szCs w:val="24"/>
                            </w:rPr>
                          </w:pPr>
                          <w:sdt>
                            <w:sdtPr>
                              <w:alias w:val="Numeris"/>
                              <w:tag w:val="nr_24a696b888414345bef7c8efbf753c11"/>
                              <w:lock w:val="sdtLocked"/>
                              <w:richText/>
                            </w:sdtPr>
                            <w:sdtContent>
                              <w:r>
                                <w:rPr>
                                  <w:bCs/>
                                  <w:szCs w:val="24"/>
                                  <w:lang w:eastAsia="lt-LT"/>
                                </w:rPr>
                                <w:t>6.2.1</w:t>
                              </w:r>
                            </w:sdtContent>
                          </w:sdt>
                          <w:r>
                            <w:rPr>
                              <w:bCs/>
                              <w:szCs w:val="24"/>
                              <w:lang w:eastAsia="lt-LT"/>
                            </w:rPr>
                            <w:t xml:space="preserve">. tirpalus ir </w:t>
                          </w:r>
                          <w:r>
                            <w:rPr>
                              <w:bCs/>
                              <w:szCs w:val="24"/>
                            </w:rPr>
                            <w:t>priemones odai dezinfekuoti;</w:t>
                          </w:r>
                        </w:p>
                      </w:sdtContent>
                    </w:sdt>
                    <w:sdt>
                      <w:sdtPr>
                        <w:alias w:val="19 pr. 6.2.2 pp."/>
                        <w:tag w:val="part_50340b70adf84688bb3e02e44ad5acf1"/>
                        <w:lock w:val="sdtLocked"/>
                        <w:richText/>
                      </w:sdtPr>
                      <w:sdtContent>
                        <w:p>
                          <w:pPr>
                            <w:tabs>
                              <w:tab w:val="left" w:pos="1560"/>
                              <w:tab w:val="left" w:pos="1701"/>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93"/>
                            <w:jc w:val="both"/>
                            <w:rPr>
                              <w:bCs/>
                              <w:szCs w:val="24"/>
                            </w:rPr>
                          </w:pPr>
                          <w:sdt>
                            <w:sdtPr>
                              <w:alias w:val="Numeris"/>
                              <w:tag w:val="nr_50340b70adf84688bb3e02e44ad5acf1"/>
                              <w:lock w:val="sdtLocked"/>
                              <w:richText/>
                            </w:sdtPr>
                            <w:sdtContent>
                              <w:r>
                                <w:rPr>
                                  <w:bCs/>
                                  <w:szCs w:val="24"/>
                                </w:rPr>
                                <w:t>6.2.2</w:t>
                              </w:r>
                            </w:sdtContent>
                          </w:sdt>
                          <w:r>
                            <w:rPr>
                              <w:bCs/>
                              <w:szCs w:val="24"/>
                            </w:rPr>
                            <w:t>. vienkartines pirštines (sterilias ir nesterilias), veido kaukes (nesterilias);</w:t>
                          </w:r>
                        </w:p>
                      </w:sdtContent>
                    </w:sdt>
                    <w:sdt>
                      <w:sdtPr>
                        <w:alias w:val="19 pr. 6.2.3 pp."/>
                        <w:tag w:val="part_6455875628474745a28f66f8ef11da40"/>
                        <w:lock w:val="sdtLocked"/>
                        <w:richText/>
                      </w:sdtPr>
                      <w:sdtContent>
                        <w:p>
                          <w:pPr>
                            <w:tabs>
                              <w:tab w:val="left" w:pos="1560"/>
                              <w:tab w:val="left" w:pos="1701"/>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93"/>
                            <w:jc w:val="both"/>
                            <w:rPr>
                              <w:bCs/>
                              <w:szCs w:val="24"/>
                              <w:lang w:eastAsia="lt-LT"/>
                            </w:rPr>
                          </w:pPr>
                          <w:sdt>
                            <w:sdtPr>
                              <w:alias w:val="Numeris"/>
                              <w:tag w:val="nr_6455875628474745a28f66f8ef11da40"/>
                              <w:lock w:val="sdtLocked"/>
                              <w:richText/>
                            </w:sdtPr>
                            <w:sdtContent>
                              <w:r>
                                <w:rPr>
                                  <w:bCs/>
                                  <w:szCs w:val="24"/>
                                </w:rPr>
                                <w:t>6.2.3</w:t>
                              </w:r>
                            </w:sdtContent>
                          </w:sdt>
                          <w:r>
                            <w:rPr>
                              <w:bCs/>
                              <w:szCs w:val="24"/>
                            </w:rPr>
                            <w:t>.</w:t>
                          </w:r>
                          <w:r>
                            <w:rPr>
                              <w:bCs/>
                              <w:szCs w:val="24"/>
                              <w:lang w:eastAsia="lt-LT"/>
                            </w:rPr>
                            <w:t xml:space="preserve"> nesterilias drėgnas servetėles, tinkančias ir vaiko odai valyti;</w:t>
                          </w:r>
                        </w:p>
                      </w:sdtContent>
                    </w:sdt>
                    <w:sdt>
                      <w:sdtPr>
                        <w:alias w:val="19 pr. 6.2.4 pp."/>
                        <w:tag w:val="part_b973f7dfd27140cea3747f0b704b7aa0"/>
                        <w:lock w:val="sdtLocked"/>
                        <w:richText/>
                      </w:sdtPr>
                      <w:sdtContent>
                        <w:p>
                          <w:pPr>
                            <w:tabs>
                              <w:tab w:val="left" w:pos="1560"/>
                              <w:tab w:val="left" w:pos="1701"/>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93"/>
                            <w:jc w:val="both"/>
                            <w:rPr>
                              <w:bCs/>
                              <w:szCs w:val="24"/>
                              <w:lang w:eastAsia="lt-LT"/>
                            </w:rPr>
                          </w:pPr>
                          <w:sdt>
                            <w:sdtPr>
                              <w:alias w:val="Numeris"/>
                              <w:tag w:val="nr_b973f7dfd27140cea3747f0b704b7aa0"/>
                              <w:lock w:val="sdtLocked"/>
                              <w:richText/>
                            </w:sdtPr>
                            <w:sdtContent>
                              <w:r>
                                <w:rPr>
                                  <w:bCs/>
                                  <w:szCs w:val="24"/>
                                  <w:lang w:eastAsia="lt-LT"/>
                                </w:rPr>
                                <w:t>6.2.4</w:t>
                              </w:r>
                            </w:sdtContent>
                          </w:sdt>
                          <w:r>
                            <w:rPr>
                              <w:bCs/>
                              <w:szCs w:val="24"/>
                              <w:lang w:eastAsia="lt-LT"/>
                            </w:rPr>
                            <w:t>. vienkartinį paklotą ant svarstyklių kūdikiui;</w:t>
                          </w:r>
                        </w:p>
                      </w:sdtContent>
                    </w:sdt>
                    <w:sdt>
                      <w:sdtPr>
                        <w:alias w:val="19 pr. 6.2.5 pp."/>
                        <w:tag w:val="part_4d0b8c219faa4659834fa897f6b46c30"/>
                        <w:lock w:val="sdtLocked"/>
                        <w:richText/>
                      </w:sdtPr>
                      <w:sdtContent>
                        <w:p>
                          <w:pPr>
                            <w:tabs>
                              <w:tab w:val="left" w:pos="1560"/>
                              <w:tab w:val="left" w:pos="1701"/>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93"/>
                            <w:jc w:val="both"/>
                            <w:rPr>
                              <w:bCs/>
                              <w:szCs w:val="24"/>
                            </w:rPr>
                          </w:pPr>
                          <w:sdt>
                            <w:sdtPr>
                              <w:alias w:val="Numeris"/>
                              <w:tag w:val="nr_4d0b8c219faa4659834fa897f6b46c30"/>
                              <w:lock w:val="sdtLocked"/>
                              <w:richText/>
                            </w:sdtPr>
                            <w:sdtContent>
                              <w:r>
                                <w:rPr>
                                  <w:bCs/>
                                  <w:szCs w:val="24"/>
                                  <w:lang w:eastAsia="lt-LT"/>
                                </w:rPr>
                                <w:t>6.2.5</w:t>
                              </w:r>
                            </w:sdtContent>
                          </w:sdt>
                          <w:r>
                            <w:rPr>
                              <w:bCs/>
                              <w:szCs w:val="24"/>
                              <w:lang w:eastAsia="lt-LT"/>
                            </w:rPr>
                            <w:t>.</w:t>
                          </w:r>
                          <w:r>
                            <w:rPr>
                              <w:bCs/>
                              <w:szCs w:val="24"/>
                            </w:rPr>
                            <w:t xml:space="preserve"> priemones, skirtos medicinos atliekoms tvarkyti (pvz., konteinerius, maišus);</w:t>
                          </w:r>
                        </w:p>
                      </w:sdtContent>
                    </w:sdt>
                  </w:sdtContent>
                </w:sdt>
                <w:sdt>
                  <w:sdtPr>
                    <w:alias w:val="19 pr. 6.3 pp."/>
                    <w:tag w:val="part_757bad53399c40ad9428d1bb431b2e27"/>
                    <w:lock w:val="sdtLocked"/>
                    <w:richText/>
                  </w:sdtPr>
                  <w:sdtContent>
                    <w:p>
                      <w:pPr>
                        <w:tabs>
                          <w:tab w:val="left" w:pos="1560"/>
                          <w:tab w:val="left" w:pos="1701"/>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93"/>
                        <w:jc w:val="both"/>
                        <w:rPr>
                          <w:bCs/>
                          <w:szCs w:val="24"/>
                          <w:lang w:eastAsia="lt-LT"/>
                        </w:rPr>
                      </w:pPr>
                      <w:sdt>
                        <w:sdtPr>
                          <w:alias w:val="Numeris"/>
                          <w:tag w:val="nr_757bad53399c40ad9428d1bb431b2e27"/>
                          <w:lock w:val="sdtLocked"/>
                          <w:richText/>
                        </w:sdtPr>
                        <w:sdtContent>
                          <w:r>
                            <w:rPr>
                              <w:bCs/>
                              <w:szCs w:val="24"/>
                              <w:lang w:eastAsia="lt-LT"/>
                            </w:rPr>
                            <w:t>6.3</w:t>
                          </w:r>
                        </w:sdtContent>
                      </w:sdt>
                      <w:r>
                        <w:rPr>
                          <w:bCs/>
                          <w:szCs w:val="24"/>
                          <w:lang w:eastAsia="lt-LT"/>
                        </w:rPr>
                        <w:t>.</w:t>
                        <w:tab/>
                        <w:t>ryšio ir kanceliarines, informacinių technologijų priemones (mobilųjį telefoną ar planšetinį kompiuterį su interneto prieiga).</w:t>
                      </w:r>
                    </w:p>
                  </w:sdtContent>
                </w:sdt>
              </w:sdtContent>
            </w:sdt>
            <w:sdt>
              <w:sdtPr>
                <w:alias w:val="19 pr. 7 p."/>
                <w:tag w:val="part_8ec35b69a15646b189d649ade2781574"/>
                <w:lock w:val="sdtLocked"/>
                <w:richText/>
              </w:sdtPr>
              <w:sdtContent>
                <w:p>
                  <w:pPr>
                    <w:tabs>
                      <w:tab w:val="left" w:pos="1560"/>
                      <w:tab w:val="left" w:pos="1701"/>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93"/>
                    <w:jc w:val="both"/>
                    <w:rPr>
                      <w:bCs/>
                      <w:szCs w:val="24"/>
                      <w:lang w:eastAsia="lt-LT"/>
                    </w:rPr>
                  </w:pPr>
                  <w:sdt>
                    <w:sdtPr>
                      <w:alias w:val="Numeris"/>
                      <w:tag w:val="nr_8ec35b69a15646b189d649ade2781574"/>
                      <w:lock w:val="sdtLocked"/>
                      <w:richText/>
                    </w:sdtPr>
                    <w:sdtContent>
                      <w:r>
                        <w:rPr>
                          <w:bCs/>
                          <w:szCs w:val="24"/>
                          <w:lang w:eastAsia="lt-LT"/>
                        </w:rPr>
                        <w:t>7</w:t>
                      </w:r>
                    </w:sdtContent>
                  </w:sdt>
                  <w:r>
                    <w:rPr>
                      <w:bCs/>
                      <w:szCs w:val="24"/>
                      <w:lang w:eastAsia="lt-LT"/>
                    </w:rPr>
                    <w:t>. Šeimų lankymo specialist</w:t>
                  </w:r>
                  <w:r>
                    <w:rPr>
                      <w:szCs w:val="24"/>
                    </w:rPr>
                    <w:t xml:space="preserve">as, vykstantis į paciento namus teikti paslaugų, įstaigos vadovo nustatyta tvarka aprūpinamas transporto priemone (rekomenduojama automobiliu), užtikrinant saugų ir savalaikį paslaugos suteikimą, paslaugos teikimui būtinų priemonių (prietaisų) transportavimą. </w:t>
                  </w:r>
                  <w:r>
                    <w:rPr>
                      <w:bCs/>
                      <w:szCs w:val="24"/>
                      <w:lang w:eastAsia="lt-LT"/>
                    </w:rPr>
                    <w:t xml:space="preserve">Nešiojamą kompiuterį su prieiga prie interneto šeimų lankymo specialistas, įvertinęs poreikį ir rizikas, gali naudoti ASPĮ patalpose arba paslaugos teikimo vietoje. </w:t>
                  </w:r>
                </w:p>
              </w:sdtContent>
            </w:sdt>
            <w:sdt>
              <w:sdtPr>
                <w:alias w:val="19 pr. 8 p."/>
                <w:tag w:val="part_e3e1ec4a34524717b6efb06266da8146"/>
                <w:lock w:val="sdtLocked"/>
                <w:richText/>
              </w:sdtPr>
              <w:sdtContent>
                <w:p>
                  <w:pPr>
                    <w:tabs>
                      <w:tab w:val="left" w:pos="1560"/>
                      <w:tab w:val="left" w:pos="1701"/>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93"/>
                    <w:jc w:val="both"/>
                    <w:rPr>
                      <w:szCs w:val="24"/>
                    </w:rPr>
                  </w:pPr>
                  <w:sdt>
                    <w:sdtPr>
                      <w:alias w:val="Numeris"/>
                      <w:tag w:val="nr_e3e1ec4a34524717b6efb06266da8146"/>
                      <w:lock w:val="sdtLocked"/>
                      <w:richText/>
                    </w:sdtPr>
                    <w:sdtContent>
                      <w:r>
                        <w:rPr>
                          <w:bCs/>
                          <w:szCs w:val="24"/>
                          <w:lang w:eastAsia="lt-LT"/>
                        </w:rPr>
                        <w:t>8</w:t>
                      </w:r>
                    </w:sdtContent>
                  </w:sdt>
                  <w:r>
                    <w:rPr>
                      <w:bCs/>
                      <w:szCs w:val="24"/>
                      <w:lang w:eastAsia="lt-LT"/>
                    </w:rPr>
                    <w:t xml:space="preserve">. </w:t>
                  </w:r>
                  <w:r>
                    <w:rPr>
                      <w:szCs w:val="24"/>
                    </w:rPr>
                    <w:t xml:space="preserve">Priemonės (prietaisai), rekomenduojami </w:t>
                  </w:r>
                  <w:r>
                    <w:rPr>
                      <w:bCs/>
                      <w:szCs w:val="24"/>
                      <w:lang w:eastAsia="lt-LT"/>
                    </w:rPr>
                    <w:t>šeimų lankymo</w:t>
                  </w:r>
                  <w:r>
                    <w:rPr>
                      <w:szCs w:val="24"/>
                    </w:rPr>
                    <w:t xml:space="preserve"> paslaugoms teikti: </w:t>
                  </w:r>
                </w:p>
                <w:sdt>
                  <w:sdtPr>
                    <w:alias w:val="19 pr. 8.1 pp."/>
                    <w:tag w:val="part_679b47dd5b09450abc888f3f5266560c"/>
                    <w:lock w:val="sdtLocked"/>
                    <w:richText/>
                  </w:sdtPr>
                  <w:sdtContent>
                    <w:p>
                      <w:pPr>
                        <w:tabs>
                          <w:tab w:val="left" w:pos="1560"/>
                          <w:tab w:val="left" w:pos="1701"/>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93"/>
                        <w:jc w:val="both"/>
                        <w:rPr>
                          <w:b/>
                          <w:bCs/>
                          <w:szCs w:val="24"/>
                        </w:rPr>
                      </w:pPr>
                      <w:sdt>
                        <w:sdtPr>
                          <w:alias w:val="Numeris"/>
                          <w:tag w:val="nr_679b47dd5b09450abc888f3f5266560c"/>
                          <w:lock w:val="sdtLocked"/>
                          <w:richText/>
                        </w:sdtPr>
                        <w:sdtContent>
                          <w:r>
                            <w:rPr>
                              <w:szCs w:val="24"/>
                            </w:rPr>
                            <w:t>8.1</w:t>
                          </w:r>
                        </w:sdtContent>
                      </w:sdt>
                      <w:r>
                        <w:rPr>
                          <w:szCs w:val="24"/>
                        </w:rPr>
                        <w:t xml:space="preserve"> mobilusis elektrokardiografas (ne mažiau kaip 12 derivacijų</w:t>
                      </w:r>
                      <w:r>
                        <w:rPr>
                          <w:b/>
                          <w:bCs/>
                          <w:szCs w:val="24"/>
                        </w:rPr>
                        <w:t>);</w:t>
                      </w:r>
                    </w:p>
                  </w:sdtContent>
                </w:sdt>
                <w:sdt>
                  <w:sdtPr>
                    <w:alias w:val="19 pr. 8.2 pp."/>
                    <w:tag w:val="part_42ec4ee6b8074703a05554920d980b0c"/>
                    <w:lock w:val="sdtLocked"/>
                    <w:richText/>
                  </w:sdtPr>
                  <w:sdtContent>
                    <w:p>
                      <w:pPr>
                        <w:tabs>
                          <w:tab w:val="left" w:pos="1560"/>
                          <w:tab w:val="left" w:pos="1701"/>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93"/>
                        <w:jc w:val="both"/>
                        <w:rPr>
                          <w:szCs w:val="24"/>
                          <w:lang w:eastAsia="lt-LT"/>
                        </w:rPr>
                      </w:pPr>
                      <w:sdt>
                        <w:sdtPr>
                          <w:alias w:val="Numeris"/>
                          <w:tag w:val="nr_42ec4ee6b8074703a05554920d980b0c"/>
                          <w:lock w:val="sdtLocked"/>
                          <w:richText/>
                        </w:sdtPr>
                        <w:sdtContent>
                          <w:r>
                            <w:rPr>
                              <w:bCs/>
                              <w:szCs w:val="24"/>
                              <w:lang w:eastAsia="lt-LT"/>
                            </w:rPr>
                            <w:t>8.2</w:t>
                          </w:r>
                        </w:sdtContent>
                      </w:sdt>
                      <w:r>
                        <w:rPr>
                          <w:bCs/>
                          <w:szCs w:val="24"/>
                          <w:lang w:eastAsia="lt-LT"/>
                        </w:rPr>
                        <w:t>.</w:t>
                        <w:tab/>
                      </w:r>
                      <w:r>
                        <w:rPr>
                          <w:szCs w:val="24"/>
                        </w:rPr>
                        <w:t>diagnostines juosteles baltymui šlapime nustatyti;</w:t>
                      </w:r>
                    </w:p>
                  </w:sdtContent>
                </w:sdt>
                <w:sdt>
                  <w:sdtPr>
                    <w:alias w:val="19 pr. 8.3 pp."/>
                    <w:tag w:val="part_c184a86dc42d490b95c516d41265fc6e"/>
                    <w:lock w:val="sdtLocked"/>
                    <w:richText/>
                  </w:sdtPr>
                  <w:sdtContent>
                    <w:p>
                      <w:pPr>
                        <w:tabs>
                          <w:tab w:val="left" w:pos="1560"/>
                          <w:tab w:val="left" w:pos="1701"/>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93"/>
                        <w:jc w:val="both"/>
                        <w:rPr>
                          <w:b/>
                          <w:bCs/>
                          <w:szCs w:val="24"/>
                        </w:rPr>
                      </w:pPr>
                      <w:sdt>
                        <w:sdtPr>
                          <w:alias w:val="Numeris"/>
                          <w:tag w:val="nr_c184a86dc42d490b95c516d41265fc6e"/>
                          <w:lock w:val="sdtLocked"/>
                          <w:richText/>
                        </w:sdtPr>
                        <w:sdtContent>
                          <w:r>
                            <w:rPr>
                              <w:szCs w:val="24"/>
                              <w:lang w:eastAsia="lt-LT"/>
                            </w:rPr>
                            <w:t>8.3</w:t>
                          </w:r>
                        </w:sdtContent>
                      </w:sdt>
                      <w:r>
                        <w:rPr>
                          <w:szCs w:val="24"/>
                          <w:lang w:eastAsia="lt-LT"/>
                        </w:rPr>
                        <w:t xml:space="preserve">. akušerinį stetoskopą arba </w:t>
                      </w:r>
                      <w:r>
                        <w:rPr>
                          <w:szCs w:val="24"/>
                        </w:rPr>
                        <w:t>portatyvų ultragarsinį doplerinį stetoskopą;</w:t>
                      </w:r>
                    </w:p>
                  </w:sdtContent>
                </w:sdt>
                <w:sdt>
                  <w:sdtPr>
                    <w:alias w:val="19 pr. 8.4 pp."/>
                    <w:tag w:val="part_fb654d50d6724c008ce300a27397b8f3"/>
                    <w:lock w:val="sdtLocked"/>
                    <w:richText/>
                  </w:sdtPr>
                  <w:sdtContent>
                    <w:p>
                      <w:pPr>
                        <w:tabs>
                          <w:tab w:val="left" w:pos="1418"/>
                          <w:tab w:val="left" w:pos="1701"/>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93"/>
                        <w:jc w:val="both"/>
                        <w:rPr>
                          <w:szCs w:val="24"/>
                          <w:lang w:eastAsia="lt-LT"/>
                        </w:rPr>
                      </w:pPr>
                      <w:sdt>
                        <w:sdtPr>
                          <w:alias w:val="Numeris"/>
                          <w:tag w:val="nr_fb654d50d6724c008ce300a27397b8f3"/>
                          <w:lock w:val="sdtLocked"/>
                          <w:richText/>
                        </w:sdtPr>
                        <w:sdtContent>
                          <w:r>
                            <w:rPr>
                              <w:szCs w:val="24"/>
                            </w:rPr>
                            <w:t>8.4</w:t>
                          </w:r>
                        </w:sdtContent>
                      </w:sdt>
                      <w:r>
                        <w:rPr>
                          <w:szCs w:val="24"/>
                        </w:rPr>
                        <w:t>. sterilūs ir nesterilūs tvarsčiai, vata,</w:t>
                      </w:r>
                      <w:r>
                        <w:rPr>
                          <w:szCs w:val="24"/>
                          <w:lang w:eastAsia="lt-LT"/>
                        </w:rPr>
                        <w:t xml:space="preserve">  kitos perrišimams naudojamos priemonės;</w:t>
                      </w:r>
                    </w:p>
                  </w:sdtContent>
                </w:sdt>
                <w:sdt>
                  <w:sdtPr>
                    <w:alias w:val="19 pr. 8.5 pp."/>
                    <w:tag w:val="part_fe5fcb3a5f77453ab11bfcbd89107c20"/>
                    <w:lock w:val="sdtLocked"/>
                    <w:richText/>
                  </w:sdtPr>
                  <w:sdtContent>
                    <w:p>
                      <w:pPr>
                        <w:tabs>
                          <w:tab w:val="left" w:pos="1560"/>
                          <w:tab w:val="left" w:pos="1701"/>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93"/>
                        <w:jc w:val="both"/>
                        <w:rPr>
                          <w:szCs w:val="24"/>
                        </w:rPr>
                      </w:pPr>
                      <w:sdt>
                        <w:sdtPr>
                          <w:alias w:val="Numeris"/>
                          <w:tag w:val="nr_fe5fcb3a5f77453ab11bfcbd89107c20"/>
                          <w:lock w:val="sdtLocked"/>
                          <w:richText/>
                        </w:sdtPr>
                        <w:sdtContent>
                          <w:r>
                            <w:rPr>
                              <w:szCs w:val="24"/>
                              <w:lang w:eastAsia="lt-LT"/>
                            </w:rPr>
                            <w:t>8.5</w:t>
                          </w:r>
                        </w:sdtContent>
                      </w:sdt>
                      <w:r>
                        <w:rPr>
                          <w:szCs w:val="24"/>
                          <w:lang w:eastAsia="lt-LT"/>
                        </w:rPr>
                        <w:t xml:space="preserve">. papildomos priemonės vaiko higienai; </w:t>
                      </w:r>
                    </w:p>
                  </w:sdtContent>
                </w:sdt>
                <w:sdt>
                  <w:sdtPr>
                    <w:alias w:val="19 pr. 8.6 pp."/>
                    <w:tag w:val="part_9f6f05d54df44d38aaa774907a3eadcd"/>
                    <w:lock w:val="sdtLocked"/>
                    <w:richText/>
                  </w:sdtPr>
                  <w:sdtContent>
                    <w:p>
                      <w:pPr>
                        <w:tabs>
                          <w:tab w:val="left" w:pos="141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93"/>
                        <w:jc w:val="both"/>
                        <w:rPr>
                          <w:bCs/>
                          <w:szCs w:val="24"/>
                          <w:lang w:eastAsia="lt-LT"/>
                        </w:rPr>
                      </w:pPr>
                      <w:sdt>
                        <w:sdtPr>
                          <w:alias w:val="Numeris"/>
                          <w:tag w:val="nr_9f6f05d54df44d38aaa774907a3eadcd"/>
                          <w:lock w:val="sdtLocked"/>
                          <w:richText/>
                        </w:sdtPr>
                        <w:sdtContent>
                          <w:r>
                            <w:rPr>
                              <w:szCs w:val="24"/>
                            </w:rPr>
                            <w:t>8.6</w:t>
                          </w:r>
                        </w:sdtContent>
                      </w:sdt>
                      <w:r>
                        <w:rPr>
                          <w:szCs w:val="24"/>
                        </w:rPr>
                        <w:t>. pavyzdinės ir mokymo priemonės (</w:t>
                      </w:r>
                      <w:r>
                        <w:rPr>
                          <w:bCs/>
                          <w:szCs w:val="24"/>
                          <w:lang w:eastAsia="lt-LT"/>
                        </w:rPr>
                        <w:t>rinkinys į ligoninę vykstančiai gimdyvei</w:t>
                      </w:r>
                      <w:r>
                        <w:rPr>
                          <w:b/>
                          <w:bCs/>
                          <w:szCs w:val="24"/>
                        </w:rPr>
                        <w:t xml:space="preserve">, </w:t>
                      </w:r>
                      <w:r>
                        <w:rPr>
                          <w:bCs/>
                          <w:szCs w:val="24"/>
                          <w:lang w:eastAsia="lt-LT"/>
                        </w:rPr>
                        <w:t>vaizdinės priemonės apie nėštumo eigą, vaiko raidą, motinos ir vaiko organizmo ypatumus (knygos, paveikslai, muliažai, skaitmeninės vaizdinės priemonės ir pan.);</w:t>
                      </w:r>
                    </w:p>
                  </w:sdtContent>
                </w:sdt>
                <w:sdt>
                  <w:sdtPr>
                    <w:alias w:val="19 pr. 8.7 pp."/>
                    <w:tag w:val="part_0bde40ec696448759a0656c2a9c0409a"/>
                    <w:lock w:val="sdtLocked"/>
                    <w:richText/>
                  </w:sdtPr>
                  <w:sdtContent>
                    <w:p>
                      <w:pPr>
                        <w:tabs>
                          <w:tab w:val="left" w:pos="141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93"/>
                        <w:jc w:val="both"/>
                        <w:rPr>
                          <w:bCs/>
                          <w:szCs w:val="24"/>
                          <w:lang w:eastAsia="lt-LT"/>
                        </w:rPr>
                      </w:pPr>
                      <w:sdt>
                        <w:sdtPr>
                          <w:alias w:val="Numeris"/>
                          <w:tag w:val="nr_0bde40ec696448759a0656c2a9c0409a"/>
                          <w:lock w:val="sdtLocked"/>
                          <w:richText/>
                        </w:sdtPr>
                        <w:sdtContent>
                          <w:r>
                            <w:rPr>
                              <w:bCs/>
                              <w:szCs w:val="24"/>
                              <w:lang w:eastAsia="lt-LT"/>
                            </w:rPr>
                            <w:t>8.7</w:t>
                          </w:r>
                        </w:sdtContent>
                      </w:sdt>
                      <w:r>
                        <w:rPr>
                          <w:bCs/>
                          <w:szCs w:val="24"/>
                          <w:lang w:eastAsia="lt-LT"/>
                        </w:rPr>
                        <w:t>. šeimų lankymo specialistas gali papildomai naudoti ir kitas apraše neišvardytas priemones (prietaisus), su kuriomis gali efektyviau pasiekti paslaugos teikimo tikslų.</w:t>
                      </w:r>
                    </w:p>
                  </w:sdtContent>
                </w:sdt>
              </w:sdtContent>
            </w:sdt>
            <w:sdt>
              <w:sdtPr>
                <w:alias w:val="19 pr. 9 p."/>
                <w:tag w:val="part_b417f99eafda43b798204efcf444c1c3"/>
                <w:lock w:val="sdtLocked"/>
                <w:richText/>
              </w:sdtPr>
              <w:sdtContent>
                <w:p>
                  <w:pPr>
                    <w:tabs>
                      <w:tab w:val="left" w:pos="1418"/>
                      <w:tab w:val="left" w:pos="1701"/>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93"/>
                    <w:jc w:val="both"/>
                    <w:rPr>
                      <w:szCs w:val="24"/>
                    </w:rPr>
                  </w:pPr>
                  <w:sdt>
                    <w:sdtPr>
                      <w:alias w:val="Numeris"/>
                      <w:tag w:val="nr_b417f99eafda43b798204efcf444c1c3"/>
                      <w:lock w:val="sdtLocked"/>
                      <w:richText/>
                    </w:sdtPr>
                    <w:sdtContent>
                      <w:r>
                        <w:rPr>
                          <w:bCs/>
                          <w:szCs w:val="24"/>
                          <w:lang w:eastAsia="lt-LT"/>
                        </w:rPr>
                        <w:t>9</w:t>
                      </w:r>
                    </w:sdtContent>
                  </w:sdt>
                  <w:r>
                    <w:rPr>
                      <w:bCs/>
                      <w:szCs w:val="24"/>
                      <w:lang w:eastAsia="lt-LT"/>
                    </w:rPr>
                    <w:t>.</w:t>
                    <w:tab/>
                    <w:t>Siekiant</w:t>
                  </w:r>
                  <w:r>
                    <w:rPr>
                      <w:szCs w:val="24"/>
                      <w:lang w:eastAsia="lt-LT"/>
                    </w:rPr>
                    <w:t xml:space="preserve"> užtikrinti duomenų apie suteiktas šeimų lankymo paslaugas perdavimą paciento šeimos gydytojo komandai, bendradarbiaujančioms ASPĮ rekomenduojama naudoti bendrą duomenų registravimo ir perdavimo informacinę sistemą. Ši informacinė sistema privalo turėti galimybę jungtis ir pateikti duomenis Elektroninės sveikatos paslaugų ir bendradarbiavimo infrastruktūros informacinėje sistemoje (toliau – ESPBI IS) ir  galimybę keistis duomenimis su PAASP įstaigomis. Nesant galimybės naudoti bendrą duomenų registravimo ir perdavimo informacinę sistemą, šeimų lankymo paslaugas teikianti įstaiga ir PAASP įstaiga duomenimis apie suteiktas šeimų lankymo paslaugas keičiasi bendradarbiavimo sutartyje numatytu būdu.</w:t>
                  </w:r>
                  <w:r>
                    <w:rPr>
                      <w:szCs w:val="24"/>
                    </w:rPr>
                    <w:t xml:space="preserve"> </w:t>
                  </w:r>
                </w:p>
                <w:p>
                  <w:pPr>
                    <w:tabs>
                      <w:tab w:val="left" w:pos="113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93"/>
                    <w:jc w:val="both"/>
                    <w:rPr>
                      <w:szCs w:val="24"/>
                    </w:rPr>
                  </w:pPr>
                </w:p>
              </w:sdtContent>
            </w:sdt>
          </w:sdtContent>
        </w:sdt>
        <w:sdt>
          <w:sdtPr>
            <w:alias w:val="skyrius"/>
            <w:tag w:val="part_2435fc60372b4425932160b4b785b61d"/>
            <w:lock w:val="sdtLocked"/>
            <w:richText/>
          </w:sdtPr>
          <w:sdtContent>
            <w:p>
              <w:pPr>
                <w:jc w:val="center"/>
                <w:rPr>
                  <w:b/>
                  <w:bCs/>
                  <w:szCs w:val="24"/>
                </w:rPr>
              </w:pPr>
              <w:sdt>
                <w:sdtPr>
                  <w:alias w:val="Numeris"/>
                  <w:tag w:val="nr_2435fc60372b4425932160b4b785b61d"/>
                  <w:lock w:val="sdtLocked"/>
                  <w:richText/>
                </w:sdtPr>
                <w:sdtContent>
                  <w:r>
                    <w:rPr>
                      <w:b/>
                      <w:bCs/>
                      <w:szCs w:val="24"/>
                    </w:rPr>
                    <w:t>IV</w:t>
                  </w:r>
                </w:sdtContent>
              </w:sdt>
              <w:r>
                <w:rPr>
                  <w:b/>
                  <w:bCs/>
                  <w:szCs w:val="24"/>
                </w:rPr>
                <w:t xml:space="preserve"> SKYRIUS</w:t>
              </w:r>
            </w:p>
            <w:p>
              <w:pPr>
                <w:tabs>
                  <w:tab w:val="left" w:pos="141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bCs/>
                  <w:szCs w:val="24"/>
                </w:rPr>
              </w:pPr>
              <w:sdt>
                <w:sdtPr>
                  <w:alias w:val="Pavadinimas"/>
                  <w:tag w:val="title_2435fc60372b4425932160b4b785b61d"/>
                  <w:lock w:val="sdtLocked"/>
                  <w:richText/>
                </w:sdtPr>
                <w:sdtContent>
                  <w:r>
                    <w:rPr>
                      <w:b/>
                      <w:bCs/>
                      <w:szCs w:val="24"/>
                    </w:rPr>
                    <w:t xml:space="preserve">ŠEIMŲ LANKYMO PASLAUGŲ </w:t>
                  </w:r>
                  <w:r>
                    <w:rPr>
                      <w:b/>
                      <w:bCs/>
                      <w:szCs w:val="24"/>
                      <w:lang w:eastAsia="lt-LT"/>
                    </w:rPr>
                    <w:t>ORGANIZAVIMO TVARKA</w:t>
                  </w:r>
                </w:sdtContent>
              </w:sdt>
            </w:p>
            <w:p>
              <w:pPr>
                <w:tabs>
                  <w:tab w:val="left" w:pos="141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
                  <w:bCs/>
                  <w:szCs w:val="24"/>
                </w:rPr>
              </w:pPr>
            </w:p>
            <w:sdt>
              <w:sdtPr>
                <w:alias w:val="19 pr. 10 p."/>
                <w:tag w:val="part_eb018410330b4f1fbe42672b137596ec"/>
                <w:lock w:val="sdtLocked"/>
                <w:richText/>
              </w:sdtPr>
              <w:sdtContent>
                <w:p>
                  <w:pPr>
                    <w:ind w:firstLine="993"/>
                    <w:jc w:val="both"/>
                    <w:rPr>
                      <w:szCs w:val="24"/>
                      <w:lang w:eastAsia="lt-LT"/>
                    </w:rPr>
                  </w:pPr>
                  <w:sdt>
                    <w:sdtPr>
                      <w:alias w:val="Numeris"/>
                      <w:tag w:val="nr_eb018410330b4f1fbe42672b137596ec"/>
                      <w:lock w:val="sdtLocked"/>
                      <w:richText/>
                    </w:sdtPr>
                    <w:sdtContent>
                      <w:r>
                        <w:rPr>
                          <w:szCs w:val="24"/>
                          <w:lang w:eastAsia="lt-LT"/>
                        </w:rPr>
                        <w:t>10</w:t>
                      </w:r>
                    </w:sdtContent>
                  </w:sdt>
                  <w:r>
                    <w:rPr>
                      <w:szCs w:val="24"/>
                      <w:lang w:eastAsia="lt-LT"/>
                    </w:rPr>
                    <w:t xml:space="preserve">.  Šeimų lankymo paslaugas gali gauti privalomuoju sveikatos draudimu apdraustos moterys nėštumo metu ir iki jų vaikui sukaks 2 metai ir vaikai iki jiems sukaks 2 metai. Jeigu vaiką iki jam sukaks 2 metai auginančioje šeimoje paslaugų gavimo laikotarpiu nėra vaiko mamos, šeimų lankymo paslauga vaikui teikiama, dalyvaujant kitam šeimos nariui. </w:t>
                  </w:r>
                </w:p>
              </w:sdtContent>
            </w:sdt>
            <w:sdt>
              <w:sdtPr>
                <w:alias w:val="19 pr. 11 p."/>
                <w:tag w:val="part_7762d61812344f9ca5801b89c149b35e"/>
                <w:lock w:val="sdtLocked"/>
                <w:richText/>
              </w:sdtPr>
              <w:sdtContent>
                <w:p>
                  <w:pPr>
                    <w:ind w:left="260" w:firstLine="732"/>
                    <w:jc w:val="both"/>
                    <w:rPr>
                      <w:szCs w:val="24"/>
                    </w:rPr>
                  </w:pPr>
                  <w:sdt>
                    <w:sdtPr>
                      <w:alias w:val="Numeris"/>
                      <w:tag w:val="nr_7762d61812344f9ca5801b89c149b35e"/>
                      <w:lock w:val="sdtLocked"/>
                      <w:richText/>
                    </w:sdtPr>
                    <w:sdtContent>
                      <w:r>
                        <w:rPr>
                          <w:szCs w:val="24"/>
                        </w:rPr>
                        <w:t>11</w:t>
                      </w:r>
                    </w:sdtContent>
                  </w:sdt>
                  <w:r>
                    <w:rPr>
                      <w:szCs w:val="24"/>
                    </w:rPr>
                    <w:t xml:space="preserve">. Prioritetas gauti  šeimas lankymo paslaugas teikiamas:</w:t>
                  </w:r>
                </w:p>
                <w:sdt>
                  <w:sdtPr>
                    <w:alias w:val="19 pr. 11.1 pp."/>
                    <w:tag w:val="part_906d9115b8da4af697d3c1abd18272a4"/>
                    <w:lock w:val="sdtLocked"/>
                    <w:richText/>
                  </w:sdtPr>
                  <w:sdtContent>
                    <w:p>
                      <w:pPr>
                        <w:ind w:firstLine="993"/>
                        <w:jc w:val="both"/>
                        <w:rPr>
                          <w:szCs w:val="24"/>
                        </w:rPr>
                      </w:pPr>
                      <w:sdt>
                        <w:sdtPr>
                          <w:alias w:val="Numeris"/>
                          <w:tag w:val="nr_906d9115b8da4af697d3c1abd18272a4"/>
                          <w:lock w:val="sdtLocked"/>
                          <w:richText/>
                        </w:sdtPr>
                        <w:sdtContent>
                          <w:r>
                            <w:rPr>
                              <w:szCs w:val="24"/>
                            </w:rPr>
                            <w:t>11.1</w:t>
                          </w:r>
                        </w:sdtContent>
                      </w:sdt>
                      <w:r>
                        <w:rPr>
                          <w:szCs w:val="24"/>
                        </w:rPr>
                        <w:t xml:space="preserve">. 18  m. ir jaunesnėms moterims bei pirmo vaiko besilaukiančioms  40 m. ir vyresnėms moterims;</w:t>
                      </w:r>
                    </w:p>
                  </w:sdtContent>
                </w:sdt>
                <w:sdt>
                  <w:sdtPr>
                    <w:alias w:val="19 pr. 11.2 pp."/>
                    <w:tag w:val="part_f2d1313c970f45868b9e57af4e4fb0c1"/>
                    <w:lock w:val="sdtLocked"/>
                    <w:richText/>
                  </w:sdtPr>
                  <w:sdtContent>
                    <w:p>
                      <w:pPr>
                        <w:ind w:firstLine="993"/>
                        <w:jc w:val="both"/>
                        <w:rPr>
                          <w:szCs w:val="24"/>
                        </w:rPr>
                      </w:pPr>
                      <w:sdt>
                        <w:sdtPr>
                          <w:alias w:val="Numeris"/>
                          <w:tag w:val="nr_f2d1313c970f45868b9e57af4e4fb0c1"/>
                          <w:lock w:val="sdtLocked"/>
                          <w:richText/>
                        </w:sdtPr>
                        <w:sdtContent>
                          <w:r>
                            <w:rPr>
                              <w:szCs w:val="24"/>
                            </w:rPr>
                            <w:t>11.2</w:t>
                          </w:r>
                        </w:sdtContent>
                      </w:sdt>
                      <w:r>
                        <w:rPr>
                          <w:szCs w:val="24"/>
                        </w:rPr>
                        <w:t>. bet kurio amžiaus padidintus socialinius poreikius ir (ar) šiuos rizikos veiksnius turinčiai moteriai ir (ar) šie rizikos veiksniai nustatomi jos gyvenamojoje aplinkoje: nesaikingas alkoholio ir (ar) kitų priklausomybes sukeliančių medžiagų vartojimas, žemi socialiniai įgūdžiai, socialiai nepriimtinas elgesys, nesaugi socialinė aplinka, nusikalstama ir kriminalinė patirtis, psichikos sveikatos sutrikimai ir ligos, nepakankami tėvystės įgūdžiai, prasti santykiai poroje ir (ar) šeimoje, smurtas artimoje aplinkoje, prieraišumo stoka, prastos gyvenimo sąlygos, žema savivertė, žemas psichologinis atsparumas, vaiko nepriežiūra, nepageidaujami nėštumai.</w:t>
                      </w:r>
                    </w:p>
                  </w:sdtContent>
                </w:sdt>
              </w:sdtContent>
            </w:sdt>
            <w:sdt>
              <w:sdtPr>
                <w:alias w:val="19 pr. 12 p."/>
                <w:tag w:val="part_199347ce52b54bffa08adf12b559277f"/>
                <w:lock w:val="sdtLocked"/>
                <w:richText/>
              </w:sdtPr>
              <w:sdtContent>
                <w:p>
                  <w:pPr>
                    <w:ind w:firstLine="1001"/>
                    <w:jc w:val="both"/>
                    <w:rPr>
                      <w:szCs w:val="24"/>
                      <w:lang w:eastAsia="lt-LT"/>
                    </w:rPr>
                  </w:pPr>
                  <w:sdt>
                    <w:sdtPr>
                      <w:alias w:val="Numeris"/>
                      <w:tag w:val="nr_199347ce52b54bffa08adf12b559277f"/>
                      <w:lock w:val="sdtLocked"/>
                      <w:richText/>
                    </w:sdtPr>
                    <w:sdtContent>
                      <w:r>
                        <w:rPr>
                          <w:szCs w:val="24"/>
                        </w:rPr>
                        <w:t>12</w:t>
                      </w:r>
                    </w:sdtContent>
                  </w:sdt>
                  <w:r>
                    <w:rPr>
                      <w:szCs w:val="24"/>
                    </w:rPr>
                    <w:t xml:space="preserve">. Šeimos gydytojas arba šeimos gydytojo komandos narys (pvz., slaugytojas, akušeris, socialinis darbuotojas), nustatęs  nėščiajai ar pagimdžiusiai moteriai padidintus socialinius poreikius ir (ar) rizikos veiksnius, dėl kurių gali būti teikiamos šeimų lankymo paslaugos, supažindina ją su šeimų lankymo paslaugų teikimo principais ir pasiūlo galimybę gauti šeimų lankymo paslaugas. Jeigu pacientė atsisako gauti šeimų lankymo paslaugas, jos atsisakymas įforminamas raštu ASPĮ vadovo nustatyta tvarka. Jeigu pacientė sutinka gauti šeimų lankymo paslaugas, šeimos gydytojas ar jo komandos narys, asmens sveikatos istorijoje (forma Nr. 025) </w:t>
                  </w:r>
                  <w:r>
                    <w:rPr>
                      <w:szCs w:val="24"/>
                      <w:lang w:eastAsia="lt-LT"/>
                    </w:rPr>
                    <w:t xml:space="preserve">įrašo rekomendaciją </w:t>
                  </w:r>
                  <w:r>
                    <w:rPr>
                      <w:szCs w:val="24"/>
                    </w:rPr>
                    <w:t>šeimų lankymo paslaugos teikimo</w:t>
                  </w:r>
                  <w:r>
                    <w:rPr>
                      <w:szCs w:val="24"/>
                      <w:lang w:eastAsia="lt-LT"/>
                    </w:rPr>
                    <w:t xml:space="preserve">. PAASP įstaigos paskirtas atsakingas asmuo  informuoja </w:t>
                  </w:r>
                  <w:r>
                    <w:rPr>
                      <w:szCs w:val="24"/>
                    </w:rPr>
                    <w:t>šeimų lankymo paslaugas</w:t>
                  </w:r>
                  <w:r>
                    <w:rPr>
                      <w:szCs w:val="24"/>
                      <w:lang w:eastAsia="lt-LT"/>
                    </w:rPr>
                    <w:t> teikiančią įstaigą apie naują pacientę, nukreiptą šeimų lankymo paslaugų gauti.</w:t>
                  </w:r>
                </w:p>
              </w:sdtContent>
            </w:sdt>
            <w:sdt>
              <w:sdtPr>
                <w:alias w:val="19 pr. 13 p."/>
                <w:tag w:val="part_6f9419f3dd94468b9668bc9150540c0c"/>
                <w:lock w:val="sdtLocked"/>
                <w:richText/>
              </w:sdtPr>
              <w:sdtContent>
                <w:p>
                  <w:pPr>
                    <w:ind w:firstLine="709"/>
                    <w:jc w:val="both"/>
                    <w:rPr>
                      <w:szCs w:val="24"/>
                      <w:lang w:eastAsia="lt-LT"/>
                    </w:rPr>
                  </w:pPr>
                  <w:sdt>
                    <w:sdtPr>
                      <w:alias w:val="Numeris"/>
                      <w:tag w:val="nr_6f9419f3dd94468b9668bc9150540c0c"/>
                      <w:lock w:val="sdtLocked"/>
                      <w:richText/>
                    </w:sdtPr>
                    <w:sdtContent>
                      <w:r>
                        <w:rPr>
                          <w:szCs w:val="24"/>
                          <w:lang w:eastAsia="lt-LT"/>
                        </w:rPr>
                        <w:t>13</w:t>
                      </w:r>
                    </w:sdtContent>
                  </w:sdt>
                  <w:r>
                    <w:rPr>
                      <w:szCs w:val="24"/>
                      <w:lang w:eastAsia="lt-LT"/>
                    </w:rPr>
                    <w:t xml:space="preserve">. Šeimų lankymo specialistas, gavęs informaciją apie naują šeimų lankymo paslaugų poreikį turinčią pacientę, aktyviai susisiekia su ja, įvertina visus socialinius poreikius, rizikos faktorius ir priima sprendimą teikti arba neteikti šeimų lankymo paslaugas. </w:t>
                  </w:r>
                </w:p>
              </w:sdtContent>
            </w:sdt>
            <w:sdt>
              <w:sdtPr>
                <w:alias w:val="19 pr. 14 p."/>
                <w:tag w:val="part_cf1133818dcb4d90885dd1ede861372f"/>
                <w:lock w:val="sdtLocked"/>
                <w:richText/>
              </w:sdtPr>
              <w:sdtContent>
                <w:p>
                  <w:pPr>
                    <w:ind w:firstLine="709"/>
                    <w:jc w:val="both"/>
                    <w:rPr>
                      <w:szCs w:val="24"/>
                      <w:lang w:eastAsia="lt-LT"/>
                    </w:rPr>
                  </w:pPr>
                  <w:sdt>
                    <w:sdtPr>
                      <w:alias w:val="Numeris"/>
                      <w:tag w:val="nr_cf1133818dcb4d90885dd1ede861372f"/>
                      <w:lock w:val="sdtLocked"/>
                      <w:richText/>
                    </w:sdtPr>
                    <w:sdtContent>
                      <w:r>
                        <w:rPr>
                          <w:szCs w:val="24"/>
                          <w:lang w:eastAsia="lt-LT"/>
                        </w:rPr>
                        <w:t>14</w:t>
                      </w:r>
                    </w:sdtContent>
                  </w:sdt>
                  <w:r>
                    <w:rPr>
                      <w:szCs w:val="24"/>
                      <w:lang w:eastAsia="lt-LT"/>
                    </w:rPr>
                    <w:t>. Šeimų lankymo paslaugos gali būti pradėtos teikti bet kuriuo nėštumo laikotarpiu arba auginant vaiką iki jam sukanka 2 metai, kai tik nustatomi Aprašo 13 punkte išvardyti veiksniai. Rekomenduojama kuo anksčiau pradėti teikti šeimų lankymo paslaugas ir nuolat palaikyti pacientės motyvaciją gauti visas pagal kalendorinį planą numatytas paslaugas iki vaikui sukaks 2 metai.</w:t>
                  </w:r>
                </w:p>
              </w:sdtContent>
            </w:sdt>
            <w:sdt>
              <w:sdtPr>
                <w:alias w:val="19 pr. 15 p."/>
                <w:tag w:val="part_f35b5f0c953648f0a099fb340dcc3ee1"/>
                <w:lock w:val="sdtLocked"/>
                <w:richText/>
              </w:sdtPr>
              <w:sdtContent>
                <w:p>
                  <w:pPr>
                    <w:ind w:firstLine="709"/>
                    <w:jc w:val="both"/>
                    <w:rPr>
                      <w:szCs w:val="24"/>
                      <w:lang w:eastAsia="lt-LT"/>
                    </w:rPr>
                  </w:pPr>
                  <w:sdt>
                    <w:sdtPr>
                      <w:alias w:val="Numeris"/>
                      <w:tag w:val="nr_f35b5f0c953648f0a099fb340dcc3ee1"/>
                      <w:lock w:val="sdtLocked"/>
                      <w:richText/>
                    </w:sdtPr>
                    <w:sdtContent>
                      <w:r>
                        <w:rPr>
                          <w:szCs w:val="24"/>
                          <w:lang w:eastAsia="lt-LT"/>
                        </w:rPr>
                        <w:t>15</w:t>
                      </w:r>
                    </w:sdtContent>
                  </w:sdt>
                  <w:r>
                    <w:rPr>
                      <w:szCs w:val="24"/>
                      <w:lang w:eastAsia="lt-LT"/>
                    </w:rPr>
                    <w:t xml:space="preserve">. Kiekviena šeimų lankymo paslauga teikiama atitinkamu nėštumo ar vaiko auginimo laikotarpiu (toliau – pagal kalendorinį planą), siekiant suteikti aktualią informaciją, įvertinti moters ir vaiko sveikatos būklę, jai kylančias rizikas, pagal galimybes sumažinti neigiamą fizinės ir socialinės aplinkos įtaką moters bei vaiko sveikatai. Jeigu šeimų lankymo paslaugos pradedamos teikti vėliau, nei numatyta pagal kalendorinį planą, šeimų lankymo specialistas įvertina, kiek papildomų paslaugų būtina suteikti („pasivyti kalendorių“), kad moteris ir šeima turėtų pakankamai informacijos apie nėštumo,  gimdymo, pogimdyminio laikotarpio eigą, vaiko auginimo ypatumus, o šeimų lankymo specialistas pakankamai pažintų šeimos aplinką, moters ir (ar) vaiko sveikatos būklę ir jai įtakos turinčius rizikos veiksnius. </w:t>
                  </w:r>
                  <w:r>
                    <w:t xml:space="preserve">Po paslaugos suteikimo suteiktų paslaugų turinys yra aprašomas  ir pateikiamas į ESPBI informacinę sistemą. Medicinos dokumentuose taip pat turi būti pateikiamas paslaugos gavėjo sutikimas (prašymas) gauti šias paslaugas, kontaktiniai</w:t>
                  </w:r>
                  <w:r>
                    <w:rPr>
                      <w:b/>
                      <w:bCs/>
                    </w:rPr>
                    <w:t xml:space="preserve"> </w:t>
                  </w:r>
                  <w:r>
                    <w:t xml:space="preserve">paslaugų gavėjų duomenys, sutikimas dėl šių paslaugų teikimo ir apmokėjimo priežiūrą vykdančių institucijų  kreipimosi paslaugų teikimo priežiūros tikslu.</w:t>
                  </w:r>
                </w:p>
              </w:sdtContent>
            </w:sdt>
            <w:sdt>
              <w:sdtPr>
                <w:alias w:val="19 pr. 16 p."/>
                <w:tag w:val="part_7165377728b445139745098d8d10afc4"/>
                <w:lock w:val="sdtLocked"/>
                <w:richText/>
              </w:sdtPr>
              <w:sdtContent>
                <w:p>
                  <w:pPr>
                    <w:ind w:firstLine="709"/>
                    <w:jc w:val="both"/>
                    <w:rPr>
                      <w:szCs w:val="24"/>
                      <w:lang w:eastAsia="lt-LT"/>
                    </w:rPr>
                  </w:pPr>
                  <w:sdt>
                    <w:sdtPr>
                      <w:alias w:val="Numeris"/>
                      <w:tag w:val="nr_7165377728b445139745098d8d10afc4"/>
                      <w:lock w:val="sdtLocked"/>
                      <w:richText/>
                    </w:sdtPr>
                    <w:sdtContent>
                      <w:r>
                        <w:rPr>
                          <w:szCs w:val="24"/>
                          <w:lang w:eastAsia="lt-LT"/>
                        </w:rPr>
                        <w:t>16</w:t>
                      </w:r>
                    </w:sdtContent>
                  </w:sdt>
                  <w:r>
                    <w:rPr>
                      <w:szCs w:val="24"/>
                      <w:lang w:eastAsia="lt-LT"/>
                    </w:rPr>
                    <w:t>. Šeimų lankymo specialistas kiekvieno kontaktinio apsilankymo šeimoje metu pagal poreikį įvertina motinos ir (ar) vaiko sveikatos būklę, atlieka higienos ar slaugos procedūras (pvz., iššutimų higieną, žaizdos tvarstymą), naudodamas Aprašo 6 ir 8 punktuose išvardytas priemones (prietaisus). Šeimų lankymo paslaugos teikiamos pagal kalendorinį planą:</w:t>
                  </w:r>
                </w:p>
                <w:p>
                  <w:pPr>
                    <w:ind w:firstLine="709"/>
                    <w:jc w:val="both"/>
                    <w:rPr>
                      <w:szCs w:val="24"/>
                      <w:lang w:eastAsia="lt-LT"/>
                    </w:rPr>
                  </w:pPr>
                </w:p>
                <w:tbl>
                  <w:tblPr>
                    <w:tblW w:w="99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76"/>
                    <w:gridCol w:w="1445"/>
                    <w:gridCol w:w="3018"/>
                    <w:gridCol w:w="4323"/>
                  </w:tblGrid>
                  <w:tr>
                    <w:tc>
                      <w:tcPr>
                        <w:tcW w:w="117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Paslaugos Nr.</w:t>
                        </w:r>
                      </w:p>
                    </w:tc>
                    <w:tc>
                      <w:tcPr>
                        <w:tcW w:w="1445"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Paslaugos suteikimo terminas</w:t>
                        </w:r>
                      </w:p>
                    </w:tc>
                    <w:tc>
                      <w:tcPr>
                        <w:tcW w:w="0" w:type="auto"/>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Paslaugos teikimo turinys (apibūdinama, ką siekiama atlikti, kokius įgūdžius įtvirtinti ir pan.)</w:t>
                        </w:r>
                      </w:p>
                    </w:tc>
                    <w:tc>
                      <w:tcPr>
                        <w:tcW w:w="0" w:type="auto"/>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Klausimai ar temos, kurios aptariamos su šeima</w:t>
                        </w:r>
                      </w:p>
                    </w:tc>
                  </w:tr>
                  <w:tr>
                    <w:tc>
                      <w:tcPr>
                        <w:tcW w:w="0" w:type="auto"/>
                        <w:gridSpan w:val="4"/>
                        <w:tcBorders>
                          <w:top w:val="single" w:sz="4" w:space="0" w:color="auto"/>
                          <w:left w:val="single" w:sz="4" w:space="0" w:color="auto"/>
                          <w:bottom w:val="single" w:sz="4" w:space="0" w:color="auto"/>
                          <w:right w:val="single" w:sz="4" w:space="0" w:color="auto"/>
                        </w:tcBorders>
                        <w:vAlign w:val="center"/>
                        <w:hideMark/>
                      </w:tcPr>
                      <w:p>
                        <w:pPr>
                          <w:jc w:val="center"/>
                          <w:rPr>
                            <w:b/>
                            <w:bCs/>
                            <w:szCs w:val="24"/>
                          </w:rPr>
                        </w:pPr>
                        <w:r>
                          <w:rPr>
                            <w:b/>
                            <w:bCs/>
                            <w:szCs w:val="24"/>
                          </w:rPr>
                          <w:t>Nėštumo laikotarpis ne mažiau 6 ir n</w:t>
                        </w:r>
                        <w:r>
                          <w:rPr>
                            <w:b/>
                            <w:bCs/>
                          </w:rPr>
                          <w:t>e daugiau</w:t>
                        </w:r>
                        <w:r>
                          <w:rPr>
                            <w:b/>
                            <w:bCs/>
                            <w:szCs w:val="24"/>
                          </w:rPr>
                          <w:t xml:space="preserve"> 14 paslaugų</w:t>
                        </w:r>
                      </w:p>
                    </w:tc>
                  </w:tr>
                  <w:tr>
                    <w:tc>
                      <w:tcPr>
                        <w:tcW w:w="117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w:t>
                        </w:r>
                      </w:p>
                    </w:tc>
                    <w:tc>
                      <w:tcPr>
                        <w:tcW w:w="1445"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Iki 12 sav.</w:t>
                        </w:r>
                      </w:p>
                    </w:tc>
                    <w:tc>
                      <w:tcPr>
                        <w:tcW w:w="0" w:type="auto"/>
                        <w:tcBorders>
                          <w:top w:val="single" w:sz="4" w:space="0" w:color="auto"/>
                          <w:left w:val="single" w:sz="4" w:space="0" w:color="auto"/>
                          <w:bottom w:val="single" w:sz="4" w:space="0" w:color="auto"/>
                          <w:right w:val="single" w:sz="4" w:space="0" w:color="auto"/>
                        </w:tcBorders>
                        <w:hideMark/>
                      </w:tcPr>
                      <w:p>
                        <w:pPr>
                          <w:tabs>
                            <w:tab w:val="left" w:pos="346"/>
                          </w:tabs>
                          <w:ind w:firstLine="106"/>
                          <w:jc w:val="both"/>
                          <w:rPr>
                            <w:szCs w:val="24"/>
                          </w:rPr>
                        </w:pPr>
                        <w:r>
                          <w:rPr>
                            <w:szCs w:val="24"/>
                          </w:rPr>
                          <w:t></w:t>
                          <w:tab/>
                          <w:t>Nėščiosios sveikatos vertinimas.</w:t>
                        </w:r>
                      </w:p>
                      <w:p>
                        <w:pPr>
                          <w:tabs>
                            <w:tab w:val="left" w:pos="346"/>
                          </w:tabs>
                          <w:ind w:firstLine="106"/>
                          <w:jc w:val="both"/>
                          <w:rPr>
                            <w:szCs w:val="24"/>
                          </w:rPr>
                        </w:pPr>
                        <w:r>
                          <w:rPr>
                            <w:szCs w:val="24"/>
                          </w:rPr>
                          <w:t></w:t>
                          <w:tab/>
                          <w:t>Supažindinimas su nėščiųjų sveikatos priežiūra, tyrimais.</w:t>
                        </w:r>
                      </w:p>
                      <w:p>
                        <w:pPr>
                          <w:tabs>
                            <w:tab w:val="left" w:pos="346"/>
                          </w:tabs>
                          <w:ind w:firstLine="106"/>
                          <w:jc w:val="both"/>
                          <w:rPr>
                            <w:szCs w:val="24"/>
                          </w:rPr>
                        </w:pPr>
                        <w:r>
                          <w:rPr>
                            <w:szCs w:val="24"/>
                          </w:rPr>
                          <w:t></w:t>
                          <w:tab/>
                          <w:t>Pateikti informaciją apie rizikingus nėštumus ir socialines garantijas.</w:t>
                        </w:r>
                      </w:p>
                      <w:p>
                        <w:pPr>
                          <w:tabs>
                            <w:tab w:val="left" w:pos="346"/>
                          </w:tabs>
                          <w:ind w:firstLine="106"/>
                          <w:jc w:val="both"/>
                          <w:rPr>
                            <w:szCs w:val="24"/>
                          </w:rPr>
                        </w:pPr>
                        <w:r>
                          <w:rPr>
                            <w:szCs w:val="24"/>
                          </w:rPr>
                          <w:t></w:t>
                          <w:tab/>
                          <w:t>Pildo klausimyną „Sociodemografiniai duomenys” (Aprašo priedas Nr. 1).</w:t>
                        </w:r>
                      </w:p>
                      <w:p>
                        <w:pPr>
                          <w:tabs>
                            <w:tab w:val="left" w:pos="346"/>
                          </w:tabs>
                          <w:ind w:firstLine="106"/>
                          <w:jc w:val="both"/>
                          <w:rPr>
                            <w:strike/>
                            <w:szCs w:val="24"/>
                          </w:rPr>
                        </w:pPr>
                        <w:r>
                          <w:rPr>
                            <w:strike/>
                            <w:szCs w:val="24"/>
                          </w:rPr>
                          <w:t></w:t>
                          <w:tab/>
                        </w:r>
                        <w:r>
                          <w:rPr>
                            <w:szCs w:val="24"/>
                          </w:rPr>
                          <w:t>Pildo klausimyną “Nėščiosios sveikata (1 vizitas)” (Aprašo priedas Nr. 2).</w:t>
                        </w:r>
                      </w:p>
                    </w:tc>
                    <w:tc>
                      <w:tcPr>
                        <w:tcW w:w="0" w:type="auto"/>
                        <w:tcBorders>
                          <w:top w:val="single" w:sz="4" w:space="0" w:color="auto"/>
                          <w:left w:val="single" w:sz="4" w:space="0" w:color="auto"/>
                          <w:bottom w:val="single" w:sz="4" w:space="0" w:color="auto"/>
                          <w:right w:val="single" w:sz="4" w:space="0" w:color="auto"/>
                        </w:tcBorders>
                      </w:tcPr>
                      <w:p>
                        <w:pPr>
                          <w:tabs>
                            <w:tab w:val="left" w:pos="402"/>
                          </w:tabs>
                          <w:ind w:firstLine="215"/>
                          <w:jc w:val="both"/>
                          <w:rPr>
                            <w:szCs w:val="24"/>
                          </w:rPr>
                        </w:pPr>
                        <w:r>
                          <w:rPr>
                            <w:szCs w:val="24"/>
                          </w:rPr>
                          <w:t></w:t>
                          <w:tab/>
                          <w:t>Nėščiosios sveikata ir galimybė gauti pagal sveikatos būklę reikiamas asmens sveikatos priežiūros paslaugas.</w:t>
                        </w:r>
                      </w:p>
                      <w:p>
                        <w:pPr>
                          <w:tabs>
                            <w:tab w:val="left" w:pos="402"/>
                          </w:tabs>
                          <w:ind w:firstLine="215"/>
                          <w:jc w:val="both"/>
                          <w:rPr>
                            <w:szCs w:val="24"/>
                          </w:rPr>
                        </w:pPr>
                        <w:r>
                          <w:rPr>
                            <w:szCs w:val="24"/>
                          </w:rPr>
                          <w:t></w:t>
                          <w:tab/>
                          <w:t>Nėščiųjų sveikatos priežiūra, privalomi tyrimai, rizikingi nėštumai.</w:t>
                        </w:r>
                      </w:p>
                      <w:p>
                        <w:pPr>
                          <w:tabs>
                            <w:tab w:val="left" w:pos="402"/>
                          </w:tabs>
                          <w:ind w:left="352" w:firstLine="215"/>
                          <w:rPr>
                            <w:szCs w:val="24"/>
                          </w:rPr>
                        </w:pPr>
                      </w:p>
                    </w:tc>
                  </w:tr>
                  <w:tr>
                    <w:tc>
                      <w:tcPr>
                        <w:tcW w:w="117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2</w:t>
                        </w:r>
                      </w:p>
                    </w:tc>
                    <w:tc>
                      <w:tcPr>
                        <w:tcW w:w="1445" w:type="dxa"/>
                        <w:vMerge w:val="restart"/>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12 - 16 sav.</w:t>
                        </w:r>
                      </w:p>
                    </w:tc>
                    <w:tc>
                      <w:tcPr>
                        <w:tcW w:w="0" w:type="auto"/>
                        <w:tcBorders>
                          <w:top w:val="single" w:sz="4" w:space="0" w:color="auto"/>
                          <w:left w:val="single" w:sz="4" w:space="0" w:color="auto"/>
                          <w:bottom w:val="single" w:sz="4" w:space="0" w:color="auto"/>
                          <w:right w:val="single" w:sz="4" w:space="0" w:color="auto"/>
                        </w:tcBorders>
                        <w:hideMark/>
                      </w:tcPr>
                      <w:p>
                        <w:pPr>
                          <w:tabs>
                            <w:tab w:val="left" w:pos="361"/>
                          </w:tabs>
                          <w:ind w:firstLine="106"/>
                          <w:jc w:val="both"/>
                          <w:rPr>
                            <w:szCs w:val="24"/>
                          </w:rPr>
                        </w:pPr>
                        <w:r>
                          <w:rPr>
                            <w:szCs w:val="24"/>
                          </w:rPr>
                          <w:t></w:t>
                          <w:tab/>
                          <w:t>Pildo klausimyną “Nėščiosios elgesys ir gyvensena nėštumo metu” (Aprašo priedas Nr. 3).</w:t>
                        </w:r>
                      </w:p>
                    </w:tc>
                    <w:tc>
                      <w:tcPr>
                        <w:tcW w:w="0" w:type="auto"/>
                        <w:tcBorders>
                          <w:top w:val="single" w:sz="4" w:space="0" w:color="auto"/>
                          <w:left w:val="single" w:sz="4" w:space="0" w:color="auto"/>
                          <w:bottom w:val="single" w:sz="4" w:space="0" w:color="auto"/>
                          <w:right w:val="single" w:sz="4" w:space="0" w:color="auto"/>
                        </w:tcBorders>
                        <w:hideMark/>
                      </w:tcPr>
                      <w:p>
                        <w:pPr>
                          <w:tabs>
                            <w:tab w:val="left" w:pos="402"/>
                          </w:tabs>
                          <w:spacing w:line="256" w:lineRule="auto"/>
                          <w:ind w:left="118" w:firstLine="142"/>
                          <w:jc w:val="both"/>
                          <w:rPr>
                            <w:rFonts w:eastAsia="CIDFont+F4"/>
                            <w:szCs w:val="24"/>
                          </w:rPr>
                        </w:pPr>
                        <w:r>
                          <w:rPr>
                            <w:rFonts w:eastAsia="CIDFont+F4"/>
                            <w:szCs w:val="24"/>
                          </w:rPr>
                          <w:t></w:t>
                          <w:tab/>
                          <w:t>Priklausomybės.</w:t>
                        </w:r>
                      </w:p>
                      <w:p>
                        <w:pPr>
                          <w:tabs>
                            <w:tab w:val="left" w:pos="402"/>
                          </w:tabs>
                          <w:spacing w:line="256" w:lineRule="auto"/>
                          <w:ind w:left="118" w:firstLine="142"/>
                          <w:jc w:val="both"/>
                          <w:rPr>
                            <w:rFonts w:eastAsia="CIDFont+F4"/>
                            <w:szCs w:val="24"/>
                          </w:rPr>
                        </w:pPr>
                        <w:r>
                          <w:rPr>
                            <w:rFonts w:eastAsia="CIDFont+F4"/>
                            <w:szCs w:val="24"/>
                          </w:rPr>
                          <w:t></w:t>
                          <w:tab/>
                        </w:r>
                        <w:r>
                          <w:rPr>
                            <w:rFonts w:eastAsia="CIDFont+F3"/>
                            <w:szCs w:val="24"/>
                          </w:rPr>
                          <w:t>Rizikingos elgsenos apraiškos.</w:t>
                        </w:r>
                      </w:p>
                      <w:p>
                        <w:pPr>
                          <w:tabs>
                            <w:tab w:val="left" w:pos="402"/>
                          </w:tabs>
                          <w:spacing w:line="256" w:lineRule="auto"/>
                          <w:ind w:left="118" w:firstLine="142"/>
                          <w:jc w:val="both"/>
                          <w:rPr>
                            <w:rFonts w:eastAsia="CIDFont+F3"/>
                            <w:szCs w:val="24"/>
                          </w:rPr>
                        </w:pPr>
                        <w:r>
                          <w:rPr>
                            <w:rFonts w:eastAsia="CIDFont+F3"/>
                            <w:szCs w:val="24"/>
                          </w:rPr>
                          <w:t></w:t>
                          <w:tab/>
                          <w:t>Elgesio ir emocijų sutrikimai.</w:t>
                        </w:r>
                      </w:p>
                      <w:p>
                        <w:pPr>
                          <w:tabs>
                            <w:tab w:val="left" w:pos="402"/>
                          </w:tabs>
                          <w:spacing w:line="256" w:lineRule="auto"/>
                          <w:ind w:left="118" w:firstLine="142"/>
                          <w:jc w:val="both"/>
                          <w:rPr>
                            <w:rFonts w:eastAsia="CIDFont+F3"/>
                            <w:szCs w:val="24"/>
                          </w:rPr>
                        </w:pPr>
                        <w:r>
                          <w:rPr>
                            <w:rFonts w:eastAsia="CIDFont+F3"/>
                            <w:szCs w:val="24"/>
                          </w:rPr>
                          <w:t></w:t>
                          <w:tab/>
                          <w:t>Seksualinis elgesys.</w:t>
                        </w:r>
                      </w:p>
                      <w:p>
                        <w:pPr>
                          <w:tabs>
                            <w:tab w:val="left" w:pos="402"/>
                          </w:tabs>
                          <w:spacing w:line="256" w:lineRule="auto"/>
                          <w:ind w:left="118" w:firstLine="142"/>
                          <w:jc w:val="both"/>
                          <w:rPr>
                            <w:rFonts w:eastAsia="CIDFont+F3"/>
                            <w:szCs w:val="24"/>
                          </w:rPr>
                        </w:pPr>
                        <w:r>
                          <w:rPr>
                            <w:rFonts w:eastAsia="CIDFont+F3"/>
                            <w:szCs w:val="24"/>
                          </w:rPr>
                          <w:t></w:t>
                          <w:tab/>
                        </w:r>
                        <w:r>
                          <w:rPr>
                            <w:bCs/>
                            <w:szCs w:val="24"/>
                          </w:rPr>
                          <w:t>Tinkama mityba.</w:t>
                        </w:r>
                      </w:p>
                      <w:p>
                        <w:pPr>
                          <w:tabs>
                            <w:tab w:val="left" w:pos="402"/>
                          </w:tabs>
                          <w:ind w:left="118" w:firstLine="142"/>
                          <w:jc w:val="both"/>
                          <w:rPr>
                            <w:szCs w:val="24"/>
                          </w:rPr>
                        </w:pPr>
                        <w:r>
                          <w:rPr>
                            <w:szCs w:val="24"/>
                          </w:rPr>
                          <w:t></w:t>
                          <w:tab/>
                        </w:r>
                        <w:r>
                          <w:rPr>
                            <w:bCs/>
                            <w:szCs w:val="24"/>
                          </w:rPr>
                          <w:t>Fizinis aktyvumas</w:t>
                        </w:r>
                        <w:r>
                          <w:rPr>
                            <w:szCs w:val="24"/>
                          </w:rPr>
                          <w:t>.</w:t>
                        </w:r>
                      </w:p>
                    </w:tc>
                  </w:tr>
                  <w:tr>
                    <w:tc>
                      <w:tcPr>
                        <w:tcW w:w="117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3</w:t>
                        </w: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szCs w:val="24"/>
                          </w:rPr>
                        </w:pPr>
                      </w:p>
                    </w:tc>
                    <w:tc>
                      <w:tcPr>
                        <w:tcW w:w="0" w:type="auto"/>
                        <w:tcBorders>
                          <w:top w:val="single" w:sz="4" w:space="0" w:color="auto"/>
                          <w:left w:val="single" w:sz="4" w:space="0" w:color="auto"/>
                          <w:bottom w:val="single" w:sz="4" w:space="0" w:color="auto"/>
                          <w:right w:val="single" w:sz="4" w:space="0" w:color="auto"/>
                        </w:tcBorders>
                      </w:tcPr>
                      <w:p>
                        <w:pPr>
                          <w:tabs>
                            <w:tab w:val="left" w:pos="361"/>
                          </w:tabs>
                          <w:ind w:firstLine="106"/>
                          <w:jc w:val="both"/>
                          <w:rPr>
                            <w:szCs w:val="24"/>
                          </w:rPr>
                        </w:pPr>
                        <w:r>
                          <w:rPr>
                            <w:szCs w:val="24"/>
                          </w:rPr>
                          <w:t></w:t>
                          <w:tab/>
                          <w:t>Pildo klausimyną “Gyvenimo sąlygų vertinimas” (Aprašo priedas Nr. 4).</w:t>
                        </w:r>
                      </w:p>
                      <w:p>
                        <w:pPr>
                          <w:tabs>
                            <w:tab w:val="left" w:pos="361"/>
                          </w:tabs>
                          <w:ind w:firstLine="106"/>
                          <w:rPr>
                            <w:szCs w:val="24"/>
                          </w:rPr>
                        </w:pPr>
                      </w:p>
                    </w:tc>
                    <w:tc>
                      <w:tcPr>
                        <w:tcW w:w="0" w:type="auto"/>
                        <w:tcBorders>
                          <w:top w:val="single" w:sz="4" w:space="0" w:color="auto"/>
                          <w:left w:val="single" w:sz="4" w:space="0" w:color="auto"/>
                          <w:bottom w:val="single" w:sz="4" w:space="0" w:color="auto"/>
                          <w:right w:val="single" w:sz="4" w:space="0" w:color="auto"/>
                        </w:tcBorders>
                        <w:hideMark/>
                      </w:tcPr>
                      <w:p>
                        <w:pPr>
                          <w:tabs>
                            <w:tab w:val="left" w:pos="402"/>
                          </w:tabs>
                          <w:ind w:left="23" w:firstLine="215"/>
                          <w:jc w:val="both"/>
                          <w:rPr>
                            <w:szCs w:val="24"/>
                          </w:rPr>
                        </w:pPr>
                        <w:r>
                          <w:rPr>
                            <w:szCs w:val="24"/>
                          </w:rPr>
                          <w:t></w:t>
                          <w:tab/>
                          <w:t>Būsto, aplinkos, reikalingų daiktų ir priemonių vaiko priežiūrai vertinimas.</w:t>
                        </w:r>
                      </w:p>
                      <w:p>
                        <w:pPr>
                          <w:tabs>
                            <w:tab w:val="left" w:pos="402"/>
                          </w:tabs>
                          <w:spacing w:line="256" w:lineRule="auto"/>
                          <w:ind w:left="23" w:firstLine="215"/>
                          <w:jc w:val="both"/>
                          <w:rPr>
                            <w:szCs w:val="24"/>
                          </w:rPr>
                        </w:pPr>
                        <w:r>
                          <w:rPr>
                            <w:szCs w:val="24"/>
                          </w:rPr>
                          <w:t></w:t>
                          <w:tab/>
                          <w:t>Gyvenamosios aplinkos pritaikymas saugiam vaiko auginimui.</w:t>
                        </w:r>
                      </w:p>
                    </w:tc>
                  </w:tr>
                  <w:tr>
                    <w:tc>
                      <w:tcPr>
                        <w:tcW w:w="117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4</w:t>
                        </w:r>
                      </w:p>
                    </w:tc>
                    <w:tc>
                      <w:tcPr>
                        <w:tcW w:w="1445" w:type="dxa"/>
                        <w:vMerge w:val="restart"/>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16 -20 sav.</w:t>
                        </w:r>
                      </w:p>
                    </w:tc>
                    <w:tc>
                      <w:tcPr>
                        <w:tcW w:w="0" w:type="auto"/>
                        <w:tcBorders>
                          <w:top w:val="single" w:sz="4" w:space="0" w:color="auto"/>
                          <w:left w:val="single" w:sz="4" w:space="0" w:color="auto"/>
                          <w:bottom w:val="single" w:sz="4" w:space="0" w:color="auto"/>
                          <w:right w:val="single" w:sz="4" w:space="0" w:color="auto"/>
                        </w:tcBorders>
                        <w:hideMark/>
                      </w:tcPr>
                      <w:p>
                        <w:pPr>
                          <w:tabs>
                            <w:tab w:val="left" w:pos="361"/>
                          </w:tabs>
                          <w:ind w:firstLine="106"/>
                          <w:rPr>
                            <w:szCs w:val="24"/>
                          </w:rPr>
                        </w:pPr>
                        <w:r>
                          <w:rPr>
                            <w:szCs w:val="24"/>
                          </w:rPr>
                          <w:t></w:t>
                          <w:tab/>
                          <w:t xml:space="preserve">Pildo klausimyną “Nėščiosios šeimos gyvenimo patirtys” </w:t>
                        </w:r>
                      </w:p>
                      <w:p>
                        <w:pPr>
                          <w:tabs>
                            <w:tab w:val="left" w:pos="361"/>
                          </w:tabs>
                          <w:ind w:firstLine="106"/>
                          <w:rPr>
                            <w:szCs w:val="24"/>
                          </w:rPr>
                        </w:pPr>
                        <w:r>
                          <w:rPr>
                            <w:szCs w:val="24"/>
                          </w:rPr>
                          <w:t>(Aprašo priedas Nr. 5).</w:t>
                        </w:r>
                      </w:p>
                    </w:tc>
                    <w:tc>
                      <w:tcPr>
                        <w:tcW w:w="0" w:type="auto"/>
                        <w:tcBorders>
                          <w:top w:val="single" w:sz="4" w:space="0" w:color="auto"/>
                          <w:left w:val="single" w:sz="4" w:space="0" w:color="auto"/>
                          <w:bottom w:val="single" w:sz="4" w:space="0" w:color="auto"/>
                          <w:right w:val="single" w:sz="4" w:space="0" w:color="auto"/>
                        </w:tcBorders>
                        <w:hideMark/>
                      </w:tcPr>
                      <w:p>
                        <w:pPr>
                          <w:tabs>
                            <w:tab w:val="left" w:pos="402"/>
                          </w:tabs>
                          <w:ind w:firstLine="125"/>
                          <w:jc w:val="both"/>
                          <w:rPr>
                            <w:szCs w:val="24"/>
                          </w:rPr>
                        </w:pPr>
                        <w:r>
                          <w:rPr>
                            <w:szCs w:val="24"/>
                          </w:rPr>
                          <w:t></w:t>
                          <w:tab/>
                          <w:t>Nėščiosios šeimos narių gyvenimo patirtys. Gyvenime vykusiu konfliktų sprendimo būdai.</w:t>
                        </w:r>
                      </w:p>
                    </w:tc>
                  </w:tr>
                  <w:tr>
                    <w:tc>
                      <w:tcPr>
                        <w:tcW w:w="117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5</w:t>
                        </w: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szCs w:val="24"/>
                          </w:rPr>
                        </w:pPr>
                      </w:p>
                    </w:tc>
                    <w:tc>
                      <w:tcPr>
                        <w:tcW w:w="0" w:type="auto"/>
                        <w:tcBorders>
                          <w:top w:val="single" w:sz="4" w:space="0" w:color="auto"/>
                          <w:left w:val="single" w:sz="4" w:space="0" w:color="auto"/>
                          <w:bottom w:val="single" w:sz="4" w:space="0" w:color="auto"/>
                          <w:right w:val="single" w:sz="4" w:space="0" w:color="auto"/>
                        </w:tcBorders>
                        <w:hideMark/>
                      </w:tcPr>
                      <w:p>
                        <w:pPr>
                          <w:tabs>
                            <w:tab w:val="left" w:pos="361"/>
                          </w:tabs>
                          <w:ind w:firstLine="106"/>
                          <w:rPr>
                            <w:szCs w:val="24"/>
                          </w:rPr>
                        </w:pPr>
                        <w:r>
                          <w:rPr>
                            <w:szCs w:val="24"/>
                          </w:rPr>
                          <w:t></w:t>
                          <w:tab/>
                          <w:t>Supažindinti su akušerijos paslaugas ir sveikatos priežiūros paslaugas vaikams teikiančiomis ASPĮ.</w:t>
                        </w:r>
                      </w:p>
                    </w:tc>
                    <w:tc>
                      <w:tcPr>
                        <w:tcW w:w="0" w:type="auto"/>
                        <w:tcBorders>
                          <w:top w:val="single" w:sz="4" w:space="0" w:color="auto"/>
                          <w:left w:val="single" w:sz="4" w:space="0" w:color="auto"/>
                          <w:bottom w:val="single" w:sz="4" w:space="0" w:color="auto"/>
                          <w:right w:val="single" w:sz="4" w:space="0" w:color="auto"/>
                        </w:tcBorders>
                        <w:hideMark/>
                      </w:tcPr>
                      <w:p>
                        <w:pPr>
                          <w:tabs>
                            <w:tab w:val="left" w:pos="402"/>
                          </w:tabs>
                          <w:spacing w:line="256" w:lineRule="auto"/>
                          <w:ind w:firstLine="215"/>
                          <w:jc w:val="both"/>
                          <w:rPr>
                            <w:szCs w:val="24"/>
                          </w:rPr>
                        </w:pPr>
                        <w:r>
                          <w:rPr>
                            <w:szCs w:val="24"/>
                          </w:rPr>
                          <w:t></w:t>
                          <w:tab/>
                          <w:t>Tinkamai pasirinkti ASPĮ, kurioje planuojama gimdyti, pagal nėštumo rizikos laipsnį.</w:t>
                        </w:r>
                      </w:p>
                      <w:p>
                        <w:pPr>
                          <w:tabs>
                            <w:tab w:val="left" w:pos="402"/>
                          </w:tabs>
                          <w:spacing w:line="256" w:lineRule="auto"/>
                          <w:ind w:firstLine="215"/>
                          <w:jc w:val="both"/>
                          <w:rPr>
                            <w:szCs w:val="24"/>
                          </w:rPr>
                        </w:pPr>
                        <w:r>
                          <w:rPr>
                            <w:szCs w:val="24"/>
                          </w:rPr>
                          <w:t></w:t>
                          <w:tab/>
                          <w:t>Vaiko prirašymo prie pirminės ambulatorinės sveikatos priežiūros įstaigos tvarka.</w:t>
                        </w:r>
                      </w:p>
                    </w:tc>
                  </w:tr>
                  <w:tr>
                    <w:tc>
                      <w:tcPr>
                        <w:tcW w:w="117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6</w:t>
                        </w:r>
                      </w:p>
                    </w:tc>
                    <w:tc>
                      <w:tcPr>
                        <w:tcW w:w="1445" w:type="dxa"/>
                        <w:vMerge w:val="restart"/>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20 - 24 sav.</w:t>
                        </w:r>
                      </w:p>
                    </w:tc>
                    <w:tc>
                      <w:tcPr>
                        <w:tcW w:w="0" w:type="auto"/>
                        <w:tcBorders>
                          <w:top w:val="single" w:sz="4" w:space="0" w:color="auto"/>
                          <w:left w:val="single" w:sz="4" w:space="0" w:color="auto"/>
                          <w:bottom w:val="single" w:sz="4" w:space="0" w:color="auto"/>
                          <w:right w:val="single" w:sz="4" w:space="0" w:color="auto"/>
                        </w:tcBorders>
                        <w:hideMark/>
                      </w:tcPr>
                      <w:p>
                        <w:pPr>
                          <w:rPr>
                            <w:sz w:val="8"/>
                            <w:szCs w:val="8"/>
                          </w:rPr>
                        </w:pPr>
                      </w:p>
                      <w:p>
                        <w:pPr>
                          <w:tabs>
                            <w:tab w:val="left" w:pos="451"/>
                          </w:tabs>
                          <w:ind w:left="106" w:firstLine="142"/>
                          <w:rPr>
                            <w:szCs w:val="24"/>
                          </w:rPr>
                        </w:pPr>
                        <w:r>
                          <w:rPr>
                            <w:szCs w:val="24"/>
                          </w:rPr>
                          <w:t></w:t>
                          <w:tab/>
                          <w:t>Pildo klausimyną “Artimos aplinkos požiūris į nėštumą” (Nr. 6).</w:t>
                        </w:r>
                      </w:p>
                      <w:p>
                        <w:pPr>
                          <w:rPr>
                            <w:sz w:val="8"/>
                            <w:szCs w:val="8"/>
                          </w:rPr>
                        </w:pPr>
                      </w:p>
                      <w:p>
                        <w:pPr>
                          <w:tabs>
                            <w:tab w:val="left" w:pos="451"/>
                          </w:tabs>
                          <w:ind w:left="106" w:firstLine="142"/>
                          <w:rPr>
                            <w:strike/>
                            <w:szCs w:val="24"/>
                          </w:rPr>
                        </w:pPr>
                        <w:r>
                          <w:rPr>
                            <w:strike/>
                            <w:szCs w:val="24"/>
                          </w:rPr>
                          <w:t></w:t>
                          <w:tab/>
                        </w:r>
                        <w:r>
                          <w:rPr>
                            <w:szCs w:val="24"/>
                          </w:rPr>
                          <w:t>Pildo klausimyną “Šeimos funkcionavimas” (Aprašo priedas Nr. 7).</w:t>
                        </w:r>
                      </w:p>
                    </w:tc>
                    <w:tc>
                      <w:tcPr>
                        <w:tcW w:w="0" w:type="auto"/>
                        <w:tcBorders>
                          <w:top w:val="single" w:sz="4" w:space="0" w:color="auto"/>
                          <w:left w:val="single" w:sz="4" w:space="0" w:color="auto"/>
                          <w:bottom w:val="single" w:sz="4" w:space="0" w:color="auto"/>
                          <w:right w:val="single" w:sz="4" w:space="0" w:color="auto"/>
                        </w:tcBorders>
                        <w:hideMark/>
                      </w:tcPr>
                      <w:p>
                        <w:pPr>
                          <w:tabs>
                            <w:tab w:val="left" w:pos="331"/>
                          </w:tabs>
                          <w:spacing w:line="256" w:lineRule="auto"/>
                          <w:ind w:left="23" w:firstLine="102"/>
                          <w:jc w:val="both"/>
                          <w:rPr>
                            <w:rFonts w:eastAsia="CIDFont+F3"/>
                            <w:szCs w:val="24"/>
                          </w:rPr>
                        </w:pPr>
                        <w:r>
                          <w:rPr>
                            <w:rFonts w:eastAsia="CIDFont+F3"/>
                            <w:szCs w:val="24"/>
                          </w:rPr>
                          <w:t></w:t>
                          <w:tab/>
                          <w:t>Vertinamas pačios nėščiosios požiūris į nėštumą.</w:t>
                        </w:r>
                      </w:p>
                      <w:p>
                        <w:pPr>
                          <w:tabs>
                            <w:tab w:val="left" w:pos="331"/>
                          </w:tabs>
                          <w:spacing w:line="256" w:lineRule="auto"/>
                          <w:ind w:left="23" w:firstLine="102"/>
                          <w:jc w:val="both"/>
                          <w:rPr>
                            <w:rFonts w:eastAsia="CIDFont+F3"/>
                            <w:szCs w:val="24"/>
                          </w:rPr>
                        </w:pPr>
                        <w:r>
                          <w:rPr>
                            <w:rFonts w:eastAsia="CIDFont+F3"/>
                            <w:szCs w:val="24"/>
                          </w:rPr>
                          <w:t></w:t>
                          <w:tab/>
                          <w:t xml:space="preserve">Nėščiosios partnerio požiūris į nėštumą ir palaikymas bei pagalba nėščiajai. </w:t>
                        </w:r>
                      </w:p>
                      <w:p>
                        <w:pPr>
                          <w:tabs>
                            <w:tab w:val="left" w:pos="331"/>
                          </w:tabs>
                          <w:ind w:left="23" w:firstLine="102"/>
                          <w:jc w:val="both"/>
                          <w:rPr>
                            <w:szCs w:val="24"/>
                          </w:rPr>
                        </w:pPr>
                        <w:r>
                          <w:rPr>
                            <w:szCs w:val="24"/>
                          </w:rPr>
                          <w:t></w:t>
                          <w:tab/>
                        </w:r>
                        <w:r>
                          <w:rPr>
                            <w:rFonts w:eastAsia="CIDFont+F3"/>
                            <w:szCs w:val="24"/>
                          </w:rPr>
                          <w:t>Artimosios aplinkos požiūris į nėštumą ir palaikymas nėščiajai.</w:t>
                        </w:r>
                      </w:p>
                      <w:p>
                        <w:pPr>
                          <w:tabs>
                            <w:tab w:val="left" w:pos="331"/>
                          </w:tabs>
                          <w:ind w:left="23" w:firstLine="102"/>
                          <w:jc w:val="both"/>
                          <w:rPr>
                            <w:szCs w:val="24"/>
                          </w:rPr>
                        </w:pPr>
                        <w:r>
                          <w:rPr>
                            <w:szCs w:val="24"/>
                          </w:rPr>
                          <w:t></w:t>
                          <w:tab/>
                        </w:r>
                        <w:r>
                          <w:rPr>
                            <w:rFonts w:eastAsia="CIDFont+F3"/>
                            <w:szCs w:val="24"/>
                          </w:rPr>
                          <w:t>Šeimos narių sveikatos būklė, priklausomybės.</w:t>
                        </w:r>
                      </w:p>
                      <w:p>
                        <w:pPr>
                          <w:tabs>
                            <w:tab w:val="left" w:pos="331"/>
                          </w:tabs>
                          <w:ind w:left="23" w:firstLine="102"/>
                          <w:jc w:val="both"/>
                          <w:rPr>
                            <w:szCs w:val="24"/>
                          </w:rPr>
                        </w:pPr>
                        <w:r>
                          <w:rPr>
                            <w:szCs w:val="24"/>
                          </w:rPr>
                          <w:t></w:t>
                          <w:tab/>
                          <w:t>Šeimos narių elgesys, tarpusavio ryšio kokybė.</w:t>
                        </w:r>
                      </w:p>
                      <w:p>
                        <w:pPr>
                          <w:tabs>
                            <w:tab w:val="left" w:pos="331"/>
                          </w:tabs>
                          <w:ind w:left="23" w:firstLine="102"/>
                          <w:jc w:val="both"/>
                          <w:rPr>
                            <w:szCs w:val="24"/>
                          </w:rPr>
                        </w:pPr>
                        <w:r>
                          <w:rPr>
                            <w:szCs w:val="24"/>
                          </w:rPr>
                          <w:t></w:t>
                          <w:tab/>
                          <w:t>Konfliktai šeimoje.</w:t>
                        </w:r>
                      </w:p>
                    </w:tc>
                  </w:tr>
                  <w:tr>
                    <w:tc>
                      <w:tcPr>
                        <w:tcW w:w="117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7</w:t>
                        </w: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szCs w:val="24"/>
                          </w:rPr>
                        </w:pPr>
                      </w:p>
                    </w:tc>
                    <w:tc>
                      <w:tcPr>
                        <w:tcW w:w="0" w:type="auto"/>
                        <w:tcBorders>
                          <w:top w:val="single" w:sz="4" w:space="0" w:color="auto"/>
                          <w:left w:val="single" w:sz="4" w:space="0" w:color="auto"/>
                          <w:bottom w:val="single" w:sz="4" w:space="0" w:color="auto"/>
                          <w:right w:val="single" w:sz="4" w:space="0" w:color="auto"/>
                        </w:tcBorders>
                        <w:hideMark/>
                      </w:tcPr>
                      <w:p>
                        <w:pPr>
                          <w:tabs>
                            <w:tab w:val="left" w:pos="451"/>
                          </w:tabs>
                          <w:ind w:left="106" w:firstLine="142"/>
                          <w:jc w:val="both"/>
                          <w:rPr>
                            <w:szCs w:val="24"/>
                          </w:rPr>
                        </w:pPr>
                        <w:r>
                          <w:rPr>
                            <w:szCs w:val="24"/>
                          </w:rPr>
                          <w:t></w:t>
                          <w:tab/>
                          <w:t>Įvertinti gyvenamąją aplinką ir padėti įrengti namus naujagimiui.</w:t>
                        </w:r>
                      </w:p>
                    </w:tc>
                    <w:tc>
                      <w:tcPr>
                        <w:tcW w:w="0" w:type="auto"/>
                        <w:tcBorders>
                          <w:top w:val="single" w:sz="4" w:space="0" w:color="auto"/>
                          <w:left w:val="single" w:sz="4" w:space="0" w:color="auto"/>
                          <w:bottom w:val="single" w:sz="4" w:space="0" w:color="auto"/>
                          <w:right w:val="single" w:sz="4" w:space="0" w:color="auto"/>
                        </w:tcBorders>
                        <w:hideMark/>
                      </w:tcPr>
                      <w:p>
                        <w:pPr>
                          <w:tabs>
                            <w:tab w:val="left" w:pos="237"/>
                          </w:tabs>
                          <w:ind w:firstLine="95"/>
                          <w:jc w:val="both"/>
                          <w:rPr>
                            <w:szCs w:val="24"/>
                          </w:rPr>
                        </w:pPr>
                        <w:r>
                          <w:rPr>
                            <w:szCs w:val="24"/>
                          </w:rPr>
                          <w:t></w:t>
                          <w:tab/>
                          <w:t>Naujagimio kraitelis (būtini ir rekomenduojami daiktai).</w:t>
                        </w:r>
                      </w:p>
                      <w:p>
                        <w:pPr>
                          <w:tabs>
                            <w:tab w:val="left" w:pos="237"/>
                          </w:tabs>
                          <w:ind w:firstLine="95"/>
                          <w:jc w:val="both"/>
                          <w:rPr>
                            <w:szCs w:val="24"/>
                          </w:rPr>
                        </w:pPr>
                        <w:r>
                          <w:rPr>
                            <w:szCs w:val="24"/>
                          </w:rPr>
                          <w:t></w:t>
                          <w:tab/>
                          <w:t>Kaip tinkamai paruošti namus naujagimiui ir saugiai pervežti jį iš ligoninės į namus.</w:t>
                        </w:r>
                      </w:p>
                    </w:tc>
                  </w:tr>
                  <w:tr>
                    <w:tc>
                      <w:tcPr>
                        <w:tcW w:w="117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8</w:t>
                        </w:r>
                      </w:p>
                    </w:tc>
                    <w:tc>
                      <w:tcPr>
                        <w:tcW w:w="1445" w:type="dxa"/>
                        <w:vMerge w:val="restart"/>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24 -28 sav.</w:t>
                        </w:r>
                      </w:p>
                    </w:tc>
                    <w:tc>
                      <w:tcPr>
                        <w:tcW w:w="0" w:type="auto"/>
                        <w:tcBorders>
                          <w:top w:val="single" w:sz="4" w:space="0" w:color="auto"/>
                          <w:left w:val="single" w:sz="4" w:space="0" w:color="auto"/>
                          <w:bottom w:val="single" w:sz="4" w:space="0" w:color="auto"/>
                          <w:right w:val="single" w:sz="4" w:space="0" w:color="auto"/>
                        </w:tcBorders>
                      </w:tcPr>
                      <w:p>
                        <w:pPr>
                          <w:tabs>
                            <w:tab w:val="left" w:pos="451"/>
                          </w:tabs>
                          <w:ind w:left="106" w:firstLine="142"/>
                          <w:jc w:val="both"/>
                          <w:rPr>
                            <w:szCs w:val="24"/>
                          </w:rPr>
                        </w:pPr>
                        <w:r>
                          <w:rPr>
                            <w:szCs w:val="24"/>
                          </w:rPr>
                          <w:t></w:t>
                          <w:tab/>
                          <w:t>Pateikti informaciją apie reprodukcinę sveikatą ir šeimos planavimą.</w:t>
                        </w:r>
                      </w:p>
                      <w:p>
                        <w:pPr>
                          <w:tabs>
                            <w:tab w:val="left" w:pos="451"/>
                          </w:tabs>
                          <w:ind w:left="106" w:firstLine="142"/>
                          <w:jc w:val="both"/>
                          <w:rPr>
                            <w:szCs w:val="24"/>
                          </w:rPr>
                        </w:pPr>
                      </w:p>
                    </w:tc>
                    <w:tc>
                      <w:tcPr>
                        <w:tcW w:w="0" w:type="auto"/>
                        <w:tcBorders>
                          <w:top w:val="single" w:sz="4" w:space="0" w:color="auto"/>
                          <w:left w:val="single" w:sz="4" w:space="0" w:color="auto"/>
                          <w:bottom w:val="single" w:sz="4" w:space="0" w:color="auto"/>
                          <w:right w:val="single" w:sz="4" w:space="0" w:color="auto"/>
                        </w:tcBorders>
                        <w:hideMark/>
                      </w:tcPr>
                      <w:p>
                        <w:pPr>
                          <w:tabs>
                            <w:tab w:val="left" w:pos="237"/>
                          </w:tabs>
                          <w:spacing w:line="256" w:lineRule="auto"/>
                          <w:ind w:firstLine="95"/>
                          <w:jc w:val="both"/>
                          <w:rPr>
                            <w:szCs w:val="24"/>
                          </w:rPr>
                        </w:pPr>
                        <w:r>
                          <w:rPr>
                            <w:szCs w:val="24"/>
                          </w:rPr>
                          <w:t></w:t>
                          <w:tab/>
                          <w:t>Informuojama apie sveikatos priežiūros paslaugas ir jų teikėjus, kurių dažniausiai prireikia nėštumo ir vaiko auginimo laikotarpiu.</w:t>
                        </w:r>
                      </w:p>
                      <w:p>
                        <w:pPr>
                          <w:tabs>
                            <w:tab w:val="left" w:pos="237"/>
                          </w:tabs>
                          <w:ind w:firstLine="95"/>
                          <w:jc w:val="both"/>
                          <w:rPr>
                            <w:szCs w:val="24"/>
                          </w:rPr>
                        </w:pPr>
                        <w:r>
                          <w:rPr>
                            <w:szCs w:val="24"/>
                          </w:rPr>
                          <w:t></w:t>
                          <w:tab/>
                          <w:t>Nėščiosios sveikata ir galimybė gauti pagal sveikatos būklę reikiamas asmens sveikatos priežiūros paslaugas.</w:t>
                        </w:r>
                      </w:p>
                    </w:tc>
                  </w:tr>
                  <w:tr>
                    <w:tc>
                      <w:tcPr>
                        <w:tcW w:w="117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9</w:t>
                        </w: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szCs w:val="24"/>
                          </w:rPr>
                        </w:pPr>
                      </w:p>
                    </w:tc>
                    <w:tc>
                      <w:tcPr>
                        <w:tcW w:w="0" w:type="auto"/>
                        <w:tcBorders>
                          <w:top w:val="single" w:sz="4" w:space="0" w:color="auto"/>
                          <w:left w:val="single" w:sz="4" w:space="0" w:color="auto"/>
                          <w:bottom w:val="single" w:sz="4" w:space="0" w:color="auto"/>
                          <w:right w:val="single" w:sz="4" w:space="0" w:color="auto"/>
                        </w:tcBorders>
                        <w:hideMark/>
                      </w:tcPr>
                      <w:p>
                        <w:pPr>
                          <w:tabs>
                            <w:tab w:val="left" w:pos="451"/>
                          </w:tabs>
                          <w:ind w:left="106" w:firstLine="142"/>
                          <w:jc w:val="both"/>
                          <w:rPr>
                            <w:szCs w:val="24"/>
                          </w:rPr>
                        </w:pPr>
                        <w:r>
                          <w:rPr>
                            <w:szCs w:val="24"/>
                          </w:rPr>
                          <w:t></w:t>
                          <w:tab/>
                          <w:t>Pildo klausimyną “Nėščiosios auklėjimo įgūdžiai ir vaikystės patirtys” (Aprašo priedas Nr. 8).</w:t>
                        </w:r>
                      </w:p>
                      <w:p>
                        <w:pPr>
                          <w:tabs>
                            <w:tab w:val="left" w:pos="451"/>
                          </w:tabs>
                          <w:ind w:left="106" w:firstLine="142"/>
                          <w:jc w:val="both"/>
                          <w:rPr>
                            <w:szCs w:val="24"/>
                          </w:rPr>
                        </w:pPr>
                        <w:r>
                          <w:rPr>
                            <w:szCs w:val="24"/>
                          </w:rPr>
                          <w:t></w:t>
                          <w:tab/>
                          <w:t>Pildo klausimyną “Smurtas šeimoje” (Aprašo priedas Nr. 9).</w:t>
                        </w:r>
                      </w:p>
                    </w:tc>
                    <w:tc>
                      <w:tcPr>
                        <w:tcW w:w="0" w:type="auto"/>
                        <w:tcBorders>
                          <w:top w:val="single" w:sz="4" w:space="0" w:color="auto"/>
                          <w:left w:val="single" w:sz="4" w:space="0" w:color="auto"/>
                          <w:bottom w:val="single" w:sz="4" w:space="0" w:color="auto"/>
                          <w:right w:val="single" w:sz="4" w:space="0" w:color="auto"/>
                        </w:tcBorders>
                        <w:hideMark/>
                      </w:tcPr>
                      <w:p>
                        <w:pPr>
                          <w:tabs>
                            <w:tab w:val="left" w:pos="237"/>
                          </w:tabs>
                          <w:spacing w:line="256" w:lineRule="auto"/>
                          <w:ind w:firstLine="95"/>
                          <w:jc w:val="both"/>
                          <w:rPr>
                            <w:szCs w:val="24"/>
                          </w:rPr>
                        </w:pPr>
                        <w:r>
                          <w:rPr>
                            <w:szCs w:val="24"/>
                          </w:rPr>
                          <w:t></w:t>
                          <w:tab/>
                          <w:t>Pozityvios tėvystės įgūdžiai ir požiūris į auklėjimą.</w:t>
                        </w:r>
                      </w:p>
                      <w:p>
                        <w:pPr>
                          <w:tabs>
                            <w:tab w:val="left" w:pos="237"/>
                          </w:tabs>
                          <w:spacing w:line="256" w:lineRule="auto"/>
                          <w:ind w:firstLine="95"/>
                          <w:jc w:val="both"/>
                          <w:rPr>
                            <w:szCs w:val="24"/>
                          </w:rPr>
                        </w:pPr>
                        <w:r>
                          <w:rPr>
                            <w:szCs w:val="24"/>
                          </w:rPr>
                          <w:t></w:t>
                          <w:tab/>
                          <w:t>Nėščiosios patirtys vaikystėje.</w:t>
                        </w:r>
                      </w:p>
                      <w:p>
                        <w:pPr>
                          <w:tabs>
                            <w:tab w:val="left" w:pos="237"/>
                          </w:tabs>
                          <w:spacing w:line="256" w:lineRule="auto"/>
                          <w:ind w:firstLine="95"/>
                          <w:jc w:val="both"/>
                          <w:rPr>
                            <w:szCs w:val="24"/>
                          </w:rPr>
                        </w:pPr>
                        <w:r>
                          <w:rPr>
                            <w:szCs w:val="24"/>
                          </w:rPr>
                          <w:t></w:t>
                          <w:tab/>
                        </w:r>
                        <w:r>
                          <w:rPr>
                            <w:rFonts w:eastAsia="CIDFont+F3"/>
                            <w:szCs w:val="24"/>
                          </w:rPr>
                          <w:t>Nėščiosios ir jos šeimos narių gyvenimo vertinimas, siekiant išryškinti šeimos gyvenime vykstančius konfliktus ar krizes.</w:t>
                        </w:r>
                      </w:p>
                    </w:tc>
                  </w:tr>
                  <w:tr>
                    <w:tc>
                      <w:tcPr>
                        <w:tcW w:w="117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10</w:t>
                        </w:r>
                      </w:p>
                    </w:tc>
                    <w:tc>
                      <w:tcPr>
                        <w:tcW w:w="1445" w:type="dxa"/>
                        <w:vMerge w:val="restart"/>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28 - 32 sav.</w:t>
                        </w:r>
                      </w:p>
                    </w:tc>
                    <w:tc>
                      <w:tcPr>
                        <w:tcW w:w="0" w:type="auto"/>
                        <w:tcBorders>
                          <w:top w:val="single" w:sz="4" w:space="0" w:color="auto"/>
                          <w:left w:val="single" w:sz="4" w:space="0" w:color="auto"/>
                          <w:bottom w:val="single" w:sz="4" w:space="0" w:color="auto"/>
                          <w:right w:val="single" w:sz="4" w:space="0" w:color="auto"/>
                        </w:tcBorders>
                        <w:hideMark/>
                      </w:tcPr>
                      <w:p>
                        <w:pPr>
                          <w:tabs>
                            <w:tab w:val="left" w:pos="451"/>
                          </w:tabs>
                          <w:ind w:left="106" w:firstLine="142"/>
                          <w:jc w:val="both"/>
                          <w:rPr>
                            <w:szCs w:val="24"/>
                          </w:rPr>
                        </w:pPr>
                        <w:r>
                          <w:rPr>
                            <w:szCs w:val="24"/>
                          </w:rPr>
                          <w:t></w:t>
                          <w:tab/>
                          <w:t>Pildo klausimyną Rengimosi tėvystei vertinimas (Aprašo priedas Nr. 10)</w:t>
                        </w:r>
                      </w:p>
                      <w:p>
                        <w:pPr>
                          <w:tabs>
                            <w:tab w:val="left" w:pos="451"/>
                          </w:tabs>
                          <w:ind w:left="106" w:firstLine="142"/>
                          <w:jc w:val="both"/>
                          <w:rPr>
                            <w:szCs w:val="24"/>
                          </w:rPr>
                        </w:pPr>
                        <w:r>
                          <w:rPr>
                            <w:szCs w:val="24"/>
                          </w:rPr>
                          <w:t></w:t>
                          <w:tab/>
                          <w:t>Pildo klausimyną “Emocinė nėščiosios situacija” (Aprašo priedas Nr.11).</w:t>
                        </w:r>
                      </w:p>
                    </w:tc>
                    <w:tc>
                      <w:tcPr>
                        <w:tcW w:w="0" w:type="auto"/>
                        <w:tcBorders>
                          <w:top w:val="single" w:sz="4" w:space="0" w:color="auto"/>
                          <w:left w:val="single" w:sz="4" w:space="0" w:color="auto"/>
                          <w:bottom w:val="single" w:sz="4" w:space="0" w:color="auto"/>
                          <w:right w:val="single" w:sz="4" w:space="0" w:color="auto"/>
                        </w:tcBorders>
                        <w:hideMark/>
                      </w:tcPr>
                      <w:p>
                        <w:pPr>
                          <w:tabs>
                            <w:tab w:val="left" w:pos="237"/>
                          </w:tabs>
                          <w:spacing w:line="256" w:lineRule="auto"/>
                          <w:ind w:firstLine="95"/>
                          <w:jc w:val="both"/>
                          <w:rPr>
                            <w:szCs w:val="24"/>
                          </w:rPr>
                        </w:pPr>
                        <w:r>
                          <w:rPr>
                            <w:szCs w:val="24"/>
                          </w:rPr>
                          <w:t></w:t>
                          <w:tab/>
                          <w:t>Supažindinimas su tarnybomis, į kurias galėtų kreiptis pagalbos (seniūnija, socialinių reikalų skyrius savivaldybėje, krizių centras ir pan.)</w:t>
                        </w:r>
                      </w:p>
                      <w:p>
                        <w:pPr>
                          <w:tabs>
                            <w:tab w:val="left" w:pos="237"/>
                          </w:tabs>
                          <w:spacing w:line="276" w:lineRule="auto"/>
                          <w:ind w:firstLine="95"/>
                          <w:jc w:val="both"/>
                          <w:rPr>
                            <w:szCs w:val="24"/>
                          </w:rPr>
                        </w:pPr>
                        <w:r>
                          <w:rPr>
                            <w:szCs w:val="24"/>
                          </w:rPr>
                          <w:t></w:t>
                          <w:tab/>
                          <w:t>Vertinti nerimo, baimės lygį ir skatinti gebėjimą prisitaikyti prie pokyčių.</w:t>
                        </w:r>
                      </w:p>
                    </w:tc>
                  </w:tr>
                  <w:tr>
                    <w:tc>
                      <w:tcPr>
                        <w:tcW w:w="117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11</w:t>
                        </w: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szCs w:val="24"/>
                          </w:rPr>
                        </w:pPr>
                      </w:p>
                    </w:tc>
                    <w:tc>
                      <w:tcPr>
                        <w:tcW w:w="0" w:type="auto"/>
                        <w:tcBorders>
                          <w:top w:val="single" w:sz="4" w:space="0" w:color="auto"/>
                          <w:left w:val="single" w:sz="4" w:space="0" w:color="auto"/>
                          <w:bottom w:val="single" w:sz="4" w:space="0" w:color="auto"/>
                          <w:right w:val="single" w:sz="4" w:space="0" w:color="auto"/>
                        </w:tcBorders>
                      </w:tcPr>
                      <w:p>
                        <w:pPr>
                          <w:tabs>
                            <w:tab w:val="left" w:pos="451"/>
                          </w:tabs>
                          <w:ind w:left="106" w:firstLine="142"/>
                          <w:jc w:val="both"/>
                          <w:rPr>
                            <w:szCs w:val="24"/>
                          </w:rPr>
                        </w:pPr>
                        <w:r>
                          <w:rPr>
                            <w:szCs w:val="24"/>
                          </w:rPr>
                          <w:t></w:t>
                          <w:tab/>
                          <w:t>Supažindinti su žindymu.</w:t>
                        </w:r>
                      </w:p>
                      <w:p>
                        <w:pPr>
                          <w:tabs>
                            <w:tab w:val="left" w:pos="451"/>
                          </w:tabs>
                          <w:ind w:left="106" w:firstLine="142"/>
                          <w:jc w:val="both"/>
                          <w:rPr>
                            <w:szCs w:val="24"/>
                          </w:rPr>
                        </w:pPr>
                      </w:p>
                    </w:tc>
                    <w:tc>
                      <w:tcPr>
                        <w:tcW w:w="0" w:type="auto"/>
                        <w:tcBorders>
                          <w:top w:val="single" w:sz="4" w:space="0" w:color="auto"/>
                          <w:left w:val="single" w:sz="4" w:space="0" w:color="auto"/>
                          <w:bottom w:val="single" w:sz="4" w:space="0" w:color="auto"/>
                          <w:right w:val="single" w:sz="4" w:space="0" w:color="auto"/>
                        </w:tcBorders>
                        <w:hideMark/>
                      </w:tcPr>
                      <w:p>
                        <w:pPr>
                          <w:tabs>
                            <w:tab w:val="left" w:pos="451"/>
                          </w:tabs>
                          <w:ind w:firstLine="170"/>
                          <w:jc w:val="both"/>
                          <w:rPr>
                            <w:szCs w:val="24"/>
                          </w:rPr>
                        </w:pPr>
                        <w:r>
                          <w:rPr>
                            <w:szCs w:val="24"/>
                          </w:rPr>
                          <w:t></w:t>
                          <w:tab/>
                          <w:t>Dažniausios žindymo problemos ir jų sprendimo būdai.</w:t>
                        </w:r>
                      </w:p>
                      <w:p>
                        <w:pPr>
                          <w:tabs>
                            <w:tab w:val="left" w:pos="451"/>
                          </w:tabs>
                          <w:ind w:firstLine="170"/>
                          <w:jc w:val="both"/>
                          <w:rPr>
                            <w:szCs w:val="24"/>
                          </w:rPr>
                        </w:pPr>
                        <w:r>
                          <w:rPr>
                            <w:szCs w:val="24"/>
                          </w:rPr>
                          <w:t></w:t>
                          <w:tab/>
                          <w:t>Žindymo padėtis.</w:t>
                        </w:r>
                      </w:p>
                      <w:p>
                        <w:pPr>
                          <w:tabs>
                            <w:tab w:val="left" w:pos="451"/>
                          </w:tabs>
                          <w:ind w:firstLine="170"/>
                          <w:jc w:val="both"/>
                          <w:rPr>
                            <w:szCs w:val="24"/>
                          </w:rPr>
                        </w:pPr>
                        <w:r>
                          <w:rPr>
                            <w:szCs w:val="24"/>
                          </w:rPr>
                          <w:t></w:t>
                          <w:tab/>
                          <w:t>Taisyklingas krūties apžiojimas.</w:t>
                        </w:r>
                      </w:p>
                      <w:p>
                        <w:pPr>
                          <w:tabs>
                            <w:tab w:val="left" w:pos="451"/>
                          </w:tabs>
                          <w:ind w:firstLine="170"/>
                          <w:jc w:val="both"/>
                          <w:rPr>
                            <w:szCs w:val="24"/>
                          </w:rPr>
                        </w:pPr>
                        <w:r>
                          <w:rPr>
                            <w:szCs w:val="24"/>
                          </w:rPr>
                          <w:t></w:t>
                          <w:tab/>
                          <w:t xml:space="preserve">Žindymo nauda moteriai ir vaikui.  </w:t>
                        </w:r>
                      </w:p>
                    </w:tc>
                  </w:tr>
                  <w:tr>
                    <w:tc>
                      <w:tcPr>
                        <w:tcW w:w="117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12</w:t>
                        </w:r>
                      </w:p>
                    </w:tc>
                    <w:tc>
                      <w:tcPr>
                        <w:tcW w:w="1445" w:type="dxa"/>
                        <w:vMerge w:val="restart"/>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32 - 36 sav.</w:t>
                        </w:r>
                      </w:p>
                    </w:tc>
                    <w:tc>
                      <w:tcPr>
                        <w:tcW w:w="0" w:type="auto"/>
                        <w:tcBorders>
                          <w:top w:val="single" w:sz="4" w:space="0" w:color="auto"/>
                          <w:left w:val="single" w:sz="4" w:space="0" w:color="auto"/>
                          <w:bottom w:val="single" w:sz="4" w:space="0" w:color="auto"/>
                          <w:right w:val="single" w:sz="4" w:space="0" w:color="auto"/>
                        </w:tcBorders>
                        <w:hideMark/>
                      </w:tcPr>
                      <w:p>
                        <w:pPr>
                          <w:rPr>
                            <w:sz w:val="8"/>
                            <w:szCs w:val="8"/>
                          </w:rPr>
                        </w:pPr>
                      </w:p>
                      <w:p>
                        <w:pPr>
                          <w:tabs>
                            <w:tab w:val="left" w:pos="451"/>
                          </w:tabs>
                          <w:ind w:left="106" w:firstLine="142"/>
                          <w:jc w:val="both"/>
                          <w:rPr>
                            <w:szCs w:val="24"/>
                          </w:rPr>
                        </w:pPr>
                        <w:r>
                          <w:rPr>
                            <w:szCs w:val="24"/>
                          </w:rPr>
                          <w:t></w:t>
                          <w:tab/>
                          <w:t xml:space="preserve">Pildo klausimyną  „Pogimdyminės depresijos skalė“ (Aprašo priedas Nr.12). </w:t>
                        </w:r>
                      </w:p>
                    </w:tc>
                    <w:tc>
                      <w:tcPr>
                        <w:tcW w:w="0" w:type="auto"/>
                        <w:tcBorders>
                          <w:top w:val="single" w:sz="4" w:space="0" w:color="auto"/>
                          <w:left w:val="single" w:sz="4" w:space="0" w:color="auto"/>
                          <w:bottom w:val="single" w:sz="4" w:space="0" w:color="auto"/>
                          <w:right w:val="single" w:sz="4" w:space="0" w:color="auto"/>
                        </w:tcBorders>
                        <w:hideMark/>
                      </w:tcPr>
                      <w:p>
                        <w:pPr>
                          <w:tabs>
                            <w:tab w:val="left" w:pos="451"/>
                          </w:tabs>
                          <w:spacing w:line="276" w:lineRule="auto"/>
                          <w:ind w:firstLine="170"/>
                          <w:jc w:val="both"/>
                          <w:rPr>
                            <w:rFonts w:eastAsia="CIDFont+F4"/>
                            <w:szCs w:val="24"/>
                          </w:rPr>
                        </w:pPr>
                        <w:r>
                          <w:rPr>
                            <w:rFonts w:eastAsia="CIDFont+F4"/>
                            <w:szCs w:val="24"/>
                          </w:rPr>
                          <w:t></w:t>
                          <w:tab/>
                        </w:r>
                        <w:r>
                          <w:rPr>
                            <w:rFonts w:eastAsia="CIDFont+F3"/>
                            <w:szCs w:val="24"/>
                          </w:rPr>
                          <w:t>Emocijų ir elgesio sutrikimai.</w:t>
                        </w:r>
                      </w:p>
                      <w:p>
                        <w:pPr>
                          <w:tabs>
                            <w:tab w:val="left" w:pos="451"/>
                          </w:tabs>
                          <w:spacing w:line="276" w:lineRule="auto"/>
                          <w:ind w:firstLine="170"/>
                          <w:jc w:val="both"/>
                          <w:rPr>
                            <w:rFonts w:eastAsia="CIDFont+F4"/>
                            <w:szCs w:val="24"/>
                          </w:rPr>
                        </w:pPr>
                        <w:r>
                          <w:rPr>
                            <w:rFonts w:eastAsia="CIDFont+F4"/>
                            <w:szCs w:val="24"/>
                          </w:rPr>
                          <w:t></w:t>
                          <w:tab/>
                          <w:t xml:space="preserve">Santykiai su partneriu ir tėvais. </w:t>
                        </w:r>
                      </w:p>
                      <w:p>
                        <w:pPr>
                          <w:tabs>
                            <w:tab w:val="left" w:pos="451"/>
                          </w:tabs>
                          <w:spacing w:line="276" w:lineRule="auto"/>
                          <w:ind w:firstLine="170"/>
                          <w:jc w:val="both"/>
                          <w:rPr>
                            <w:rFonts w:eastAsia="CIDFont+F4"/>
                            <w:szCs w:val="24"/>
                          </w:rPr>
                        </w:pPr>
                        <w:r>
                          <w:rPr>
                            <w:rFonts w:eastAsia="CIDFont+F4"/>
                            <w:szCs w:val="24"/>
                          </w:rPr>
                          <w:t></w:t>
                          <w:tab/>
                          <w:t>Moters psichologinė būsena nėštumo metu.</w:t>
                        </w:r>
                      </w:p>
                      <w:p>
                        <w:pPr>
                          <w:tabs>
                            <w:tab w:val="left" w:pos="451"/>
                          </w:tabs>
                          <w:spacing w:line="256" w:lineRule="auto"/>
                          <w:ind w:firstLine="170"/>
                          <w:jc w:val="both"/>
                          <w:rPr>
                            <w:szCs w:val="24"/>
                          </w:rPr>
                        </w:pPr>
                        <w:r>
                          <w:rPr>
                            <w:szCs w:val="24"/>
                          </w:rPr>
                          <w:t></w:t>
                          <w:tab/>
                          <w:t>Gebėjimas spręsti nenumatytas kasdienes problemas.</w:t>
                        </w:r>
                      </w:p>
                    </w:tc>
                  </w:tr>
                  <w:tr>
                    <w:tc>
                      <w:tcPr>
                        <w:tcW w:w="117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13</w:t>
                        </w: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szCs w:val="24"/>
                          </w:rPr>
                        </w:pPr>
                      </w:p>
                    </w:tc>
                    <w:tc>
                      <w:tcPr>
                        <w:tcW w:w="0" w:type="auto"/>
                        <w:tcBorders>
                          <w:top w:val="single" w:sz="4" w:space="0" w:color="auto"/>
                          <w:left w:val="single" w:sz="4" w:space="0" w:color="auto"/>
                          <w:bottom w:val="single" w:sz="4" w:space="0" w:color="auto"/>
                          <w:right w:val="single" w:sz="4" w:space="0" w:color="auto"/>
                        </w:tcBorders>
                      </w:tcPr>
                      <w:p>
                        <w:pPr>
                          <w:tabs>
                            <w:tab w:val="left" w:pos="532"/>
                          </w:tabs>
                          <w:spacing w:line="256" w:lineRule="auto"/>
                          <w:ind w:left="106" w:firstLine="142"/>
                          <w:jc w:val="both"/>
                          <w:rPr>
                            <w:szCs w:val="24"/>
                          </w:rPr>
                        </w:pPr>
                        <w:r>
                          <w:rPr>
                            <w:szCs w:val="24"/>
                          </w:rPr>
                          <w:t></w:t>
                          <w:tab/>
                          <w:t>Pildo klausimyną „Nėščiosios sveikata“ (Aprašo priedas Nr. 13)</w:t>
                        </w:r>
                      </w:p>
                      <w:p>
                        <w:pPr>
                          <w:tabs>
                            <w:tab w:val="left" w:pos="532"/>
                          </w:tabs>
                          <w:ind w:left="106" w:firstLine="142"/>
                          <w:jc w:val="both"/>
                          <w:rPr>
                            <w:szCs w:val="24"/>
                          </w:rPr>
                        </w:pPr>
                        <w:r>
                          <w:rPr>
                            <w:szCs w:val="24"/>
                          </w:rPr>
                          <w:t></w:t>
                          <w:tab/>
                          <w:t>Supažindinti su moters pokyčiais pogimdyviniu laikotarpiu.</w:t>
                        </w:r>
                      </w:p>
                      <w:p>
                        <w:pPr>
                          <w:tabs>
                            <w:tab w:val="left" w:pos="532"/>
                          </w:tabs>
                          <w:ind w:left="106" w:firstLine="142"/>
                          <w:jc w:val="both"/>
                          <w:rPr>
                            <w:szCs w:val="24"/>
                          </w:rPr>
                        </w:pPr>
                        <w:r>
                          <w:rPr>
                            <w:szCs w:val="24"/>
                          </w:rPr>
                          <w:t></w:t>
                          <w:tab/>
                          <w:t>Pateikti informacija kaip pasiruošti artėjančiam gimdymui.</w:t>
                        </w:r>
                      </w:p>
                      <w:p>
                        <w:pPr>
                          <w:tabs>
                            <w:tab w:val="left" w:pos="532"/>
                          </w:tabs>
                          <w:ind w:left="106" w:firstLine="142"/>
                          <w:jc w:val="both"/>
                          <w:rPr>
                            <w:szCs w:val="24"/>
                          </w:rPr>
                        </w:pPr>
                      </w:p>
                    </w:tc>
                    <w:tc>
                      <w:tcPr>
                        <w:tcW w:w="0" w:type="auto"/>
                        <w:tcBorders>
                          <w:top w:val="single" w:sz="4" w:space="0" w:color="auto"/>
                          <w:left w:val="single" w:sz="4" w:space="0" w:color="auto"/>
                          <w:bottom w:val="single" w:sz="4" w:space="0" w:color="auto"/>
                          <w:right w:val="single" w:sz="4" w:space="0" w:color="auto"/>
                        </w:tcBorders>
                        <w:hideMark/>
                      </w:tcPr>
                      <w:p>
                        <w:pPr>
                          <w:tabs>
                            <w:tab w:val="left" w:pos="451"/>
                          </w:tabs>
                          <w:ind w:firstLine="170"/>
                          <w:jc w:val="both"/>
                          <w:rPr>
                            <w:szCs w:val="24"/>
                          </w:rPr>
                        </w:pPr>
                        <w:r>
                          <w:rPr>
                            <w:szCs w:val="24"/>
                          </w:rPr>
                          <w:t></w:t>
                          <w:tab/>
                          <w:t>Nėščiosios sveikata ir galimybė gauti pagal sveikatos būklę reikiamas asmens sveikatos priežiūros paslaugas.</w:t>
                        </w:r>
                      </w:p>
                      <w:p>
                        <w:pPr>
                          <w:tabs>
                            <w:tab w:val="left" w:pos="451"/>
                          </w:tabs>
                          <w:spacing w:line="276" w:lineRule="auto"/>
                          <w:ind w:firstLine="170"/>
                          <w:jc w:val="both"/>
                          <w:rPr>
                            <w:rFonts w:eastAsia="CIDFont+F4"/>
                            <w:szCs w:val="24"/>
                          </w:rPr>
                        </w:pPr>
                        <w:r>
                          <w:rPr>
                            <w:rFonts w:eastAsia="CIDFont+F4"/>
                            <w:szCs w:val="24"/>
                          </w:rPr>
                          <w:t></w:t>
                          <w:tab/>
                        </w:r>
                        <w:r>
                          <w:rPr>
                            <w:szCs w:val="24"/>
                          </w:rPr>
                          <w:t>Moters organizmo pokyčiai pogimdyminiu laikotarpiu, dažniausi sunkumai ir kaip juos palengvinti.</w:t>
                        </w:r>
                      </w:p>
                      <w:p>
                        <w:pPr>
                          <w:tabs>
                            <w:tab w:val="left" w:pos="451"/>
                          </w:tabs>
                          <w:spacing w:line="276" w:lineRule="auto"/>
                          <w:ind w:firstLine="170"/>
                          <w:jc w:val="both"/>
                          <w:rPr>
                            <w:rFonts w:eastAsia="CIDFont+F4"/>
                            <w:szCs w:val="24"/>
                          </w:rPr>
                        </w:pPr>
                        <w:r>
                          <w:rPr>
                            <w:rFonts w:eastAsia="CIDFont+F4"/>
                            <w:szCs w:val="24"/>
                          </w:rPr>
                          <w:t></w:t>
                          <w:tab/>
                        </w:r>
                        <w:r>
                          <w:rPr>
                            <w:szCs w:val="24"/>
                          </w:rPr>
                          <w:t>Pasiruošimas gimdymui.</w:t>
                        </w:r>
                      </w:p>
                      <w:p>
                        <w:pPr>
                          <w:tabs>
                            <w:tab w:val="left" w:pos="451"/>
                          </w:tabs>
                          <w:ind w:firstLine="170"/>
                          <w:jc w:val="both"/>
                          <w:rPr>
                            <w:szCs w:val="24"/>
                          </w:rPr>
                        </w:pPr>
                        <w:r>
                          <w:rPr>
                            <w:szCs w:val="24"/>
                          </w:rPr>
                          <w:t></w:t>
                          <w:tab/>
                          <w:t>Artėjančio gimdymo požymiai.</w:t>
                        </w:r>
                      </w:p>
                      <w:p>
                        <w:pPr>
                          <w:tabs>
                            <w:tab w:val="left" w:pos="451"/>
                          </w:tabs>
                          <w:spacing w:line="256" w:lineRule="auto"/>
                          <w:ind w:firstLine="170"/>
                          <w:jc w:val="both"/>
                          <w:rPr>
                            <w:szCs w:val="24"/>
                          </w:rPr>
                        </w:pPr>
                        <w:r>
                          <w:rPr>
                            <w:szCs w:val="24"/>
                          </w:rPr>
                          <w:t></w:t>
                          <w:tab/>
                          <w:t>Gimdymo periodai, savipagalba gimdymo metu</w:t>
                        </w:r>
                      </w:p>
                    </w:tc>
                  </w:tr>
                  <w:tr>
                    <w:trPr>
                      <w:trHeight w:val="5071"/>
                    </w:trPr>
                    <w:tc>
                      <w:tcPr>
                        <w:tcW w:w="117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14</w:t>
                        </w:r>
                      </w:p>
                    </w:tc>
                    <w:tc>
                      <w:tcPr>
                        <w:tcW w:w="1445"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36 - 40 sav.</w:t>
                        </w:r>
                      </w:p>
                    </w:tc>
                    <w:tc>
                      <w:tcPr>
                        <w:tcW w:w="0" w:type="auto"/>
                        <w:tcBorders>
                          <w:top w:val="single" w:sz="4" w:space="0" w:color="auto"/>
                          <w:left w:val="single" w:sz="4" w:space="0" w:color="auto"/>
                          <w:bottom w:val="single" w:sz="4" w:space="0" w:color="auto"/>
                          <w:right w:val="single" w:sz="4" w:space="0" w:color="auto"/>
                        </w:tcBorders>
                        <w:hideMark/>
                      </w:tcPr>
                      <w:p>
                        <w:pPr>
                          <w:tabs>
                            <w:tab w:val="left" w:pos="532"/>
                          </w:tabs>
                          <w:spacing w:line="256" w:lineRule="auto"/>
                          <w:ind w:left="106" w:firstLine="142"/>
                          <w:jc w:val="both"/>
                          <w:rPr>
                            <w:szCs w:val="24"/>
                          </w:rPr>
                        </w:pPr>
                        <w:r>
                          <w:rPr>
                            <w:szCs w:val="24"/>
                          </w:rPr>
                          <w:t></w:t>
                          <w:tab/>
                          <w:t>Pildo klausimyną „Nėščiosios sveikata“ (Aprašo priedas Nr. 13)</w:t>
                        </w:r>
                      </w:p>
                      <w:p>
                        <w:pPr>
                          <w:tabs>
                            <w:tab w:val="left" w:pos="532"/>
                          </w:tabs>
                          <w:ind w:left="106" w:firstLine="142"/>
                          <w:jc w:val="both"/>
                          <w:rPr>
                            <w:szCs w:val="24"/>
                          </w:rPr>
                        </w:pPr>
                        <w:r>
                          <w:rPr>
                            <w:szCs w:val="24"/>
                          </w:rPr>
                          <w:t></w:t>
                          <w:tab/>
                          <w:t>Pildo klausimyną „Rengimosi tėvystei vertinimas“ (Aprašo priedas Nr. 10).</w:t>
                        </w:r>
                      </w:p>
                      <w:p>
                        <w:pPr>
                          <w:tabs>
                            <w:tab w:val="left" w:pos="532"/>
                          </w:tabs>
                          <w:ind w:left="106" w:firstLine="142"/>
                          <w:jc w:val="both"/>
                          <w:rPr>
                            <w:szCs w:val="24"/>
                          </w:rPr>
                        </w:pPr>
                        <w:r>
                          <w:rPr>
                            <w:szCs w:val="24"/>
                          </w:rPr>
                          <w:t></w:t>
                          <w:tab/>
                          <w:t>Pildo klausimyną „Gyvenimo sąlygų vertinimas (Aprašo priedas Nr. 4)</w:t>
                        </w:r>
                      </w:p>
                      <w:p>
                        <w:pPr>
                          <w:tabs>
                            <w:tab w:val="left" w:pos="532"/>
                          </w:tabs>
                          <w:ind w:left="106" w:firstLine="142"/>
                          <w:jc w:val="both"/>
                          <w:rPr>
                            <w:szCs w:val="24"/>
                          </w:rPr>
                        </w:pPr>
                        <w:r>
                          <w:rPr>
                            <w:szCs w:val="24"/>
                          </w:rPr>
                          <w:t></w:t>
                          <w:tab/>
                          <w:t>Pildo klausimyną “Antenatalinės rizikos vertinimas nėščiosioms» (Nr. 14).</w:t>
                        </w:r>
                      </w:p>
                      <w:p>
                        <w:pPr>
                          <w:tabs>
                            <w:tab w:val="left" w:pos="532"/>
                          </w:tabs>
                          <w:ind w:left="106" w:firstLine="142"/>
                          <w:jc w:val="both"/>
                          <w:rPr>
                            <w:szCs w:val="24"/>
                          </w:rPr>
                        </w:pPr>
                        <w:r>
                          <w:rPr>
                            <w:szCs w:val="24"/>
                          </w:rPr>
                          <w:t></w:t>
                          <w:tab/>
                          <w:t>Pateikti informaciją apie pirmąsias valandas su naujagimiu.</w:t>
                        </w:r>
                      </w:p>
                    </w:tc>
                    <w:tc>
                      <w:tcPr>
                        <w:tcW w:w="0" w:type="auto"/>
                        <w:tcBorders>
                          <w:top w:val="single" w:sz="4" w:space="0" w:color="auto"/>
                          <w:left w:val="single" w:sz="4" w:space="0" w:color="auto"/>
                          <w:bottom w:val="single" w:sz="4" w:space="0" w:color="auto"/>
                          <w:right w:val="single" w:sz="4" w:space="0" w:color="auto"/>
                        </w:tcBorders>
                        <w:hideMark/>
                      </w:tcPr>
                      <w:p>
                        <w:pPr>
                          <w:tabs>
                            <w:tab w:val="left" w:pos="451"/>
                          </w:tabs>
                          <w:spacing w:line="256" w:lineRule="auto"/>
                          <w:ind w:firstLine="170"/>
                          <w:jc w:val="both"/>
                          <w:rPr>
                            <w:szCs w:val="24"/>
                          </w:rPr>
                        </w:pPr>
                        <w:r>
                          <w:rPr>
                            <w:szCs w:val="24"/>
                          </w:rPr>
                          <w:t></w:t>
                          <w:tab/>
                          <w:t>Pakankamas paslaugas teikiančių institucijų ir specialistų kiekis.</w:t>
                        </w:r>
                      </w:p>
                      <w:p>
                        <w:pPr>
                          <w:tabs>
                            <w:tab w:val="left" w:pos="451"/>
                          </w:tabs>
                          <w:spacing w:line="256" w:lineRule="auto"/>
                          <w:ind w:firstLine="170"/>
                          <w:jc w:val="both"/>
                          <w:rPr>
                            <w:szCs w:val="24"/>
                          </w:rPr>
                        </w:pPr>
                        <w:r>
                          <w:rPr>
                            <w:szCs w:val="24"/>
                          </w:rPr>
                          <w:t></w:t>
                          <w:tab/>
                          <w:t>Paslaugų prieinamumas.</w:t>
                        </w:r>
                      </w:p>
                      <w:p>
                        <w:pPr>
                          <w:tabs>
                            <w:tab w:val="left" w:pos="451"/>
                          </w:tabs>
                          <w:ind w:firstLine="170"/>
                          <w:jc w:val="both"/>
                          <w:rPr>
                            <w:szCs w:val="24"/>
                          </w:rPr>
                        </w:pPr>
                        <w:r>
                          <w:rPr>
                            <w:szCs w:val="24"/>
                          </w:rPr>
                          <w:t></w:t>
                          <w:tab/>
                          <w:t>Nėščiosios sveikata ir galimybė gauti pagal sveikatos būklę reikiamas asmens sveikatos priežiūros paslaugas.</w:t>
                        </w:r>
                      </w:p>
                      <w:p>
                        <w:pPr>
                          <w:tabs>
                            <w:tab w:val="left" w:pos="451"/>
                          </w:tabs>
                          <w:spacing w:line="276" w:lineRule="auto"/>
                          <w:ind w:firstLine="170"/>
                          <w:jc w:val="both"/>
                          <w:rPr>
                            <w:szCs w:val="24"/>
                          </w:rPr>
                        </w:pPr>
                        <w:r>
                          <w:rPr>
                            <w:szCs w:val="24"/>
                          </w:rPr>
                          <w:t></w:t>
                          <w:tab/>
                          <w:t>Būsto ir gyvenamosios aplinkos saugumas</w:t>
                        </w:r>
                      </w:p>
                      <w:p>
                        <w:pPr>
                          <w:tabs>
                            <w:tab w:val="left" w:pos="451"/>
                          </w:tabs>
                          <w:spacing w:line="276" w:lineRule="auto"/>
                          <w:ind w:firstLine="170"/>
                          <w:jc w:val="both"/>
                          <w:rPr>
                            <w:szCs w:val="24"/>
                          </w:rPr>
                        </w:pPr>
                        <w:r>
                          <w:rPr>
                            <w:szCs w:val="24"/>
                          </w:rPr>
                          <w:t></w:t>
                          <w:tab/>
                          <w:t>reikalingų daiktų ir priemonių kūdikio priežiūrai stoka</w:t>
                        </w:r>
                      </w:p>
                      <w:p>
                        <w:pPr>
                          <w:tabs>
                            <w:tab w:val="left" w:pos="451"/>
                          </w:tabs>
                          <w:spacing w:line="276" w:lineRule="auto"/>
                          <w:ind w:firstLine="170"/>
                          <w:jc w:val="both"/>
                          <w:rPr>
                            <w:rFonts w:eastAsia="CIDFont+F4"/>
                            <w:szCs w:val="24"/>
                          </w:rPr>
                        </w:pPr>
                        <w:r>
                          <w:rPr>
                            <w:rFonts w:eastAsia="CIDFont+F4"/>
                            <w:szCs w:val="24"/>
                          </w:rPr>
                          <w:t></w:t>
                          <w:tab/>
                          <w:t>Moters psichologinė būsena nėštumo metu.</w:t>
                        </w:r>
                      </w:p>
                      <w:p>
                        <w:pPr>
                          <w:tabs>
                            <w:tab w:val="left" w:pos="451"/>
                          </w:tabs>
                          <w:spacing w:line="276" w:lineRule="auto"/>
                          <w:ind w:firstLine="170"/>
                          <w:jc w:val="both"/>
                          <w:rPr>
                            <w:rFonts w:eastAsia="CIDFont+F4"/>
                            <w:szCs w:val="24"/>
                          </w:rPr>
                        </w:pPr>
                        <w:r>
                          <w:rPr>
                            <w:rFonts w:eastAsia="CIDFont+F4"/>
                            <w:szCs w:val="24"/>
                          </w:rPr>
                          <w:t></w:t>
                          <w:tab/>
                          <w:t>Patirtys vaikystėje.</w:t>
                        </w:r>
                      </w:p>
                      <w:p>
                        <w:pPr>
                          <w:tabs>
                            <w:tab w:val="left" w:pos="451"/>
                          </w:tabs>
                          <w:spacing w:line="276" w:lineRule="auto"/>
                          <w:ind w:firstLine="170"/>
                          <w:jc w:val="both"/>
                          <w:rPr>
                            <w:rFonts w:eastAsia="CIDFont+F4"/>
                            <w:szCs w:val="24"/>
                          </w:rPr>
                        </w:pPr>
                        <w:r>
                          <w:rPr>
                            <w:rFonts w:eastAsia="CIDFont+F4"/>
                            <w:szCs w:val="24"/>
                          </w:rPr>
                          <w:t></w:t>
                          <w:tab/>
                        </w:r>
                        <w:r>
                          <w:rPr>
                            <w:rFonts w:eastAsia="CIDFont+F3"/>
                            <w:szCs w:val="24"/>
                          </w:rPr>
                          <w:t>Emocijų ir elgesio sutrikimai.</w:t>
                        </w:r>
                      </w:p>
                    </w:tc>
                  </w:tr>
                  <w:tr>
                    <w:tc>
                      <w:tcPr>
                        <w:tcW w:w="0" w:type="auto"/>
                        <w:gridSpan w:val="4"/>
                        <w:tcBorders>
                          <w:top w:val="single" w:sz="4" w:space="0" w:color="auto"/>
                          <w:left w:val="single" w:sz="4" w:space="0" w:color="auto"/>
                          <w:bottom w:val="single" w:sz="4" w:space="0" w:color="auto"/>
                          <w:right w:val="single" w:sz="4" w:space="0" w:color="auto"/>
                        </w:tcBorders>
                        <w:vAlign w:val="center"/>
                        <w:hideMark/>
                      </w:tcPr>
                      <w:p>
                        <w:pPr>
                          <w:jc w:val="center"/>
                          <w:rPr>
                            <w:b/>
                            <w:bCs/>
                            <w:szCs w:val="24"/>
                          </w:rPr>
                        </w:pPr>
                        <w:r>
                          <w:rPr>
                            <w:b/>
                            <w:bCs/>
                            <w:szCs w:val="24"/>
                          </w:rPr>
                          <w:t>Laikotarpis iki vaikui sueis 12 mėn. ne daugiau kaip 28 paslaugos</w:t>
                        </w:r>
                      </w:p>
                    </w:tc>
                  </w:tr>
                  <w:tr>
                    <w:tc>
                      <w:tcPr>
                        <w:tcW w:w="117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w:t>
                        </w:r>
                      </w:p>
                    </w:tc>
                    <w:tc>
                      <w:tcPr>
                        <w:tcW w:w="1445" w:type="dxa"/>
                        <w:vMerge w:val="restart"/>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Iki 1 mėn.</w:t>
                        </w:r>
                      </w:p>
                    </w:tc>
                    <w:tc>
                      <w:tcPr>
                        <w:tcW w:w="0" w:type="auto"/>
                        <w:tcBorders>
                          <w:top w:val="single" w:sz="4" w:space="0" w:color="auto"/>
                          <w:left w:val="single" w:sz="4" w:space="0" w:color="auto"/>
                          <w:bottom w:val="single" w:sz="4" w:space="0" w:color="auto"/>
                          <w:right w:val="single" w:sz="4" w:space="0" w:color="auto"/>
                        </w:tcBorders>
                        <w:hideMark/>
                      </w:tcPr>
                      <w:p>
                        <w:pPr>
                          <w:tabs>
                            <w:tab w:val="left" w:pos="376"/>
                          </w:tabs>
                          <w:ind w:firstLine="130"/>
                          <w:jc w:val="both"/>
                          <w:rPr>
                            <w:szCs w:val="24"/>
                          </w:rPr>
                        </w:pPr>
                        <w:r>
                          <w:rPr>
                            <w:szCs w:val="24"/>
                          </w:rPr>
                          <w:t></w:t>
                          <w:tab/>
                          <w:t>Pildyti klausimyną “Gimdyvės sveikata” (Aprašo priedas Nr. 15).</w:t>
                        </w:r>
                      </w:p>
                      <w:p>
                        <w:pPr>
                          <w:tabs>
                            <w:tab w:val="left" w:pos="376"/>
                          </w:tabs>
                          <w:ind w:firstLine="130"/>
                          <w:jc w:val="both"/>
                          <w:rPr>
                            <w:szCs w:val="24"/>
                          </w:rPr>
                        </w:pPr>
                        <w:r>
                          <w:rPr>
                            <w:szCs w:val="24"/>
                          </w:rPr>
                          <w:t></w:t>
                          <w:tab/>
                          <w:t>Aptarti kasdieninę naujagimio priežiūrą.</w:t>
                        </w:r>
                      </w:p>
                      <w:p>
                        <w:pPr>
                          <w:tabs>
                            <w:tab w:val="left" w:pos="376"/>
                          </w:tabs>
                          <w:ind w:firstLine="130"/>
                          <w:jc w:val="both"/>
                          <w:rPr>
                            <w:szCs w:val="24"/>
                          </w:rPr>
                        </w:pPr>
                        <w:r>
                          <w:rPr>
                            <w:szCs w:val="24"/>
                          </w:rPr>
                          <w:t></w:t>
                          <w:tab/>
                          <w:t>Pateikti su naujagimio lavinimu ir bendravimu susijusias rekomendacijas.</w:t>
                        </w:r>
                      </w:p>
                      <w:p>
                        <w:pPr>
                          <w:tabs>
                            <w:tab w:val="left" w:pos="376"/>
                          </w:tabs>
                          <w:ind w:firstLine="130"/>
                          <w:jc w:val="both"/>
                          <w:rPr>
                            <w:szCs w:val="24"/>
                          </w:rPr>
                        </w:pPr>
                        <w:r>
                          <w:rPr>
                            <w:szCs w:val="24"/>
                          </w:rPr>
                          <w:t></w:t>
                          <w:tab/>
                          <w:t xml:space="preserve">Supažindinti su žindymo pozomis, mitybos ypatumais. </w:t>
                        </w:r>
                      </w:p>
                      <w:p>
                        <w:pPr>
                          <w:tabs>
                            <w:tab w:val="left" w:pos="376"/>
                          </w:tabs>
                          <w:ind w:firstLine="130"/>
                          <w:jc w:val="both"/>
                          <w:rPr>
                            <w:szCs w:val="24"/>
                          </w:rPr>
                        </w:pPr>
                        <w:r>
                          <w:rPr>
                            <w:szCs w:val="24"/>
                          </w:rPr>
                          <w:t></w:t>
                          <w:tab/>
                          <w:t>Rasti ir išspęsti problemas kilusias žindymo metu.</w:t>
                        </w:r>
                      </w:p>
                    </w:tc>
                    <w:tc>
                      <w:tcPr>
                        <w:tcW w:w="0" w:type="auto"/>
                        <w:tcBorders>
                          <w:top w:val="single" w:sz="4" w:space="0" w:color="auto"/>
                          <w:left w:val="single" w:sz="4" w:space="0" w:color="auto"/>
                          <w:bottom w:val="single" w:sz="4" w:space="0" w:color="auto"/>
                          <w:right w:val="single" w:sz="4" w:space="0" w:color="auto"/>
                        </w:tcBorders>
                        <w:hideMark/>
                      </w:tcPr>
                      <w:p>
                        <w:pPr>
                          <w:tabs>
                            <w:tab w:val="left" w:pos="487"/>
                          </w:tabs>
                          <w:spacing w:line="256" w:lineRule="auto"/>
                          <w:ind w:left="61" w:firstLine="142"/>
                          <w:jc w:val="both"/>
                          <w:rPr>
                            <w:szCs w:val="24"/>
                          </w:rPr>
                        </w:pPr>
                        <w:r>
                          <w:rPr>
                            <w:szCs w:val="24"/>
                          </w:rPr>
                          <w:t></w:t>
                          <w:tab/>
                          <w:t>Naujagimio skiepijimas.</w:t>
                        </w:r>
                      </w:p>
                      <w:p>
                        <w:pPr>
                          <w:tabs>
                            <w:tab w:val="left" w:pos="487"/>
                          </w:tabs>
                          <w:spacing w:line="256" w:lineRule="auto"/>
                          <w:ind w:left="61" w:firstLine="142"/>
                          <w:jc w:val="both"/>
                          <w:rPr>
                            <w:szCs w:val="24"/>
                          </w:rPr>
                        </w:pPr>
                        <w:r>
                          <w:rPr>
                            <w:szCs w:val="24"/>
                          </w:rPr>
                          <w:t></w:t>
                          <w:tab/>
                          <w:t xml:space="preserve">Naujagimio sveikata (mityba, vitamino D vartojimas) ir informacija apie galimybę gauti pagal sveikatos būklę reikiamas asmens sveikatos priežiūros paslaugas. </w:t>
                        </w:r>
                      </w:p>
                      <w:p>
                        <w:pPr>
                          <w:widowControl w:val="0"/>
                          <w:tabs>
                            <w:tab w:val="left" w:pos="487"/>
                            <w:tab w:val="left" w:pos="3261"/>
                          </w:tabs>
                          <w:ind w:left="61" w:firstLine="142"/>
                          <w:jc w:val="both"/>
                          <w:rPr>
                            <w:szCs w:val="24"/>
                          </w:rPr>
                        </w:pPr>
                        <w:r>
                          <w:rPr>
                            <w:szCs w:val="24"/>
                          </w:rPr>
                          <w:t></w:t>
                          <w:tab/>
                          <w:t>Elgesio ir emocijų sunkumai/ sutrikimai.</w:t>
                        </w:r>
                      </w:p>
                      <w:p>
                        <w:pPr>
                          <w:widowControl w:val="0"/>
                          <w:tabs>
                            <w:tab w:val="left" w:pos="487"/>
                            <w:tab w:val="left" w:pos="3261"/>
                          </w:tabs>
                          <w:ind w:left="61" w:firstLine="142"/>
                          <w:jc w:val="both"/>
                          <w:rPr>
                            <w:szCs w:val="24"/>
                          </w:rPr>
                        </w:pPr>
                        <w:r>
                          <w:rPr>
                            <w:szCs w:val="24"/>
                          </w:rPr>
                          <w:t></w:t>
                          <w:tab/>
                          <w:t xml:space="preserve">Gimdyvės žalingi įpročiai. </w:t>
                        </w:r>
                      </w:p>
                      <w:p>
                        <w:pPr>
                          <w:tabs>
                            <w:tab w:val="left" w:pos="487"/>
                          </w:tabs>
                          <w:spacing w:line="256" w:lineRule="auto"/>
                          <w:ind w:left="61" w:firstLine="142"/>
                          <w:jc w:val="both"/>
                          <w:rPr>
                            <w:szCs w:val="24"/>
                          </w:rPr>
                        </w:pPr>
                        <w:r>
                          <w:rPr>
                            <w:szCs w:val="24"/>
                          </w:rPr>
                          <w:t></w:t>
                          <w:tab/>
                          <w:t>Naujagimio priežiūra.</w:t>
                        </w:r>
                      </w:p>
                      <w:p>
                        <w:pPr>
                          <w:tabs>
                            <w:tab w:val="left" w:pos="487"/>
                          </w:tabs>
                          <w:spacing w:line="256" w:lineRule="auto"/>
                          <w:ind w:left="61" w:firstLine="142"/>
                          <w:jc w:val="both"/>
                          <w:rPr>
                            <w:szCs w:val="24"/>
                          </w:rPr>
                        </w:pPr>
                        <w:r>
                          <w:rPr>
                            <w:szCs w:val="24"/>
                          </w:rPr>
                          <w:t></w:t>
                          <w:tab/>
                          <w:t>Bendravimas su naujagimiu ir jo lavinimas.</w:t>
                        </w:r>
                      </w:p>
                      <w:p>
                        <w:pPr>
                          <w:tabs>
                            <w:tab w:val="left" w:pos="487"/>
                          </w:tabs>
                          <w:spacing w:line="256" w:lineRule="auto"/>
                          <w:ind w:left="61" w:firstLine="142"/>
                          <w:jc w:val="both"/>
                          <w:rPr>
                            <w:szCs w:val="24"/>
                          </w:rPr>
                        </w:pPr>
                        <w:r>
                          <w:rPr>
                            <w:szCs w:val="24"/>
                          </w:rPr>
                          <w:t></w:t>
                          <w:tab/>
                          <w:t xml:space="preserve">Sėkmingas žindymas. Žindančių moterų gyvensenos ypatumai. </w:t>
                        </w:r>
                      </w:p>
                    </w:tc>
                  </w:tr>
                  <w:tr>
                    <w:trPr>
                      <w:trHeight w:val="1190"/>
                    </w:trPr>
                    <w:tc>
                      <w:tcPr>
                        <w:tcW w:w="117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2</w:t>
                        </w: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szCs w:val="24"/>
                          </w:rPr>
                        </w:pPr>
                      </w:p>
                    </w:tc>
                    <w:tc>
                      <w:tcPr>
                        <w:tcW w:w="0" w:type="auto"/>
                        <w:tcBorders>
                          <w:top w:val="single" w:sz="4" w:space="0" w:color="auto"/>
                          <w:left w:val="single" w:sz="4" w:space="0" w:color="auto"/>
                          <w:bottom w:val="single" w:sz="4" w:space="0" w:color="auto"/>
                          <w:right w:val="single" w:sz="4" w:space="0" w:color="auto"/>
                        </w:tcBorders>
                        <w:hideMark/>
                      </w:tcPr>
                      <w:p>
                        <w:pPr>
                          <w:rPr>
                            <w:sz w:val="8"/>
                            <w:szCs w:val="8"/>
                          </w:rPr>
                        </w:pPr>
                      </w:p>
                      <w:p>
                        <w:pPr>
                          <w:ind w:left="360" w:hanging="360"/>
                          <w:rPr>
                            <w:szCs w:val="24"/>
                          </w:rPr>
                        </w:pPr>
                        <w:r>
                          <w:rPr>
                            <w:szCs w:val="24"/>
                          </w:rPr>
                          <w:t></w:t>
                          <w:tab/>
                        </w:r>
                        <w:r>
                          <w:rPr>
                            <w:bCs/>
                            <w:szCs w:val="24"/>
                          </w:rPr>
                          <w:t>Pildo klausimyną „Savivertės klausimynas“ (</w:t>
                        </w:r>
                        <w:r>
                          <w:rPr>
                            <w:szCs w:val="24"/>
                          </w:rPr>
                          <w:t>Aprašo priedas</w:t>
                        </w:r>
                        <w:r>
                          <w:rPr>
                            <w:bCs/>
                            <w:szCs w:val="24"/>
                          </w:rPr>
                          <w:t xml:space="preserve"> Nr.17).</w:t>
                        </w:r>
                      </w:p>
                    </w:tc>
                    <w:tc>
                      <w:tcPr>
                        <w:tcW w:w="0" w:type="auto"/>
                        <w:tcBorders>
                          <w:top w:val="single" w:sz="4" w:space="0" w:color="auto"/>
                          <w:left w:val="single" w:sz="4" w:space="0" w:color="auto"/>
                          <w:bottom w:val="single" w:sz="4" w:space="0" w:color="auto"/>
                          <w:right w:val="single" w:sz="4" w:space="0" w:color="auto"/>
                        </w:tcBorders>
                        <w:hideMark/>
                      </w:tcPr>
                      <w:p>
                        <w:pPr>
                          <w:tabs>
                            <w:tab w:val="left" w:pos="406"/>
                          </w:tabs>
                          <w:spacing w:line="256" w:lineRule="auto"/>
                          <w:ind w:left="28" w:firstLine="142"/>
                          <w:jc w:val="both"/>
                          <w:rPr>
                            <w:rFonts w:eastAsia="CIDFont+F4"/>
                            <w:bCs/>
                            <w:szCs w:val="24"/>
                          </w:rPr>
                        </w:pPr>
                        <w:r>
                          <w:rPr>
                            <w:rFonts w:eastAsia="CIDFont+F4"/>
                            <w:bCs/>
                            <w:szCs w:val="24"/>
                          </w:rPr>
                          <w:t></w:t>
                          <w:tab/>
                        </w:r>
                        <w:r>
                          <w:rPr>
                            <w:rFonts w:eastAsia="CIDFont+F4"/>
                            <w:szCs w:val="24"/>
                          </w:rPr>
                          <w:t>Gebėjimas įvertinti save</w:t>
                        </w:r>
                        <w:r>
                          <w:rPr>
                            <w:rFonts w:eastAsia="CIDFont+F4"/>
                            <w:bCs/>
                            <w:szCs w:val="24"/>
                          </w:rPr>
                          <w:t xml:space="preserve">. </w:t>
                        </w:r>
                      </w:p>
                      <w:p>
                        <w:pPr>
                          <w:tabs>
                            <w:tab w:val="left" w:pos="406"/>
                          </w:tabs>
                          <w:spacing w:line="256" w:lineRule="auto"/>
                          <w:ind w:left="28" w:firstLine="142"/>
                          <w:jc w:val="both"/>
                          <w:rPr>
                            <w:rFonts w:eastAsia="CIDFont+F4"/>
                            <w:bCs/>
                            <w:szCs w:val="24"/>
                          </w:rPr>
                        </w:pPr>
                        <w:r>
                          <w:rPr>
                            <w:rFonts w:eastAsia="CIDFont+F4"/>
                            <w:bCs/>
                            <w:szCs w:val="24"/>
                          </w:rPr>
                          <w:t></w:t>
                          <w:tab/>
                          <w:t>Elgesio ir emociniai sutrikimai.</w:t>
                        </w:r>
                      </w:p>
                      <w:p>
                        <w:pPr>
                          <w:tabs>
                            <w:tab w:val="left" w:pos="406"/>
                          </w:tabs>
                          <w:spacing w:line="256" w:lineRule="auto"/>
                          <w:ind w:left="28" w:firstLine="142"/>
                          <w:jc w:val="both"/>
                          <w:rPr>
                            <w:rFonts w:eastAsia="CIDFont+F4"/>
                            <w:bCs/>
                            <w:szCs w:val="24"/>
                          </w:rPr>
                        </w:pPr>
                        <w:r>
                          <w:rPr>
                            <w:rFonts w:eastAsia="CIDFont+F4"/>
                            <w:bCs/>
                            <w:szCs w:val="24"/>
                          </w:rPr>
                          <w:t></w:t>
                          <w:tab/>
                          <w:t>Sveikatos priežiūros specialistų prieinamumas ieškant pagalbos.</w:t>
                        </w:r>
                      </w:p>
                    </w:tc>
                  </w:tr>
                  <w:tr>
                    <w:tc>
                      <w:tcPr>
                        <w:tcW w:w="117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3</w:t>
                        </w: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szCs w:val="24"/>
                          </w:rPr>
                        </w:pPr>
                      </w:p>
                    </w:tc>
                    <w:tc>
                      <w:tcPr>
                        <w:tcW w:w="0" w:type="auto"/>
                        <w:tcBorders>
                          <w:top w:val="single" w:sz="4" w:space="0" w:color="auto"/>
                          <w:left w:val="single" w:sz="4" w:space="0" w:color="auto"/>
                          <w:bottom w:val="single" w:sz="4" w:space="0" w:color="auto"/>
                          <w:right w:val="single" w:sz="4" w:space="0" w:color="auto"/>
                        </w:tcBorders>
                        <w:hideMark/>
                      </w:tcPr>
                      <w:p>
                        <w:pPr>
                          <w:tabs>
                            <w:tab w:val="left" w:pos="496"/>
                          </w:tabs>
                          <w:ind w:firstLine="248"/>
                          <w:jc w:val="both"/>
                          <w:rPr>
                            <w:szCs w:val="24"/>
                          </w:rPr>
                        </w:pPr>
                        <w:r>
                          <w:rPr>
                            <w:szCs w:val="24"/>
                          </w:rPr>
                          <w:t></w:t>
                          <w:tab/>
                          <w:t>Pildo klausimyną „Namų aplinkos saugumas naujagimiui“ (Aprašo priedas Nr. 16)</w:t>
                        </w:r>
                      </w:p>
                      <w:p>
                        <w:pPr>
                          <w:tabs>
                            <w:tab w:val="left" w:pos="496"/>
                          </w:tabs>
                          <w:ind w:firstLine="248"/>
                          <w:jc w:val="both"/>
                          <w:rPr>
                            <w:szCs w:val="24"/>
                          </w:rPr>
                        </w:pPr>
                        <w:r>
                          <w:rPr>
                            <w:szCs w:val="24"/>
                          </w:rPr>
                          <w:t></w:t>
                          <w:tab/>
                          <w:t>Suteikti informaciją apie pirmąją pagalbą vaikui.</w:t>
                        </w:r>
                      </w:p>
                      <w:p>
                        <w:pPr>
                          <w:tabs>
                            <w:tab w:val="left" w:pos="496"/>
                          </w:tabs>
                          <w:ind w:firstLine="248"/>
                          <w:jc w:val="both"/>
                          <w:rPr>
                            <w:szCs w:val="24"/>
                          </w:rPr>
                        </w:pPr>
                        <w:r>
                          <w:rPr>
                            <w:szCs w:val="24"/>
                          </w:rPr>
                          <w:t></w:t>
                          <w:tab/>
                          <w:t>Vertinti žindymą ir supažindinti su LAM.</w:t>
                        </w:r>
                      </w:p>
                      <w:p>
                        <w:pPr>
                          <w:tabs>
                            <w:tab w:val="left" w:pos="496"/>
                          </w:tabs>
                          <w:ind w:firstLine="248"/>
                          <w:jc w:val="both"/>
                          <w:rPr>
                            <w:szCs w:val="24"/>
                          </w:rPr>
                        </w:pPr>
                        <w:r>
                          <w:rPr>
                            <w:szCs w:val="24"/>
                          </w:rPr>
                          <w:t></w:t>
                          <w:tab/>
                          <w:t xml:space="preserve">Išklausyti ir padėti išspręsti  emocines problemas.</w:t>
                        </w:r>
                      </w:p>
                    </w:tc>
                    <w:tc>
                      <w:tcPr>
                        <w:tcW w:w="0" w:type="auto"/>
                        <w:tcBorders>
                          <w:top w:val="single" w:sz="4" w:space="0" w:color="auto"/>
                          <w:left w:val="single" w:sz="4" w:space="0" w:color="auto"/>
                          <w:bottom w:val="single" w:sz="4" w:space="0" w:color="auto"/>
                          <w:right w:val="single" w:sz="4" w:space="0" w:color="auto"/>
                        </w:tcBorders>
                      </w:tcPr>
                      <w:p>
                        <w:pPr>
                          <w:widowControl w:val="0"/>
                          <w:tabs>
                            <w:tab w:val="left" w:pos="391"/>
                          </w:tabs>
                          <w:ind w:left="28" w:right="-705" w:firstLine="142"/>
                          <w:jc w:val="both"/>
                          <w:rPr>
                            <w:bCs/>
                            <w:szCs w:val="24"/>
                          </w:rPr>
                        </w:pPr>
                        <w:r>
                          <w:rPr>
                            <w:bCs/>
                            <w:szCs w:val="24"/>
                          </w:rPr>
                          <w:t></w:t>
                          <w:tab/>
                        </w:r>
                        <w:r>
                          <w:rPr>
                            <w:szCs w:val="24"/>
                          </w:rPr>
                          <w:t xml:space="preserve">Saugi namų vidaus aplinka. </w:t>
                        </w:r>
                      </w:p>
                      <w:p>
                        <w:pPr>
                          <w:widowControl w:val="0"/>
                          <w:tabs>
                            <w:tab w:val="left" w:pos="391"/>
                          </w:tabs>
                          <w:ind w:left="28" w:right="-705" w:firstLine="142"/>
                          <w:jc w:val="both"/>
                          <w:rPr>
                            <w:bCs/>
                            <w:szCs w:val="24"/>
                          </w:rPr>
                        </w:pPr>
                        <w:r>
                          <w:rPr>
                            <w:bCs/>
                            <w:szCs w:val="24"/>
                          </w:rPr>
                          <w:t></w:t>
                          <w:tab/>
                        </w:r>
                        <w:r>
                          <w:rPr>
                            <w:szCs w:val="24"/>
                          </w:rPr>
                          <w:t xml:space="preserve">Saugus vaiko kambarys, pritaikytas vaiko poreikiams. </w:t>
                        </w:r>
                      </w:p>
                      <w:p>
                        <w:pPr>
                          <w:widowControl w:val="0"/>
                          <w:tabs>
                            <w:tab w:val="left" w:pos="391"/>
                          </w:tabs>
                          <w:ind w:left="28" w:right="-705" w:firstLine="142"/>
                          <w:jc w:val="both"/>
                          <w:rPr>
                            <w:bCs/>
                            <w:szCs w:val="24"/>
                          </w:rPr>
                        </w:pPr>
                        <w:r>
                          <w:rPr>
                            <w:bCs/>
                            <w:szCs w:val="24"/>
                          </w:rPr>
                          <w:t></w:t>
                          <w:tab/>
                        </w:r>
                        <w:r>
                          <w:rPr>
                            <w:szCs w:val="24"/>
                          </w:rPr>
                          <w:t xml:space="preserve">Saugi aplinka kieme. </w:t>
                        </w:r>
                      </w:p>
                      <w:p>
                        <w:pPr>
                          <w:tabs>
                            <w:tab w:val="left" w:pos="391"/>
                          </w:tabs>
                          <w:spacing w:line="256" w:lineRule="auto"/>
                          <w:ind w:left="28" w:firstLine="142"/>
                          <w:jc w:val="both"/>
                          <w:rPr>
                            <w:rFonts w:eastAsia="CIDFont+F4"/>
                            <w:bCs/>
                            <w:szCs w:val="24"/>
                          </w:rPr>
                        </w:pPr>
                        <w:r>
                          <w:rPr>
                            <w:rFonts w:eastAsia="CIDFont+F4"/>
                            <w:bCs/>
                            <w:szCs w:val="24"/>
                          </w:rPr>
                          <w:t></w:t>
                          <w:tab/>
                        </w:r>
                        <w:r>
                          <w:rPr>
                            <w:szCs w:val="24"/>
                          </w:rPr>
                          <w:t>Žindymas ir kontracepcija.</w:t>
                        </w:r>
                      </w:p>
                      <w:p>
                        <w:pPr>
                          <w:tabs>
                            <w:tab w:val="left" w:pos="391"/>
                          </w:tabs>
                          <w:spacing w:line="256" w:lineRule="auto"/>
                          <w:ind w:left="28" w:firstLine="142"/>
                          <w:jc w:val="both"/>
                          <w:rPr>
                            <w:szCs w:val="24"/>
                          </w:rPr>
                        </w:pPr>
                        <w:r>
                          <w:rPr>
                            <w:szCs w:val="24"/>
                          </w:rPr>
                          <w:t></w:t>
                          <w:tab/>
                          <w:t>Emocinė būklė pagimdžius, kaip nepervargti, režimo sutvarkymas.</w:t>
                        </w:r>
                      </w:p>
                      <w:p>
                        <w:pPr>
                          <w:ind w:left="487" w:hanging="127"/>
                          <w:jc w:val="both"/>
                          <w:rPr>
                            <w:szCs w:val="24"/>
                          </w:rPr>
                        </w:pPr>
                      </w:p>
                    </w:tc>
                  </w:tr>
                  <w:tr>
                    <w:tc>
                      <w:tcPr>
                        <w:tcW w:w="117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4</w:t>
                        </w:r>
                      </w:p>
                    </w:tc>
                    <w:tc>
                      <w:tcPr>
                        <w:tcW w:w="1445" w:type="dxa"/>
                        <w:vMerge w:val="restart"/>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mėn.</w:t>
                        </w:r>
                      </w:p>
                    </w:tc>
                    <w:tc>
                      <w:tcPr>
                        <w:tcW w:w="0" w:type="auto"/>
                        <w:tcBorders>
                          <w:top w:val="single" w:sz="4" w:space="0" w:color="auto"/>
                          <w:left w:val="single" w:sz="4" w:space="0" w:color="auto"/>
                          <w:bottom w:val="single" w:sz="4" w:space="0" w:color="auto"/>
                          <w:right w:val="single" w:sz="4" w:space="0" w:color="auto"/>
                        </w:tcBorders>
                        <w:hideMark/>
                      </w:tcPr>
                      <w:p>
                        <w:pPr>
                          <w:tabs>
                            <w:tab w:val="left" w:pos="496"/>
                          </w:tabs>
                          <w:spacing w:line="256" w:lineRule="auto"/>
                          <w:ind w:firstLine="248"/>
                          <w:rPr>
                            <w:szCs w:val="24"/>
                          </w:rPr>
                        </w:pPr>
                        <w:r>
                          <w:rPr>
                            <w:szCs w:val="24"/>
                          </w:rPr>
                          <w:t></w:t>
                          <w:tab/>
                          <w:t>Pildo klausimyną “Vaiko sveikata ir raida 0-3 mėn.” (Aprašo priedas Nr. 18).</w:t>
                        </w:r>
                      </w:p>
                      <w:p>
                        <w:pPr>
                          <w:tabs>
                            <w:tab w:val="left" w:pos="496"/>
                          </w:tabs>
                          <w:ind w:firstLine="248"/>
                          <w:rPr>
                            <w:szCs w:val="24"/>
                          </w:rPr>
                        </w:pPr>
                        <w:r>
                          <w:rPr>
                            <w:szCs w:val="24"/>
                          </w:rPr>
                          <w:t></w:t>
                          <w:tab/>
                          <w:t>Pateikti su kūdikio lavinimu ir bendravimu susijusias rekomendacijas.</w:t>
                        </w:r>
                      </w:p>
                    </w:tc>
                    <w:tc>
                      <w:tcPr>
                        <w:tcW w:w="0" w:type="auto"/>
                        <w:tcBorders>
                          <w:top w:val="single" w:sz="4" w:space="0" w:color="auto"/>
                          <w:left w:val="single" w:sz="4" w:space="0" w:color="auto"/>
                          <w:bottom w:val="single" w:sz="4" w:space="0" w:color="auto"/>
                          <w:right w:val="single" w:sz="4" w:space="0" w:color="auto"/>
                        </w:tcBorders>
                        <w:hideMark/>
                      </w:tcPr>
                      <w:p>
                        <w:pPr>
                          <w:tabs>
                            <w:tab w:val="left" w:pos="391"/>
                          </w:tabs>
                          <w:spacing w:line="256" w:lineRule="auto"/>
                          <w:ind w:left="28" w:firstLine="142"/>
                          <w:jc w:val="both"/>
                          <w:rPr>
                            <w:szCs w:val="24"/>
                          </w:rPr>
                        </w:pPr>
                        <w:r>
                          <w:rPr>
                            <w:szCs w:val="24"/>
                          </w:rPr>
                          <w:t></w:t>
                          <w:tab/>
                          <w:t>Vaiko skiepijamas ir skatinimas atlikti vakcinaciją</w:t>
                        </w:r>
                      </w:p>
                      <w:p>
                        <w:pPr>
                          <w:tabs>
                            <w:tab w:val="left" w:pos="391"/>
                          </w:tabs>
                          <w:ind w:left="28" w:firstLine="142"/>
                          <w:jc w:val="both"/>
                          <w:rPr>
                            <w:szCs w:val="24"/>
                          </w:rPr>
                        </w:pPr>
                        <w:r>
                          <w:rPr>
                            <w:szCs w:val="24"/>
                          </w:rPr>
                          <w:t xml:space="preserve">Vaiko sveikata (mityba, vitamino D vartojimas) ir informacija apie galimybes gauti pagal sveikatos būklę reikiamas asmens sveikatos priežiūros paslaugas. </w:t>
                        </w:r>
                      </w:p>
                    </w:tc>
                  </w:tr>
                  <w:tr>
                    <w:tc>
                      <w:tcPr>
                        <w:tcW w:w="117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5</w:t>
                        </w: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szCs w:val="24"/>
                          </w:rPr>
                        </w:pPr>
                      </w:p>
                    </w:tc>
                    <w:tc>
                      <w:tcPr>
                        <w:tcW w:w="0" w:type="auto"/>
                        <w:tcBorders>
                          <w:top w:val="single" w:sz="4" w:space="0" w:color="auto"/>
                          <w:left w:val="single" w:sz="4" w:space="0" w:color="auto"/>
                          <w:bottom w:val="single" w:sz="4" w:space="0" w:color="auto"/>
                          <w:right w:val="single" w:sz="4" w:space="0" w:color="auto"/>
                        </w:tcBorders>
                        <w:hideMark/>
                      </w:tcPr>
                      <w:p>
                        <w:pPr>
                          <w:tabs>
                            <w:tab w:val="left" w:pos="532"/>
                          </w:tabs>
                          <w:ind w:firstLine="248"/>
                          <w:jc w:val="both"/>
                          <w:rPr>
                            <w:szCs w:val="24"/>
                          </w:rPr>
                        </w:pPr>
                        <w:r>
                          <w:rPr>
                            <w:szCs w:val="24"/>
                          </w:rPr>
                          <w:t></w:t>
                          <w:tab/>
                          <w:t>Pildo klausimyną „Pogimdyminės depresijos skalė“ (Aprašo priedas Nr. 12).</w:t>
                        </w:r>
                      </w:p>
                      <w:p>
                        <w:pPr>
                          <w:tabs>
                            <w:tab w:val="left" w:pos="532"/>
                          </w:tabs>
                          <w:ind w:firstLine="248"/>
                          <w:jc w:val="both"/>
                          <w:rPr>
                            <w:szCs w:val="24"/>
                          </w:rPr>
                        </w:pPr>
                        <w:r>
                          <w:rPr>
                            <w:szCs w:val="24"/>
                          </w:rPr>
                          <w:t></w:t>
                          <w:tab/>
                          <w:t>Pildo klausimyną “Antenatalinės rizikos vertinimas gimdyvėms” (Aprašo priedas Nr. 19).</w:t>
                        </w:r>
                      </w:p>
                      <w:p>
                        <w:pPr>
                          <w:tabs>
                            <w:tab w:val="left" w:pos="532"/>
                          </w:tabs>
                          <w:ind w:firstLine="248"/>
                          <w:jc w:val="both"/>
                          <w:rPr>
                            <w:szCs w:val="24"/>
                          </w:rPr>
                        </w:pPr>
                        <w:r>
                          <w:rPr>
                            <w:szCs w:val="24"/>
                          </w:rPr>
                          <w:t></w:t>
                          <w:tab/>
                          <w:t>Skatinti po gimdymo apsilankyti pas gydytoją akušerį ginekologą.</w:t>
                        </w:r>
                      </w:p>
                    </w:tc>
                    <w:tc>
                      <w:tcPr>
                        <w:tcW w:w="0" w:type="auto"/>
                        <w:tcBorders>
                          <w:top w:val="single" w:sz="4" w:space="0" w:color="auto"/>
                          <w:left w:val="single" w:sz="4" w:space="0" w:color="auto"/>
                          <w:bottom w:val="single" w:sz="4" w:space="0" w:color="auto"/>
                          <w:right w:val="single" w:sz="4" w:space="0" w:color="auto"/>
                        </w:tcBorders>
                        <w:hideMark/>
                      </w:tcPr>
                      <w:p>
                        <w:pPr>
                          <w:tabs>
                            <w:tab w:val="left" w:pos="454"/>
                          </w:tabs>
                          <w:spacing w:line="276" w:lineRule="auto"/>
                          <w:ind w:left="28" w:firstLine="142"/>
                          <w:jc w:val="both"/>
                          <w:rPr>
                            <w:rFonts w:eastAsia="CIDFont+F4"/>
                            <w:szCs w:val="24"/>
                          </w:rPr>
                        </w:pPr>
                        <w:r>
                          <w:rPr>
                            <w:rFonts w:eastAsia="CIDFont+F4"/>
                            <w:szCs w:val="24"/>
                          </w:rPr>
                          <w:t></w:t>
                          <w:tab/>
                        </w:r>
                        <w:r>
                          <w:rPr>
                            <w:rFonts w:eastAsia="CIDFont+F3"/>
                            <w:szCs w:val="24"/>
                          </w:rPr>
                          <w:t xml:space="preserve">Emocijų ir elgesio sutrikimai.   </w:t>
                        </w:r>
                      </w:p>
                      <w:p>
                        <w:pPr>
                          <w:tabs>
                            <w:tab w:val="left" w:pos="454"/>
                          </w:tabs>
                          <w:spacing w:line="276" w:lineRule="auto"/>
                          <w:ind w:left="28" w:firstLine="142"/>
                          <w:jc w:val="both"/>
                          <w:rPr>
                            <w:rFonts w:eastAsia="CIDFont+F4"/>
                            <w:szCs w:val="24"/>
                          </w:rPr>
                        </w:pPr>
                        <w:r>
                          <w:rPr>
                            <w:rFonts w:eastAsia="CIDFont+F4"/>
                            <w:szCs w:val="24"/>
                          </w:rPr>
                          <w:t></w:t>
                          <w:tab/>
                          <w:t>Mamos vaikystės patirtys.</w:t>
                        </w:r>
                      </w:p>
                      <w:p>
                        <w:pPr>
                          <w:tabs>
                            <w:tab w:val="left" w:pos="454"/>
                          </w:tabs>
                          <w:spacing w:line="276" w:lineRule="auto"/>
                          <w:ind w:left="28" w:firstLine="142"/>
                          <w:jc w:val="both"/>
                          <w:rPr>
                            <w:rFonts w:eastAsia="CIDFont+F4"/>
                            <w:szCs w:val="24"/>
                          </w:rPr>
                        </w:pPr>
                        <w:r>
                          <w:rPr>
                            <w:rFonts w:eastAsia="CIDFont+F4"/>
                            <w:szCs w:val="24"/>
                          </w:rPr>
                          <w:t></w:t>
                          <w:tab/>
                          <w:t xml:space="preserve">Santykiai su partneriu ir tėvais. </w:t>
                        </w:r>
                      </w:p>
                      <w:p>
                        <w:pPr>
                          <w:tabs>
                            <w:tab w:val="left" w:pos="454"/>
                          </w:tabs>
                          <w:spacing w:line="276" w:lineRule="auto"/>
                          <w:ind w:left="28" w:firstLine="142"/>
                          <w:jc w:val="both"/>
                          <w:rPr>
                            <w:rFonts w:eastAsia="CIDFont+F4"/>
                            <w:szCs w:val="24"/>
                          </w:rPr>
                        </w:pPr>
                        <w:r>
                          <w:rPr>
                            <w:rFonts w:eastAsia="CIDFont+F4"/>
                            <w:szCs w:val="24"/>
                          </w:rPr>
                          <w:t></w:t>
                          <w:tab/>
                          <w:t xml:space="preserve">Patirtys gimdant ir auginant kūdikį. </w:t>
                        </w:r>
                      </w:p>
                      <w:p>
                        <w:pPr>
                          <w:tabs>
                            <w:tab w:val="left" w:pos="454"/>
                          </w:tabs>
                          <w:spacing w:line="256" w:lineRule="auto"/>
                          <w:ind w:left="28" w:firstLine="142"/>
                          <w:jc w:val="both"/>
                          <w:rPr>
                            <w:szCs w:val="24"/>
                          </w:rPr>
                        </w:pPr>
                        <w:r>
                          <w:rPr>
                            <w:szCs w:val="24"/>
                          </w:rPr>
                          <w:t></w:t>
                          <w:tab/>
                          <w:t>Mamos psichologinė būsena po gimdymo.</w:t>
                        </w:r>
                      </w:p>
                    </w:tc>
                  </w:tr>
                  <w:tr>
                    <w:tc>
                      <w:tcPr>
                        <w:tcW w:w="117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6</w:t>
                        </w: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szCs w:val="24"/>
                          </w:rPr>
                        </w:pPr>
                      </w:p>
                    </w:tc>
                    <w:tc>
                      <w:tcPr>
                        <w:tcW w:w="0" w:type="auto"/>
                        <w:tcBorders>
                          <w:top w:val="single" w:sz="4" w:space="0" w:color="auto"/>
                          <w:left w:val="single" w:sz="4" w:space="0" w:color="auto"/>
                          <w:bottom w:val="single" w:sz="4" w:space="0" w:color="auto"/>
                          <w:right w:val="single" w:sz="4" w:space="0" w:color="auto"/>
                        </w:tcBorders>
                        <w:hideMark/>
                      </w:tcPr>
                      <w:p>
                        <w:pPr>
                          <w:tabs>
                            <w:tab w:val="left" w:pos="496"/>
                          </w:tabs>
                          <w:spacing w:line="256" w:lineRule="auto"/>
                          <w:ind w:firstLine="248"/>
                          <w:jc w:val="both"/>
                          <w:rPr>
                            <w:szCs w:val="24"/>
                          </w:rPr>
                        </w:pPr>
                        <w:r>
                          <w:rPr>
                            <w:szCs w:val="24"/>
                          </w:rPr>
                          <w:t></w:t>
                          <w:tab/>
                          <w:t xml:space="preserve">Pildo klausimynus raidos vertinimui priklausomai nuo kūdikio amžiaus </w:t>
                        </w:r>
                      </w:p>
                      <w:p>
                        <w:pPr>
                          <w:tabs>
                            <w:tab w:val="left" w:pos="496"/>
                          </w:tabs>
                          <w:ind w:firstLine="248"/>
                          <w:rPr>
                            <w:szCs w:val="24"/>
                          </w:rPr>
                        </w:pPr>
                        <w:r>
                          <w:rPr>
                            <w:szCs w:val="24"/>
                          </w:rPr>
                          <w:t></w:t>
                          <w:tab/>
                          <w:t>Supažindinti su vaikų ligomis ir jų prevencija.</w:t>
                        </w:r>
                      </w:p>
                      <w:p>
                        <w:pPr>
                          <w:tabs>
                            <w:tab w:val="left" w:pos="496"/>
                          </w:tabs>
                          <w:ind w:firstLine="248"/>
                          <w:rPr>
                            <w:szCs w:val="24"/>
                          </w:rPr>
                        </w:pPr>
                        <w:r>
                          <w:rPr>
                            <w:szCs w:val="24"/>
                          </w:rPr>
                          <w:t></w:t>
                          <w:tab/>
                          <w:t>Informuoti apie tinkamą kūdikių vaistinėlę namuose.</w:t>
                        </w:r>
                      </w:p>
                    </w:tc>
                    <w:tc>
                      <w:tcPr>
                        <w:tcW w:w="0" w:type="auto"/>
                        <w:tcBorders>
                          <w:top w:val="single" w:sz="4" w:space="0" w:color="auto"/>
                          <w:left w:val="single" w:sz="4" w:space="0" w:color="auto"/>
                          <w:bottom w:val="single" w:sz="4" w:space="0" w:color="auto"/>
                          <w:right w:val="single" w:sz="4" w:space="0" w:color="auto"/>
                        </w:tcBorders>
                        <w:hideMark/>
                      </w:tcPr>
                      <w:p>
                        <w:pPr>
                          <w:tabs>
                            <w:tab w:val="left" w:pos="466"/>
                          </w:tabs>
                          <w:spacing w:line="256" w:lineRule="auto"/>
                          <w:ind w:left="28" w:firstLine="142"/>
                          <w:jc w:val="both"/>
                          <w:rPr>
                            <w:szCs w:val="24"/>
                          </w:rPr>
                        </w:pPr>
                        <w:r>
                          <w:rPr>
                            <w:szCs w:val="24"/>
                          </w:rPr>
                          <w:t></w:t>
                          <w:tab/>
                          <w:t>Vaikų ligos (bėrimai, karščiavimai, pilvo diegliai, rachitas ir kt.).</w:t>
                        </w:r>
                      </w:p>
                      <w:p>
                        <w:pPr>
                          <w:tabs>
                            <w:tab w:val="left" w:pos="466"/>
                          </w:tabs>
                          <w:spacing w:line="256" w:lineRule="auto"/>
                          <w:ind w:left="28" w:firstLine="142"/>
                          <w:jc w:val="both"/>
                          <w:rPr>
                            <w:szCs w:val="24"/>
                          </w:rPr>
                        </w:pPr>
                        <w:r>
                          <w:rPr>
                            <w:szCs w:val="24"/>
                          </w:rPr>
                          <w:t></w:t>
                          <w:tab/>
                          <w:t>Neramus vaikas.</w:t>
                        </w:r>
                      </w:p>
                      <w:p>
                        <w:pPr>
                          <w:tabs>
                            <w:tab w:val="left" w:pos="466"/>
                          </w:tabs>
                          <w:spacing w:line="256" w:lineRule="auto"/>
                          <w:ind w:left="28" w:firstLine="142"/>
                          <w:jc w:val="both"/>
                          <w:rPr>
                            <w:szCs w:val="24"/>
                          </w:rPr>
                        </w:pPr>
                        <w:r>
                          <w:rPr>
                            <w:szCs w:val="24"/>
                          </w:rPr>
                          <w:t></w:t>
                          <w:tab/>
                          <w:t>Apmokoma kūdikio masažo, mankštos, glostymo, oro vonių.</w:t>
                        </w:r>
                      </w:p>
                      <w:p>
                        <w:pPr>
                          <w:tabs>
                            <w:tab w:val="left" w:pos="466"/>
                          </w:tabs>
                          <w:spacing w:line="256" w:lineRule="auto"/>
                          <w:ind w:left="28" w:firstLine="142"/>
                          <w:jc w:val="both"/>
                          <w:rPr>
                            <w:szCs w:val="24"/>
                          </w:rPr>
                        </w:pPr>
                        <w:r>
                          <w:rPr>
                            <w:szCs w:val="24"/>
                          </w:rPr>
                          <w:t></w:t>
                          <w:tab/>
                          <w:t xml:space="preserve">Įvertinamas namų vaistinėlės turinys. </w:t>
                        </w:r>
                      </w:p>
                    </w:tc>
                  </w:tr>
                  <w:tr>
                    <w:tc>
                      <w:tcPr>
                        <w:tcW w:w="117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7</w:t>
                        </w:r>
                      </w:p>
                    </w:tc>
                    <w:tc>
                      <w:tcPr>
                        <w:tcW w:w="1445" w:type="dxa"/>
                        <w:vMerge w:val="restart"/>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2 mėn.</w:t>
                        </w:r>
                      </w:p>
                    </w:tc>
                    <w:tc>
                      <w:tcPr>
                        <w:tcW w:w="0" w:type="auto"/>
                        <w:tcBorders>
                          <w:top w:val="single" w:sz="4" w:space="0" w:color="auto"/>
                          <w:left w:val="single" w:sz="4" w:space="0" w:color="auto"/>
                          <w:bottom w:val="single" w:sz="4" w:space="0" w:color="auto"/>
                          <w:right w:val="single" w:sz="4" w:space="0" w:color="auto"/>
                        </w:tcBorders>
                      </w:tcPr>
                      <w:p>
                        <w:pPr>
                          <w:tabs>
                            <w:tab w:val="left" w:pos="496"/>
                          </w:tabs>
                          <w:spacing w:line="256" w:lineRule="auto"/>
                          <w:ind w:left="106" w:firstLine="142"/>
                          <w:jc w:val="both"/>
                          <w:rPr>
                            <w:szCs w:val="24"/>
                          </w:rPr>
                        </w:pPr>
                        <w:r>
                          <w:rPr>
                            <w:szCs w:val="24"/>
                          </w:rPr>
                          <w:t></w:t>
                          <w:tab/>
                          <w:t>Pildo klausimyną “Vaiko sveikata ir raida 0-3 mėn.” (Aprašo priedas Nr. 18).</w:t>
                        </w:r>
                      </w:p>
                      <w:p>
                        <w:pPr>
                          <w:tabs>
                            <w:tab w:val="left" w:pos="496"/>
                          </w:tabs>
                          <w:ind w:left="106" w:firstLine="142"/>
                          <w:jc w:val="both"/>
                          <w:rPr>
                            <w:szCs w:val="24"/>
                          </w:rPr>
                        </w:pPr>
                        <w:r>
                          <w:rPr>
                            <w:szCs w:val="24"/>
                          </w:rPr>
                          <w:t></w:t>
                          <w:tab/>
                          <w:t>Pateikti su kūdikio lavinimu ir bendravimu susijusias rekomendacijas.</w:t>
                        </w:r>
                      </w:p>
                      <w:p>
                        <w:pPr>
                          <w:ind w:left="360"/>
                          <w:rPr>
                            <w:szCs w:val="24"/>
                          </w:rPr>
                        </w:pPr>
                      </w:p>
                    </w:tc>
                    <w:tc>
                      <w:tcPr>
                        <w:tcW w:w="0" w:type="auto"/>
                        <w:tcBorders>
                          <w:top w:val="single" w:sz="4" w:space="0" w:color="auto"/>
                          <w:left w:val="single" w:sz="4" w:space="0" w:color="auto"/>
                          <w:bottom w:val="single" w:sz="4" w:space="0" w:color="auto"/>
                          <w:right w:val="single" w:sz="4" w:space="0" w:color="auto"/>
                        </w:tcBorders>
                        <w:hideMark/>
                      </w:tcPr>
                      <w:p>
                        <w:pPr>
                          <w:tabs>
                            <w:tab w:val="left" w:pos="380"/>
                          </w:tabs>
                          <w:spacing w:line="256" w:lineRule="auto"/>
                          <w:ind w:firstLine="127"/>
                          <w:jc w:val="both"/>
                          <w:rPr>
                            <w:szCs w:val="24"/>
                          </w:rPr>
                        </w:pPr>
                        <w:r>
                          <w:rPr>
                            <w:szCs w:val="24"/>
                          </w:rPr>
                          <w:t></w:t>
                          <w:tab/>
                          <w:t xml:space="preserve">Vaikų ligos (bėrimai ir kiti simptomai) </w:t>
                        </w:r>
                      </w:p>
                      <w:p>
                        <w:pPr>
                          <w:tabs>
                            <w:tab w:val="left" w:pos="380"/>
                          </w:tabs>
                          <w:spacing w:line="256" w:lineRule="auto"/>
                          <w:ind w:firstLine="127"/>
                          <w:jc w:val="both"/>
                          <w:rPr>
                            <w:szCs w:val="24"/>
                          </w:rPr>
                        </w:pPr>
                        <w:r>
                          <w:rPr>
                            <w:szCs w:val="24"/>
                          </w:rPr>
                          <w:t></w:t>
                          <w:tab/>
                          <w:t>Kūdikio skiepijamo kalendorius.</w:t>
                        </w:r>
                      </w:p>
                      <w:p>
                        <w:pPr>
                          <w:tabs>
                            <w:tab w:val="left" w:pos="380"/>
                          </w:tabs>
                          <w:spacing w:line="256" w:lineRule="auto"/>
                          <w:ind w:firstLine="127"/>
                          <w:jc w:val="both"/>
                          <w:rPr>
                            <w:szCs w:val="24"/>
                          </w:rPr>
                        </w:pPr>
                        <w:r>
                          <w:rPr>
                            <w:szCs w:val="24"/>
                          </w:rPr>
                          <w:t></w:t>
                          <w:tab/>
                          <w:t xml:space="preserve">Kūdikio sveikata (mityba, vitamino D vartojimas) ir pakartojama informacija apie  galimybę gauti pagal sveikatos būklę reikiamas asmens sveikatos priežiūros paslaugas.</w:t>
                        </w:r>
                      </w:p>
                      <w:p>
                        <w:pPr>
                          <w:tabs>
                            <w:tab w:val="left" w:pos="380"/>
                          </w:tabs>
                          <w:ind w:firstLine="127"/>
                          <w:jc w:val="both"/>
                          <w:rPr>
                            <w:szCs w:val="24"/>
                          </w:rPr>
                        </w:pPr>
                        <w:r>
                          <w:rPr>
                            <w:szCs w:val="24"/>
                          </w:rPr>
                          <w:t></w:t>
                          <w:tab/>
                          <w:t>Reprodukcinė sveikata ir šeimos planavimo metodai po gimdymo.</w:t>
                        </w:r>
                      </w:p>
                    </w:tc>
                  </w:tr>
                  <w:tr>
                    <w:tc>
                      <w:tcPr>
                        <w:tcW w:w="117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8</w:t>
                        </w: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szCs w:val="24"/>
                          </w:rPr>
                        </w:pPr>
                      </w:p>
                    </w:tc>
                    <w:tc>
                      <w:tcPr>
                        <w:tcW w:w="0" w:type="auto"/>
                        <w:tcBorders>
                          <w:top w:val="single" w:sz="4" w:space="0" w:color="auto"/>
                          <w:left w:val="single" w:sz="4" w:space="0" w:color="auto"/>
                          <w:bottom w:val="single" w:sz="4" w:space="0" w:color="auto"/>
                          <w:right w:val="single" w:sz="4" w:space="0" w:color="auto"/>
                        </w:tcBorders>
                        <w:hideMark/>
                      </w:tcPr>
                      <w:p>
                        <w:pPr>
                          <w:rPr>
                            <w:sz w:val="8"/>
                            <w:szCs w:val="8"/>
                          </w:rPr>
                        </w:pPr>
                      </w:p>
                      <w:p>
                        <w:pPr>
                          <w:tabs>
                            <w:tab w:val="left" w:pos="532"/>
                          </w:tabs>
                          <w:ind w:left="106" w:firstLine="254"/>
                          <w:jc w:val="both"/>
                          <w:rPr>
                            <w:szCs w:val="24"/>
                          </w:rPr>
                        </w:pPr>
                        <w:r>
                          <w:rPr>
                            <w:szCs w:val="24"/>
                          </w:rPr>
                          <w:t></w:t>
                          <w:tab/>
                          <w:t>Pildo klausimyną “Emocinė gimdyvės situacija” (Aprašo priedas Nr. 20).</w:t>
                        </w:r>
                      </w:p>
                      <w:p>
                        <w:pPr>
                          <w:rPr>
                            <w:sz w:val="8"/>
                            <w:szCs w:val="8"/>
                          </w:rPr>
                        </w:pPr>
                      </w:p>
                      <w:p>
                        <w:pPr>
                          <w:tabs>
                            <w:tab w:val="left" w:pos="532"/>
                          </w:tabs>
                          <w:ind w:left="106" w:firstLine="254"/>
                          <w:jc w:val="both"/>
                          <w:rPr>
                            <w:strike/>
                            <w:szCs w:val="24"/>
                          </w:rPr>
                        </w:pPr>
                        <w:r>
                          <w:rPr>
                            <w:szCs w:val="24"/>
                          </w:rPr>
                          <w:t></w:t>
                          <w:tab/>
                          <w:t>Pildo klausimyną „Moters elgesys ir gyvensena“ (Aprašo priedas Nr. 21).</w:t>
                        </w:r>
                      </w:p>
                    </w:tc>
                    <w:tc>
                      <w:tcPr>
                        <w:tcW w:w="0" w:type="auto"/>
                        <w:tcBorders>
                          <w:top w:val="single" w:sz="4" w:space="0" w:color="auto"/>
                          <w:left w:val="single" w:sz="4" w:space="0" w:color="auto"/>
                          <w:bottom w:val="single" w:sz="4" w:space="0" w:color="auto"/>
                          <w:right w:val="single" w:sz="4" w:space="0" w:color="auto"/>
                        </w:tcBorders>
                        <w:hideMark/>
                      </w:tcPr>
                      <w:p>
                        <w:pPr>
                          <w:tabs>
                            <w:tab w:val="left" w:pos="331"/>
                          </w:tabs>
                          <w:spacing w:line="256" w:lineRule="auto"/>
                          <w:ind w:firstLine="97"/>
                          <w:jc w:val="both"/>
                          <w:rPr>
                            <w:szCs w:val="24"/>
                          </w:rPr>
                        </w:pPr>
                        <w:r>
                          <w:rPr>
                            <w:szCs w:val="24"/>
                          </w:rPr>
                          <w:t></w:t>
                          <w:tab/>
                          <w:t>Mamos emocinė ir fizinė sveikata.</w:t>
                        </w:r>
                      </w:p>
                      <w:p>
                        <w:pPr>
                          <w:tabs>
                            <w:tab w:val="left" w:pos="331"/>
                          </w:tabs>
                          <w:spacing w:line="256" w:lineRule="auto"/>
                          <w:ind w:firstLine="97"/>
                          <w:jc w:val="both"/>
                          <w:rPr>
                            <w:szCs w:val="24"/>
                          </w:rPr>
                        </w:pPr>
                        <w:r>
                          <w:rPr>
                            <w:szCs w:val="24"/>
                          </w:rPr>
                          <w:t></w:t>
                          <w:tab/>
                          <w:t>Fizinė savijauta trukdo atlikti kasdieninius darbus ir/ar trukdo dirbti įprastą darbą.</w:t>
                        </w:r>
                      </w:p>
                      <w:p>
                        <w:pPr>
                          <w:tabs>
                            <w:tab w:val="left" w:pos="331"/>
                          </w:tabs>
                          <w:spacing w:line="256" w:lineRule="auto"/>
                          <w:ind w:firstLine="97"/>
                          <w:jc w:val="both"/>
                          <w:rPr>
                            <w:szCs w:val="24"/>
                          </w:rPr>
                        </w:pPr>
                        <w:r>
                          <w:rPr>
                            <w:szCs w:val="24"/>
                          </w:rPr>
                          <w:t></w:t>
                          <w:tab/>
                          <w:t>Emocinė savijauta trukdo atlikti įprastus darbus.</w:t>
                        </w:r>
                      </w:p>
                      <w:p>
                        <w:pPr>
                          <w:tabs>
                            <w:tab w:val="left" w:pos="331"/>
                          </w:tabs>
                          <w:spacing w:line="256" w:lineRule="auto"/>
                          <w:ind w:firstLine="97"/>
                          <w:jc w:val="both"/>
                          <w:rPr>
                            <w:szCs w:val="24"/>
                          </w:rPr>
                        </w:pPr>
                        <w:r>
                          <w:rPr>
                            <w:szCs w:val="24"/>
                          </w:rPr>
                          <w:t></w:t>
                          <w:tab/>
                          <w:t>Fizinė ir emocinė savijautos poveikis socialiniam gyvenimui.</w:t>
                        </w:r>
                      </w:p>
                      <w:p>
                        <w:pPr>
                          <w:tabs>
                            <w:tab w:val="left" w:pos="331"/>
                          </w:tabs>
                          <w:spacing w:line="256" w:lineRule="auto"/>
                          <w:ind w:firstLine="97"/>
                          <w:jc w:val="both"/>
                          <w:rPr>
                            <w:szCs w:val="24"/>
                          </w:rPr>
                        </w:pPr>
                        <w:r>
                          <w:rPr>
                            <w:szCs w:val="24"/>
                          </w:rPr>
                          <w:t></w:t>
                          <w:tab/>
                        </w:r>
                        <w:r>
                          <w:rPr>
                            <w:rFonts w:eastAsia="CIDFont+F3"/>
                            <w:szCs w:val="24"/>
                          </w:rPr>
                          <w:t>Rizikingos elgsenos apraiškos.</w:t>
                        </w:r>
                      </w:p>
                      <w:p>
                        <w:pPr>
                          <w:tabs>
                            <w:tab w:val="left" w:pos="331"/>
                          </w:tabs>
                          <w:spacing w:line="256" w:lineRule="auto"/>
                          <w:ind w:firstLine="97"/>
                          <w:jc w:val="both"/>
                          <w:rPr>
                            <w:szCs w:val="24"/>
                          </w:rPr>
                        </w:pPr>
                        <w:r>
                          <w:rPr>
                            <w:szCs w:val="24"/>
                          </w:rPr>
                          <w:t></w:t>
                          <w:tab/>
                        </w:r>
                        <w:r>
                          <w:rPr>
                            <w:rFonts w:eastAsia="CIDFont+F3"/>
                            <w:szCs w:val="24"/>
                          </w:rPr>
                          <w:t>Elgesio ir emocijų sutrikimai.</w:t>
                        </w:r>
                      </w:p>
                      <w:p>
                        <w:pPr>
                          <w:tabs>
                            <w:tab w:val="left" w:pos="331"/>
                          </w:tabs>
                          <w:spacing w:line="256" w:lineRule="auto"/>
                          <w:ind w:firstLine="97"/>
                          <w:jc w:val="both"/>
                          <w:rPr>
                            <w:szCs w:val="24"/>
                          </w:rPr>
                        </w:pPr>
                        <w:r>
                          <w:rPr>
                            <w:szCs w:val="24"/>
                          </w:rPr>
                          <w:t></w:t>
                          <w:tab/>
                        </w:r>
                        <w:r>
                          <w:rPr>
                            <w:rFonts w:eastAsia="CIDFont+F3"/>
                            <w:szCs w:val="24"/>
                          </w:rPr>
                          <w:t>Seksualinis elgesys.</w:t>
                        </w:r>
                      </w:p>
                      <w:p>
                        <w:pPr>
                          <w:tabs>
                            <w:tab w:val="left" w:pos="331"/>
                          </w:tabs>
                          <w:spacing w:line="256" w:lineRule="auto"/>
                          <w:ind w:firstLine="97"/>
                          <w:jc w:val="both"/>
                          <w:rPr>
                            <w:szCs w:val="24"/>
                          </w:rPr>
                        </w:pPr>
                        <w:r>
                          <w:rPr>
                            <w:szCs w:val="24"/>
                          </w:rPr>
                          <w:t></w:t>
                          <w:tab/>
                        </w:r>
                        <w:r>
                          <w:rPr>
                            <w:bCs/>
                            <w:szCs w:val="24"/>
                          </w:rPr>
                          <w:t>Tinkama mityba.</w:t>
                        </w:r>
                      </w:p>
                      <w:p>
                        <w:pPr>
                          <w:tabs>
                            <w:tab w:val="left" w:pos="331"/>
                          </w:tabs>
                          <w:spacing w:line="256" w:lineRule="auto"/>
                          <w:ind w:firstLine="97"/>
                          <w:jc w:val="both"/>
                          <w:rPr>
                            <w:szCs w:val="24"/>
                          </w:rPr>
                        </w:pPr>
                        <w:r>
                          <w:rPr>
                            <w:szCs w:val="24"/>
                          </w:rPr>
                          <w:t></w:t>
                          <w:tab/>
                        </w:r>
                        <w:r>
                          <w:rPr>
                            <w:rFonts w:eastAsia="CIDFont+F3"/>
                            <w:szCs w:val="24"/>
                          </w:rPr>
                          <w:t>F</w:t>
                        </w:r>
                        <w:r>
                          <w:rPr>
                            <w:bCs/>
                            <w:szCs w:val="24"/>
                          </w:rPr>
                          <w:t>izinis aktyvumas.</w:t>
                        </w:r>
                      </w:p>
                      <w:p>
                        <w:pPr>
                          <w:tabs>
                            <w:tab w:val="left" w:pos="331"/>
                          </w:tabs>
                          <w:spacing w:line="256" w:lineRule="auto"/>
                          <w:ind w:firstLine="97"/>
                          <w:jc w:val="both"/>
                          <w:rPr>
                            <w:szCs w:val="24"/>
                          </w:rPr>
                        </w:pPr>
                        <w:r>
                          <w:rPr>
                            <w:szCs w:val="24"/>
                          </w:rPr>
                          <w:t></w:t>
                          <w:tab/>
                          <w:t>Nerimas, baimės.</w:t>
                        </w:r>
                      </w:p>
                      <w:p>
                        <w:pPr>
                          <w:tabs>
                            <w:tab w:val="left" w:pos="331"/>
                          </w:tabs>
                          <w:spacing w:line="256" w:lineRule="auto"/>
                          <w:ind w:firstLine="97"/>
                          <w:jc w:val="both"/>
                          <w:rPr>
                            <w:szCs w:val="24"/>
                          </w:rPr>
                        </w:pPr>
                        <w:r>
                          <w:rPr>
                            <w:szCs w:val="24"/>
                          </w:rPr>
                          <w:t></w:t>
                          <w:tab/>
                          <w:t>Gebėjimas prisitaikyti.</w:t>
                        </w:r>
                      </w:p>
                    </w:tc>
                  </w:tr>
                  <w:tr>
                    <w:tc>
                      <w:tcPr>
                        <w:tcW w:w="117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9</w:t>
                        </w:r>
                      </w:p>
                    </w:tc>
                    <w:tc>
                      <w:tcPr>
                        <w:tcW w:w="1445" w:type="dxa"/>
                        <w:vMerge w:val="restart"/>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3 mėn.</w:t>
                        </w:r>
                      </w:p>
                    </w:tc>
                    <w:tc>
                      <w:tcPr>
                        <w:tcW w:w="0" w:type="auto"/>
                        <w:tcBorders>
                          <w:top w:val="single" w:sz="4" w:space="0" w:color="auto"/>
                          <w:left w:val="single" w:sz="4" w:space="0" w:color="auto"/>
                          <w:bottom w:val="single" w:sz="4" w:space="0" w:color="auto"/>
                          <w:right w:val="single" w:sz="4" w:space="0" w:color="auto"/>
                        </w:tcBorders>
                        <w:hideMark/>
                      </w:tcPr>
                      <w:p>
                        <w:pPr>
                          <w:tabs>
                            <w:tab w:val="left" w:pos="466"/>
                          </w:tabs>
                          <w:spacing w:line="256" w:lineRule="auto"/>
                          <w:ind w:left="106" w:firstLine="142"/>
                          <w:rPr>
                            <w:szCs w:val="24"/>
                          </w:rPr>
                        </w:pPr>
                        <w:r>
                          <w:rPr>
                            <w:szCs w:val="24"/>
                          </w:rPr>
                          <w:t></w:t>
                          <w:tab/>
                          <w:t>Pildo klausimyną “Vaiko sveikata ir raida 0-3 mėn.” (Aprašo priedas Nr. 18).</w:t>
                        </w:r>
                      </w:p>
                      <w:p>
                        <w:pPr>
                          <w:tabs>
                            <w:tab w:val="left" w:pos="466"/>
                          </w:tabs>
                          <w:ind w:left="106" w:firstLine="142"/>
                          <w:rPr>
                            <w:szCs w:val="24"/>
                          </w:rPr>
                        </w:pPr>
                        <w:r>
                          <w:rPr>
                            <w:szCs w:val="24"/>
                          </w:rPr>
                          <w:t></w:t>
                          <w:tab/>
                          <w:t>Pateikti su kūdikio lavinimu ir bendravimu susijusias rekomendacijas.</w:t>
                        </w:r>
                      </w:p>
                      <w:p>
                        <w:pPr>
                          <w:tabs>
                            <w:tab w:val="left" w:pos="466"/>
                          </w:tabs>
                          <w:ind w:left="106" w:firstLine="142"/>
                          <w:rPr>
                            <w:szCs w:val="24"/>
                          </w:rPr>
                        </w:pPr>
                        <w:r>
                          <w:rPr>
                            <w:szCs w:val="24"/>
                          </w:rPr>
                          <w:t></w:t>
                          <w:tab/>
                        </w:r>
                        <w:r>
                          <w:rPr>
                            <w:rFonts w:eastAsia="CIDFont+F4"/>
                            <w:bCs/>
                            <w:szCs w:val="24"/>
                          </w:rPr>
                          <w:t>Gebėjimas suprasti vaiko jausmus ir poreikius.</w:t>
                        </w:r>
                      </w:p>
                      <w:p>
                        <w:pPr>
                          <w:tabs>
                            <w:tab w:val="left" w:pos="466"/>
                          </w:tabs>
                          <w:ind w:left="106" w:firstLine="142"/>
                          <w:rPr>
                            <w:szCs w:val="24"/>
                          </w:rPr>
                        </w:pPr>
                        <w:r>
                          <w:rPr>
                            <w:szCs w:val="24"/>
                          </w:rPr>
                          <w:t></w:t>
                          <w:tab/>
                        </w:r>
                        <w:r>
                          <w:rPr>
                            <w:rFonts w:eastAsia="CIDFont+F4"/>
                            <w:bCs/>
                            <w:szCs w:val="24"/>
                          </w:rPr>
                          <w:t xml:space="preserve">Gebėjimas pasirūpinti savo vaiku esant skirtingoms situacijoms namuose ar išvykus iš namų. </w:t>
                        </w:r>
                      </w:p>
                    </w:tc>
                    <w:tc>
                      <w:tcPr>
                        <w:tcW w:w="0" w:type="auto"/>
                        <w:tcBorders>
                          <w:top w:val="single" w:sz="4" w:space="0" w:color="auto"/>
                          <w:left w:val="single" w:sz="4" w:space="0" w:color="auto"/>
                          <w:bottom w:val="single" w:sz="4" w:space="0" w:color="auto"/>
                          <w:right w:val="single" w:sz="4" w:space="0" w:color="auto"/>
                        </w:tcBorders>
                      </w:tcPr>
                      <w:p>
                        <w:pPr>
                          <w:tabs>
                            <w:tab w:val="left" w:pos="522"/>
                          </w:tabs>
                          <w:spacing w:line="256" w:lineRule="auto"/>
                          <w:ind w:left="97" w:firstLine="141"/>
                          <w:jc w:val="both"/>
                          <w:rPr>
                            <w:szCs w:val="24"/>
                          </w:rPr>
                        </w:pPr>
                        <w:r>
                          <w:rPr>
                            <w:szCs w:val="24"/>
                          </w:rPr>
                          <w:t></w:t>
                          <w:tab/>
                          <w:t>Raida atitinkanti amžių.</w:t>
                        </w:r>
                      </w:p>
                      <w:p>
                        <w:pPr>
                          <w:tabs>
                            <w:tab w:val="left" w:pos="522"/>
                          </w:tabs>
                          <w:spacing w:line="256" w:lineRule="auto"/>
                          <w:ind w:left="97" w:firstLine="141"/>
                          <w:jc w:val="both"/>
                          <w:rPr>
                            <w:szCs w:val="24"/>
                          </w:rPr>
                        </w:pPr>
                        <w:r>
                          <w:rPr>
                            <w:szCs w:val="24"/>
                          </w:rPr>
                          <w:t></w:t>
                          <w:tab/>
                          <w:t>Kūdikio skiepijamas.</w:t>
                        </w:r>
                      </w:p>
                      <w:p>
                        <w:pPr>
                          <w:tabs>
                            <w:tab w:val="left" w:pos="522"/>
                          </w:tabs>
                          <w:spacing w:line="256" w:lineRule="auto"/>
                          <w:ind w:left="97" w:firstLine="141"/>
                          <w:jc w:val="both"/>
                          <w:rPr>
                            <w:szCs w:val="24"/>
                          </w:rPr>
                        </w:pPr>
                        <w:r>
                          <w:rPr>
                            <w:szCs w:val="24"/>
                          </w:rPr>
                          <w:t></w:t>
                          <w:tab/>
                          <w:t>Kūdikio sveikata (mityba, vitamino D vartojimas) ir pakartojama informacija apie galimybę gauti pagal sveikatos būklę reikiamas asmens sveikatos priežiūros paslaugas.</w:t>
                        </w:r>
                      </w:p>
                      <w:p>
                        <w:pPr>
                          <w:tabs>
                            <w:tab w:val="left" w:pos="522"/>
                          </w:tabs>
                          <w:spacing w:line="256" w:lineRule="auto"/>
                          <w:ind w:left="97" w:firstLine="141"/>
                          <w:jc w:val="both"/>
                          <w:rPr>
                            <w:szCs w:val="24"/>
                          </w:rPr>
                        </w:pPr>
                        <w:r>
                          <w:rPr>
                            <w:szCs w:val="24"/>
                          </w:rPr>
                          <w:t></w:t>
                          <w:tab/>
                          <w:t>Bendravimas su 3 mėn. kūdikiu ir jo lavinimas.</w:t>
                        </w:r>
                      </w:p>
                      <w:p>
                        <w:pPr>
                          <w:tabs>
                            <w:tab w:val="left" w:pos="522"/>
                          </w:tabs>
                          <w:ind w:left="97" w:firstLine="141"/>
                          <w:jc w:val="both"/>
                          <w:rPr>
                            <w:szCs w:val="24"/>
                          </w:rPr>
                        </w:pPr>
                      </w:p>
                    </w:tc>
                  </w:tr>
                  <w:tr>
                    <w:tc>
                      <w:tcPr>
                        <w:tcW w:w="117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10</w:t>
                        </w: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szCs w:val="24"/>
                          </w:rPr>
                        </w:pPr>
                      </w:p>
                    </w:tc>
                    <w:tc>
                      <w:tcPr>
                        <w:tcW w:w="0" w:type="auto"/>
                        <w:tcBorders>
                          <w:top w:val="single" w:sz="4" w:space="0" w:color="auto"/>
                          <w:left w:val="single" w:sz="4" w:space="0" w:color="auto"/>
                          <w:bottom w:val="single" w:sz="4" w:space="0" w:color="auto"/>
                          <w:right w:val="single" w:sz="4" w:space="0" w:color="auto"/>
                        </w:tcBorders>
                        <w:hideMark/>
                      </w:tcPr>
                      <w:p>
                        <w:pPr>
                          <w:tabs>
                            <w:tab w:val="left" w:pos="466"/>
                          </w:tabs>
                          <w:ind w:left="106" w:firstLine="142"/>
                          <w:rPr>
                            <w:szCs w:val="24"/>
                          </w:rPr>
                        </w:pPr>
                        <w:r>
                          <w:rPr>
                            <w:szCs w:val="24"/>
                          </w:rPr>
                          <w:t></w:t>
                          <w:tab/>
                          <w:t>Pildo klausimyną „Smurtas šeimoje“ (Aprašo priedas Nr. 9).</w:t>
                        </w:r>
                      </w:p>
                      <w:p>
                        <w:pPr>
                          <w:tabs>
                            <w:tab w:val="left" w:pos="466"/>
                          </w:tabs>
                          <w:ind w:left="106" w:firstLine="142"/>
                          <w:rPr>
                            <w:szCs w:val="24"/>
                          </w:rPr>
                        </w:pPr>
                        <w:r>
                          <w:rPr>
                            <w:szCs w:val="24"/>
                          </w:rPr>
                          <w:t></w:t>
                          <w:tab/>
                          <w:t>Padėti sudaryti kūdikio dienotvarkę.</w:t>
                        </w:r>
                      </w:p>
                    </w:tc>
                    <w:tc>
                      <w:tcPr>
                        <w:tcW w:w="0" w:type="auto"/>
                        <w:tcBorders>
                          <w:top w:val="single" w:sz="4" w:space="0" w:color="auto"/>
                          <w:left w:val="single" w:sz="4" w:space="0" w:color="auto"/>
                          <w:bottom w:val="single" w:sz="4" w:space="0" w:color="auto"/>
                          <w:right w:val="single" w:sz="4" w:space="0" w:color="auto"/>
                        </w:tcBorders>
                        <w:hideMark/>
                      </w:tcPr>
                      <w:p>
                        <w:pPr>
                          <w:tabs>
                            <w:tab w:val="left" w:pos="522"/>
                          </w:tabs>
                          <w:ind w:left="97" w:firstLine="141"/>
                          <w:jc w:val="both"/>
                          <w:rPr>
                            <w:szCs w:val="24"/>
                          </w:rPr>
                        </w:pPr>
                        <w:r>
                          <w:rPr>
                            <w:szCs w:val="24"/>
                          </w:rPr>
                          <w:t></w:t>
                          <w:tab/>
                        </w:r>
                        <w:r>
                          <w:rPr>
                            <w:rFonts w:eastAsia="CIDFont+F3"/>
                            <w:szCs w:val="24"/>
                          </w:rPr>
                          <w:t>Mamos ir jos šeimos narių gyvenimo vertinimas, siekiant išryškinti šeimos gyvenime vykstančius konfliktus ar krizes.</w:t>
                        </w:r>
                      </w:p>
                      <w:p>
                        <w:pPr>
                          <w:tabs>
                            <w:tab w:val="left" w:pos="522"/>
                          </w:tabs>
                          <w:ind w:left="97" w:firstLine="141"/>
                          <w:jc w:val="both"/>
                          <w:rPr>
                            <w:szCs w:val="24"/>
                          </w:rPr>
                        </w:pPr>
                        <w:r>
                          <w:rPr>
                            <w:szCs w:val="24"/>
                          </w:rPr>
                          <w:t></w:t>
                          <w:tab/>
                          <w:t>Kūdikio dienotvarkė.</w:t>
                        </w:r>
                      </w:p>
                    </w:tc>
                  </w:tr>
                  <w:tr>
                    <w:tc>
                      <w:tcPr>
                        <w:tcW w:w="117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11</w:t>
                        </w:r>
                      </w:p>
                    </w:tc>
                    <w:tc>
                      <w:tcPr>
                        <w:tcW w:w="1445" w:type="dxa"/>
                        <w:vMerge w:val="restart"/>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4 mėn.</w:t>
                        </w:r>
                      </w:p>
                    </w:tc>
                    <w:tc>
                      <w:tcPr>
                        <w:tcW w:w="0" w:type="auto"/>
                        <w:tcBorders>
                          <w:top w:val="single" w:sz="4" w:space="0" w:color="auto"/>
                          <w:left w:val="single" w:sz="4" w:space="0" w:color="auto"/>
                          <w:bottom w:val="single" w:sz="4" w:space="0" w:color="auto"/>
                          <w:right w:val="single" w:sz="4" w:space="0" w:color="auto"/>
                        </w:tcBorders>
                      </w:tcPr>
                      <w:p>
                        <w:pPr>
                          <w:tabs>
                            <w:tab w:val="left" w:pos="466"/>
                          </w:tabs>
                          <w:ind w:left="106" w:firstLine="142"/>
                          <w:rPr>
                            <w:szCs w:val="24"/>
                          </w:rPr>
                        </w:pPr>
                        <w:r>
                          <w:rPr>
                            <w:szCs w:val="24"/>
                          </w:rPr>
                          <w:t></w:t>
                          <w:tab/>
                          <w:t>Pildo klausimyną “Vaiko sveikata ir raida 4-5 mėn. “ (Aprašo priedas Nr. 23).</w:t>
                        </w:r>
                      </w:p>
                      <w:p>
                        <w:pPr>
                          <w:tabs>
                            <w:tab w:val="left" w:pos="466"/>
                          </w:tabs>
                          <w:ind w:left="106" w:firstLine="142"/>
                          <w:rPr>
                            <w:szCs w:val="24"/>
                          </w:rPr>
                        </w:pPr>
                        <w:r>
                          <w:rPr>
                            <w:szCs w:val="24"/>
                          </w:rPr>
                          <w:t></w:t>
                          <w:tab/>
                          <w:t>Pateikti su kūdikio lavinimu ir bendravimu susijusias rekomendacijas.</w:t>
                        </w:r>
                      </w:p>
                      <w:p>
                        <w:pPr>
                          <w:rPr>
                            <w:sz w:val="8"/>
                            <w:szCs w:val="8"/>
                          </w:rPr>
                        </w:pPr>
                      </w:p>
                      <w:p>
                        <w:pPr>
                          <w:tabs>
                            <w:tab w:val="left" w:pos="466"/>
                          </w:tabs>
                          <w:ind w:left="106" w:firstLine="142"/>
                          <w:rPr>
                            <w:szCs w:val="24"/>
                          </w:rPr>
                        </w:pPr>
                        <w:r>
                          <w:rPr>
                            <w:szCs w:val="24"/>
                          </w:rPr>
                          <w:t></w:t>
                          <w:tab/>
                          <w:t>Pildo klausimyną „Emocinė mamos situacija“ (Aprašo priedas Nr. 22).</w:t>
                        </w:r>
                      </w:p>
                      <w:p>
                        <w:pPr>
                          <w:rPr>
                            <w:sz w:val="8"/>
                            <w:szCs w:val="8"/>
                          </w:rPr>
                        </w:pPr>
                      </w:p>
                      <w:p>
                        <w:pPr>
                          <w:tabs>
                            <w:tab w:val="left" w:pos="466"/>
                          </w:tabs>
                          <w:ind w:left="106" w:firstLine="142"/>
                          <w:rPr>
                            <w:szCs w:val="24"/>
                          </w:rPr>
                        </w:pPr>
                      </w:p>
                    </w:tc>
                    <w:tc>
                      <w:tcPr>
                        <w:tcW w:w="0" w:type="auto"/>
                        <w:tcBorders>
                          <w:top w:val="single" w:sz="4" w:space="0" w:color="auto"/>
                          <w:left w:val="single" w:sz="4" w:space="0" w:color="auto"/>
                          <w:bottom w:val="single" w:sz="4" w:space="0" w:color="auto"/>
                          <w:right w:val="single" w:sz="4" w:space="0" w:color="auto"/>
                        </w:tcBorders>
                        <w:hideMark/>
                      </w:tcPr>
                      <w:p>
                        <w:pPr>
                          <w:tabs>
                            <w:tab w:val="left" w:pos="522"/>
                          </w:tabs>
                          <w:ind w:left="97" w:firstLine="141"/>
                          <w:jc w:val="both"/>
                          <w:rPr>
                            <w:szCs w:val="24"/>
                          </w:rPr>
                        </w:pPr>
                        <w:r>
                          <w:rPr>
                            <w:szCs w:val="24"/>
                          </w:rPr>
                          <w:t></w:t>
                          <w:tab/>
                          <w:t>Nerimas.</w:t>
                        </w:r>
                      </w:p>
                      <w:p>
                        <w:pPr>
                          <w:tabs>
                            <w:tab w:val="left" w:pos="522"/>
                          </w:tabs>
                          <w:ind w:left="97" w:firstLine="141"/>
                          <w:jc w:val="both"/>
                          <w:rPr>
                            <w:szCs w:val="24"/>
                          </w:rPr>
                        </w:pPr>
                        <w:r>
                          <w:rPr>
                            <w:szCs w:val="24"/>
                          </w:rPr>
                          <w:t></w:t>
                          <w:tab/>
                          <w:t>Emocinė sveikata.</w:t>
                        </w:r>
                      </w:p>
                      <w:p>
                        <w:pPr>
                          <w:tabs>
                            <w:tab w:val="left" w:pos="522"/>
                          </w:tabs>
                          <w:spacing w:line="256" w:lineRule="auto"/>
                          <w:ind w:left="97" w:firstLine="141"/>
                          <w:jc w:val="both"/>
                          <w:rPr>
                            <w:szCs w:val="24"/>
                          </w:rPr>
                        </w:pPr>
                        <w:r>
                          <w:rPr>
                            <w:szCs w:val="24"/>
                          </w:rPr>
                          <w:t></w:t>
                          <w:tab/>
                          <w:t>Kūdikio skiepijamas.</w:t>
                        </w:r>
                      </w:p>
                      <w:p>
                        <w:pPr>
                          <w:tabs>
                            <w:tab w:val="left" w:pos="522"/>
                          </w:tabs>
                          <w:spacing w:line="256" w:lineRule="auto"/>
                          <w:ind w:left="97" w:firstLine="141"/>
                          <w:jc w:val="both"/>
                          <w:rPr>
                            <w:szCs w:val="24"/>
                          </w:rPr>
                        </w:pPr>
                        <w:r>
                          <w:rPr>
                            <w:szCs w:val="24"/>
                          </w:rPr>
                          <w:t></w:t>
                          <w:tab/>
                          <w:t>Kūdikio sveikata (mityba, vitamino D vartojimas) ir pakartojama informacija apie galimybę gauti pagal sveikatos būklę reikiamas asmens sveikatos priežiūros paslaugas.</w:t>
                        </w:r>
                      </w:p>
                      <w:p>
                        <w:pPr>
                          <w:tabs>
                            <w:tab w:val="left" w:pos="522"/>
                          </w:tabs>
                          <w:spacing w:line="256" w:lineRule="auto"/>
                          <w:ind w:left="97" w:firstLine="141"/>
                          <w:jc w:val="both"/>
                          <w:rPr>
                            <w:szCs w:val="24"/>
                          </w:rPr>
                        </w:pPr>
                        <w:r>
                          <w:rPr>
                            <w:szCs w:val="24"/>
                          </w:rPr>
                          <w:t></w:t>
                          <w:tab/>
                          <w:t xml:space="preserve">Bendravimas su 4 mėn. kūdikiu ir jo lavinimas. </w:t>
                        </w:r>
                      </w:p>
                    </w:tc>
                  </w:tr>
                  <w:tr>
                    <w:tc>
                      <w:tcPr>
                        <w:tcW w:w="117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12</w:t>
                        </w: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szCs w:val="24"/>
                          </w:rPr>
                        </w:pPr>
                      </w:p>
                    </w:tc>
                    <w:tc>
                      <w:tcPr>
                        <w:tcW w:w="0" w:type="auto"/>
                        <w:tcBorders>
                          <w:top w:val="single" w:sz="4" w:space="0" w:color="auto"/>
                          <w:left w:val="single" w:sz="4" w:space="0" w:color="auto"/>
                          <w:bottom w:val="single" w:sz="4" w:space="0" w:color="auto"/>
                          <w:right w:val="single" w:sz="4" w:space="0" w:color="auto"/>
                        </w:tcBorders>
                        <w:hideMark/>
                      </w:tcPr>
                      <w:p>
                        <w:pPr>
                          <w:tabs>
                            <w:tab w:val="left" w:pos="556"/>
                          </w:tabs>
                          <w:ind w:left="106" w:firstLine="254"/>
                          <w:jc w:val="both"/>
                          <w:rPr>
                            <w:szCs w:val="24"/>
                          </w:rPr>
                        </w:pPr>
                        <w:r>
                          <w:rPr>
                            <w:szCs w:val="24"/>
                          </w:rPr>
                          <w:t></w:t>
                          <w:tab/>
                          <w:t xml:space="preserve">Supažindinti su dantų priežiūra, primaitinimu. </w:t>
                        </w:r>
                      </w:p>
                    </w:tc>
                    <w:tc>
                      <w:tcPr>
                        <w:tcW w:w="0" w:type="auto"/>
                        <w:tcBorders>
                          <w:top w:val="single" w:sz="4" w:space="0" w:color="auto"/>
                          <w:left w:val="single" w:sz="4" w:space="0" w:color="auto"/>
                          <w:bottom w:val="single" w:sz="4" w:space="0" w:color="auto"/>
                          <w:right w:val="single" w:sz="4" w:space="0" w:color="auto"/>
                        </w:tcBorders>
                        <w:hideMark/>
                      </w:tcPr>
                      <w:p>
                        <w:pPr>
                          <w:tabs>
                            <w:tab w:val="left" w:pos="567"/>
                          </w:tabs>
                          <w:ind w:left="97" w:firstLine="186"/>
                          <w:jc w:val="both"/>
                          <w:rPr>
                            <w:szCs w:val="24"/>
                          </w:rPr>
                        </w:pPr>
                        <w:r>
                          <w:rPr>
                            <w:szCs w:val="24"/>
                          </w:rPr>
                          <w:t></w:t>
                          <w:tab/>
                          <w:t>Primaitinimas.</w:t>
                        </w:r>
                      </w:p>
                      <w:p>
                        <w:pPr>
                          <w:tabs>
                            <w:tab w:val="left" w:pos="567"/>
                          </w:tabs>
                          <w:ind w:left="97" w:firstLine="186"/>
                          <w:jc w:val="both"/>
                          <w:rPr>
                            <w:szCs w:val="24"/>
                          </w:rPr>
                        </w:pPr>
                        <w:r>
                          <w:rPr>
                            <w:szCs w:val="24"/>
                          </w:rPr>
                          <w:t></w:t>
                          <w:tab/>
                          <w:t xml:space="preserve">Pirmųjų dantukų priežiūra. </w:t>
                        </w:r>
                      </w:p>
                    </w:tc>
                  </w:tr>
                  <w:tr>
                    <w:tc>
                      <w:tcPr>
                        <w:tcW w:w="117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13</w:t>
                        </w:r>
                      </w:p>
                    </w:tc>
                    <w:tc>
                      <w:tcPr>
                        <w:tcW w:w="1445" w:type="dxa"/>
                        <w:vMerge w:val="restart"/>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5 mėn.</w:t>
                        </w:r>
                      </w:p>
                    </w:tc>
                    <w:tc>
                      <w:tcPr>
                        <w:tcW w:w="0" w:type="auto"/>
                        <w:tcBorders>
                          <w:top w:val="single" w:sz="4" w:space="0" w:color="auto"/>
                          <w:left w:val="single" w:sz="4" w:space="0" w:color="auto"/>
                          <w:bottom w:val="single" w:sz="4" w:space="0" w:color="auto"/>
                          <w:right w:val="single" w:sz="4" w:space="0" w:color="auto"/>
                        </w:tcBorders>
                        <w:hideMark/>
                      </w:tcPr>
                      <w:p>
                        <w:pPr>
                          <w:tabs>
                            <w:tab w:val="left" w:pos="556"/>
                          </w:tabs>
                          <w:ind w:left="106" w:firstLine="254"/>
                          <w:jc w:val="both"/>
                          <w:rPr>
                            <w:szCs w:val="24"/>
                          </w:rPr>
                        </w:pPr>
                        <w:r>
                          <w:rPr>
                            <w:szCs w:val="24"/>
                          </w:rPr>
                          <w:t></w:t>
                          <w:tab/>
                          <w:t xml:space="preserve">Pildo klausimyną “Vaiko sveikata ir raida 4-5 mėn.” (Aprašo priedas Nr. 23). </w:t>
                        </w:r>
                      </w:p>
                      <w:p>
                        <w:pPr>
                          <w:tabs>
                            <w:tab w:val="left" w:pos="556"/>
                          </w:tabs>
                          <w:ind w:left="106" w:firstLine="254"/>
                          <w:jc w:val="both"/>
                          <w:rPr>
                            <w:szCs w:val="24"/>
                          </w:rPr>
                        </w:pPr>
                        <w:r>
                          <w:rPr>
                            <w:szCs w:val="24"/>
                          </w:rPr>
                          <w:t></w:t>
                          <w:tab/>
                          <w:t>Pateikti su kūdikio lavinimu ir bendravimu susijusias rekomendacijas.</w:t>
                        </w:r>
                      </w:p>
                    </w:tc>
                    <w:tc>
                      <w:tcPr>
                        <w:tcW w:w="0" w:type="auto"/>
                        <w:tcBorders>
                          <w:top w:val="single" w:sz="4" w:space="0" w:color="auto"/>
                          <w:left w:val="single" w:sz="4" w:space="0" w:color="auto"/>
                          <w:bottom w:val="single" w:sz="4" w:space="0" w:color="auto"/>
                          <w:right w:val="single" w:sz="4" w:space="0" w:color="auto"/>
                        </w:tcBorders>
                        <w:hideMark/>
                      </w:tcPr>
                      <w:p>
                        <w:pPr>
                          <w:tabs>
                            <w:tab w:val="left" w:pos="567"/>
                          </w:tabs>
                          <w:spacing w:line="256" w:lineRule="auto"/>
                          <w:ind w:left="97" w:firstLine="186"/>
                          <w:jc w:val="both"/>
                          <w:rPr>
                            <w:szCs w:val="24"/>
                          </w:rPr>
                        </w:pPr>
                        <w:r>
                          <w:rPr>
                            <w:szCs w:val="24"/>
                          </w:rPr>
                          <w:t></w:t>
                          <w:tab/>
                          <w:t>Raida atitinkanti amžių.</w:t>
                        </w:r>
                      </w:p>
                      <w:p>
                        <w:pPr>
                          <w:tabs>
                            <w:tab w:val="left" w:pos="567"/>
                          </w:tabs>
                          <w:spacing w:line="256" w:lineRule="auto"/>
                          <w:ind w:left="97" w:firstLine="186"/>
                          <w:jc w:val="both"/>
                          <w:rPr>
                            <w:szCs w:val="24"/>
                          </w:rPr>
                        </w:pPr>
                        <w:r>
                          <w:rPr>
                            <w:szCs w:val="24"/>
                          </w:rPr>
                          <w:t></w:t>
                          <w:tab/>
                          <w:t>Kūdikio skiepijamas.</w:t>
                        </w:r>
                      </w:p>
                      <w:p>
                        <w:pPr>
                          <w:tabs>
                            <w:tab w:val="left" w:pos="567"/>
                          </w:tabs>
                          <w:spacing w:line="256" w:lineRule="auto"/>
                          <w:ind w:left="97" w:firstLine="186"/>
                          <w:jc w:val="both"/>
                          <w:rPr>
                            <w:szCs w:val="24"/>
                          </w:rPr>
                        </w:pPr>
                        <w:r>
                          <w:rPr>
                            <w:szCs w:val="24"/>
                          </w:rPr>
                          <w:t></w:t>
                          <w:tab/>
                          <w:t xml:space="preserve">Kūdikio sveikata (mityba, vitamino D vartojimas) ir pakartojama informacija apie galimybę gauti pagal sveikatos būklę reikiamas asmens sveikatos priežiūros paslaugas. </w:t>
                        </w:r>
                      </w:p>
                      <w:p>
                        <w:pPr>
                          <w:tabs>
                            <w:tab w:val="left" w:pos="567"/>
                          </w:tabs>
                          <w:spacing w:line="256" w:lineRule="auto"/>
                          <w:ind w:left="97" w:firstLine="186"/>
                          <w:jc w:val="both"/>
                          <w:rPr>
                            <w:szCs w:val="24"/>
                          </w:rPr>
                        </w:pPr>
                        <w:r>
                          <w:rPr>
                            <w:szCs w:val="24"/>
                          </w:rPr>
                          <w:t></w:t>
                          <w:tab/>
                          <w:t>Bendravimas su 5 mėn. kūdikiu ir jo lavinimas.</w:t>
                        </w:r>
                      </w:p>
                    </w:tc>
                  </w:tr>
                  <w:tr>
                    <w:tc>
                      <w:tcPr>
                        <w:tcW w:w="117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14</w:t>
                        </w: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szCs w:val="24"/>
                          </w:rPr>
                        </w:pPr>
                      </w:p>
                    </w:tc>
                    <w:tc>
                      <w:tcPr>
                        <w:tcW w:w="0" w:type="auto"/>
                        <w:tcBorders>
                          <w:top w:val="single" w:sz="4" w:space="0" w:color="auto"/>
                          <w:left w:val="single" w:sz="4" w:space="0" w:color="auto"/>
                          <w:bottom w:val="single" w:sz="4" w:space="0" w:color="auto"/>
                          <w:right w:val="single" w:sz="4" w:space="0" w:color="auto"/>
                        </w:tcBorders>
                        <w:hideMark/>
                      </w:tcPr>
                      <w:p>
                        <w:pPr>
                          <w:tabs>
                            <w:tab w:val="left" w:pos="466"/>
                          </w:tabs>
                          <w:spacing w:line="256" w:lineRule="auto"/>
                          <w:ind w:left="106" w:firstLine="142"/>
                          <w:jc w:val="both"/>
                          <w:rPr>
                            <w:szCs w:val="24"/>
                          </w:rPr>
                        </w:pPr>
                        <w:r>
                          <w:rPr>
                            <w:szCs w:val="24"/>
                          </w:rPr>
                          <w:t></w:t>
                          <w:tab/>
                          <w:t>Pateikti rekomendacijas apie išmaniųjų įrenginių neigiamą poveikį kūdikio sveikatai.</w:t>
                        </w:r>
                      </w:p>
                    </w:tc>
                    <w:tc>
                      <w:tcPr>
                        <w:tcW w:w="0" w:type="auto"/>
                        <w:tcBorders>
                          <w:top w:val="single" w:sz="4" w:space="0" w:color="auto"/>
                          <w:left w:val="single" w:sz="4" w:space="0" w:color="auto"/>
                          <w:bottom w:val="single" w:sz="4" w:space="0" w:color="auto"/>
                          <w:right w:val="single" w:sz="4" w:space="0" w:color="auto"/>
                        </w:tcBorders>
                      </w:tcPr>
                      <w:p>
                        <w:pPr>
                          <w:tabs>
                            <w:tab w:val="left" w:pos="380"/>
                          </w:tabs>
                          <w:spacing w:line="256" w:lineRule="auto"/>
                          <w:ind w:firstLine="97"/>
                          <w:jc w:val="both"/>
                          <w:rPr>
                            <w:szCs w:val="24"/>
                          </w:rPr>
                        </w:pPr>
                        <w:r>
                          <w:rPr>
                            <w:szCs w:val="24"/>
                          </w:rPr>
                          <w:t>Televizoriaus ar kompiuterio ekrano įtaka kūdikiams.</w:t>
                        </w:r>
                      </w:p>
                      <w:p>
                        <w:pPr>
                          <w:tabs>
                            <w:tab w:val="left" w:pos="380"/>
                          </w:tabs>
                          <w:ind w:firstLine="97"/>
                          <w:jc w:val="both"/>
                          <w:rPr>
                            <w:szCs w:val="24"/>
                          </w:rPr>
                        </w:pPr>
                      </w:p>
                    </w:tc>
                  </w:tr>
                  <w:tr>
                    <w:tc>
                      <w:tcPr>
                        <w:tcW w:w="117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15</w:t>
                        </w:r>
                      </w:p>
                    </w:tc>
                    <w:tc>
                      <w:tcPr>
                        <w:tcW w:w="1445" w:type="dxa"/>
                        <w:vMerge w:val="restart"/>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6 mėn.</w:t>
                        </w:r>
                      </w:p>
                    </w:tc>
                    <w:tc>
                      <w:tcPr>
                        <w:tcW w:w="0" w:type="auto"/>
                        <w:tcBorders>
                          <w:top w:val="single" w:sz="4" w:space="0" w:color="auto"/>
                          <w:left w:val="single" w:sz="4" w:space="0" w:color="auto"/>
                          <w:bottom w:val="single" w:sz="4" w:space="0" w:color="auto"/>
                          <w:right w:val="single" w:sz="4" w:space="0" w:color="auto"/>
                        </w:tcBorders>
                        <w:hideMark/>
                      </w:tcPr>
                      <w:p>
                        <w:pPr>
                          <w:tabs>
                            <w:tab w:val="left" w:pos="466"/>
                          </w:tabs>
                          <w:ind w:left="106" w:firstLine="142"/>
                          <w:rPr>
                            <w:szCs w:val="24"/>
                          </w:rPr>
                        </w:pPr>
                        <w:r>
                          <w:rPr>
                            <w:szCs w:val="24"/>
                          </w:rPr>
                          <w:t></w:t>
                          <w:tab/>
                          <w:t>Pildo klausimyną “Vaiko sveikata ir raida 5-6 mėn.” (Aprašo priedas Nr. 24).</w:t>
                        </w:r>
                      </w:p>
                      <w:p>
                        <w:pPr>
                          <w:tabs>
                            <w:tab w:val="left" w:pos="466"/>
                          </w:tabs>
                          <w:ind w:left="106" w:firstLine="142"/>
                          <w:rPr>
                            <w:szCs w:val="24"/>
                          </w:rPr>
                        </w:pPr>
                        <w:r>
                          <w:rPr>
                            <w:szCs w:val="24"/>
                          </w:rPr>
                          <w:t></w:t>
                          <w:tab/>
                          <w:t>Pateikti su kūdikio lavinimu ir bendravimu susijusias rekomendacijas.</w:t>
                        </w:r>
                      </w:p>
                    </w:tc>
                    <w:tc>
                      <w:tcPr>
                        <w:tcW w:w="0" w:type="auto"/>
                        <w:tcBorders>
                          <w:top w:val="single" w:sz="4" w:space="0" w:color="auto"/>
                          <w:left w:val="single" w:sz="4" w:space="0" w:color="auto"/>
                          <w:bottom w:val="single" w:sz="4" w:space="0" w:color="auto"/>
                          <w:right w:val="single" w:sz="4" w:space="0" w:color="auto"/>
                        </w:tcBorders>
                        <w:hideMark/>
                      </w:tcPr>
                      <w:p>
                        <w:pPr>
                          <w:tabs>
                            <w:tab w:val="left" w:pos="380"/>
                          </w:tabs>
                          <w:ind w:firstLine="97"/>
                          <w:jc w:val="both"/>
                          <w:rPr>
                            <w:szCs w:val="24"/>
                          </w:rPr>
                        </w:pPr>
                        <w:r>
                          <w:rPr>
                            <w:szCs w:val="24"/>
                          </w:rPr>
                          <w:t>1) Kūdikio skiepijamas.</w:t>
                        </w:r>
                      </w:p>
                      <w:p>
                        <w:pPr>
                          <w:tabs>
                            <w:tab w:val="left" w:pos="380"/>
                          </w:tabs>
                          <w:ind w:firstLine="97"/>
                          <w:jc w:val="both"/>
                          <w:rPr>
                            <w:szCs w:val="24"/>
                          </w:rPr>
                        </w:pPr>
                        <w:r>
                          <w:rPr>
                            <w:szCs w:val="24"/>
                          </w:rPr>
                          <w:t>2) Kūdikio sveikata (mityba, vitamino D vartojimas) ir pakartojama informacija apie galimybę gauti pagal sveikatos būklę reikiamas asmens sveikatos priežiūros paslaugas.</w:t>
                        </w:r>
                      </w:p>
                      <w:p>
                        <w:pPr>
                          <w:tabs>
                            <w:tab w:val="left" w:pos="380"/>
                          </w:tabs>
                          <w:ind w:firstLine="97"/>
                          <w:jc w:val="both"/>
                          <w:rPr>
                            <w:szCs w:val="24"/>
                          </w:rPr>
                        </w:pPr>
                        <w:r>
                          <w:rPr>
                            <w:szCs w:val="24"/>
                          </w:rPr>
                          <w:t>3) Bendravimas su 6 mėn. kūdikiu ir jo lavinimas.</w:t>
                        </w:r>
                      </w:p>
                    </w:tc>
                  </w:tr>
                  <w:tr>
                    <w:tc>
                      <w:tcPr>
                        <w:tcW w:w="117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16</w:t>
                        </w: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szCs w:val="24"/>
                          </w:rPr>
                        </w:pPr>
                      </w:p>
                    </w:tc>
                    <w:tc>
                      <w:tcPr>
                        <w:tcW w:w="0" w:type="auto"/>
                        <w:tcBorders>
                          <w:top w:val="single" w:sz="4" w:space="0" w:color="auto"/>
                          <w:left w:val="single" w:sz="4" w:space="0" w:color="auto"/>
                          <w:bottom w:val="single" w:sz="4" w:space="0" w:color="auto"/>
                          <w:right w:val="single" w:sz="4" w:space="0" w:color="auto"/>
                        </w:tcBorders>
                      </w:tcPr>
                      <w:p>
                        <w:pPr>
                          <w:rPr>
                            <w:sz w:val="8"/>
                            <w:szCs w:val="8"/>
                          </w:rPr>
                        </w:pPr>
                      </w:p>
                      <w:p>
                        <w:pPr>
                          <w:tabs>
                            <w:tab w:val="left" w:pos="466"/>
                          </w:tabs>
                          <w:ind w:left="106" w:firstLine="142"/>
                          <w:rPr>
                            <w:bCs/>
                            <w:szCs w:val="24"/>
                          </w:rPr>
                        </w:pPr>
                        <w:r>
                          <w:rPr>
                            <w:bCs/>
                            <w:szCs w:val="24"/>
                          </w:rPr>
                          <w:t></w:t>
                          <w:tab/>
                          <w:t>Pildo klausimyną “Tėvystės iššūkių skalė” (</w:t>
                        </w:r>
                        <w:r>
                          <w:rPr>
                            <w:szCs w:val="24"/>
                          </w:rPr>
                          <w:t>Aprašo priedas</w:t>
                        </w:r>
                        <w:r>
                          <w:rPr>
                            <w:bCs/>
                            <w:szCs w:val="24"/>
                          </w:rPr>
                          <w:t xml:space="preserve"> Nr. 25).</w:t>
                        </w:r>
                      </w:p>
                      <w:p>
                        <w:pPr>
                          <w:rPr>
                            <w:sz w:val="8"/>
                            <w:szCs w:val="8"/>
                          </w:rPr>
                        </w:pPr>
                      </w:p>
                      <w:p>
                        <w:pPr>
                          <w:tabs>
                            <w:tab w:val="left" w:pos="466"/>
                          </w:tabs>
                          <w:ind w:left="106" w:firstLine="142"/>
                          <w:rPr>
                            <w:bCs/>
                            <w:szCs w:val="24"/>
                          </w:rPr>
                        </w:pPr>
                      </w:p>
                    </w:tc>
                    <w:tc>
                      <w:tcPr>
                        <w:tcW w:w="0" w:type="auto"/>
                        <w:tcBorders>
                          <w:top w:val="single" w:sz="4" w:space="0" w:color="auto"/>
                          <w:left w:val="single" w:sz="4" w:space="0" w:color="auto"/>
                          <w:bottom w:val="single" w:sz="4" w:space="0" w:color="auto"/>
                          <w:right w:val="single" w:sz="4" w:space="0" w:color="auto"/>
                        </w:tcBorders>
                        <w:hideMark/>
                      </w:tcPr>
                      <w:p>
                        <w:pPr>
                          <w:tabs>
                            <w:tab w:val="left" w:pos="380"/>
                          </w:tabs>
                          <w:spacing w:line="256" w:lineRule="auto"/>
                          <w:ind w:firstLine="97"/>
                          <w:jc w:val="both"/>
                          <w:rPr>
                            <w:rFonts w:eastAsia="CIDFont+F4"/>
                            <w:szCs w:val="24"/>
                          </w:rPr>
                        </w:pPr>
                        <w:r>
                          <w:rPr>
                            <w:rFonts w:eastAsia="CIDFont+F4"/>
                            <w:szCs w:val="24"/>
                          </w:rPr>
                          <w:t>1)</w:t>
                          <w:tab/>
                          <w:t>Gebėjimas išsikelti vaikų auklėjimo tikslus ar užduotis.</w:t>
                        </w:r>
                      </w:p>
                      <w:p>
                        <w:pPr>
                          <w:tabs>
                            <w:tab w:val="left" w:pos="380"/>
                          </w:tabs>
                          <w:spacing w:line="256" w:lineRule="auto"/>
                          <w:ind w:firstLine="97"/>
                          <w:jc w:val="both"/>
                          <w:rPr>
                            <w:rFonts w:eastAsia="CIDFont+F4"/>
                            <w:szCs w:val="24"/>
                          </w:rPr>
                        </w:pPr>
                        <w:r>
                          <w:rPr>
                            <w:rFonts w:eastAsia="CIDFont+F4"/>
                            <w:szCs w:val="24"/>
                          </w:rPr>
                          <w:t>2)</w:t>
                          <w:tab/>
                          <w:t xml:space="preserve">Gebėjimas spręsti sunkumus, kylančius dėl varginančio vaikų elgesio. </w:t>
                        </w:r>
                      </w:p>
                      <w:p>
                        <w:pPr>
                          <w:tabs>
                            <w:tab w:val="left" w:pos="380"/>
                          </w:tabs>
                          <w:spacing w:line="256" w:lineRule="auto"/>
                          <w:ind w:firstLine="97"/>
                          <w:jc w:val="both"/>
                          <w:rPr>
                            <w:szCs w:val="24"/>
                          </w:rPr>
                        </w:pPr>
                        <w:r>
                          <w:rPr>
                            <w:szCs w:val="24"/>
                          </w:rPr>
                          <w:t>3)</w:t>
                          <w:tab/>
                        </w:r>
                        <w:r>
                          <w:rPr>
                            <w:rFonts w:eastAsia="CIDFont+F4"/>
                            <w:szCs w:val="24"/>
                          </w:rPr>
                          <w:t>Gebėjimas spręsti sunkumus, kylančius dėl „laukiamų“ ar „teisėtų“ vaikų poreikių tenkinimo naštos.</w:t>
                        </w:r>
                      </w:p>
                      <w:p>
                        <w:pPr>
                          <w:tabs>
                            <w:tab w:val="left" w:pos="380"/>
                          </w:tabs>
                          <w:spacing w:line="256" w:lineRule="auto"/>
                          <w:ind w:firstLine="97"/>
                          <w:jc w:val="both"/>
                          <w:rPr>
                            <w:rFonts w:eastAsia="CIDFont+F4"/>
                            <w:bCs/>
                            <w:szCs w:val="24"/>
                          </w:rPr>
                        </w:pPr>
                        <w:r>
                          <w:rPr>
                            <w:rFonts w:eastAsia="CIDFont+F4"/>
                            <w:bCs/>
                            <w:szCs w:val="24"/>
                          </w:rPr>
                          <w:t>4)</w:t>
                          <w:tab/>
                          <w:t>Gebėjimas suprasti vaiko jausmus ir poreikius.</w:t>
                        </w:r>
                      </w:p>
                      <w:p>
                        <w:pPr>
                          <w:tabs>
                            <w:tab w:val="left" w:pos="380"/>
                          </w:tabs>
                          <w:spacing w:line="256" w:lineRule="auto"/>
                          <w:ind w:firstLine="97"/>
                          <w:jc w:val="both"/>
                          <w:rPr>
                            <w:rFonts w:eastAsia="CIDFont+F4"/>
                            <w:bCs/>
                            <w:szCs w:val="24"/>
                          </w:rPr>
                        </w:pPr>
                        <w:r>
                          <w:rPr>
                            <w:rFonts w:eastAsia="CIDFont+F4"/>
                            <w:bCs/>
                            <w:szCs w:val="24"/>
                          </w:rPr>
                          <w:t>5)</w:t>
                          <w:tab/>
                          <w:t xml:space="preserve">Gebėjimas pasirūpinti savo vaiku esant skirtingoms situacijoms namuose ar išvykus iš namų. </w:t>
                        </w:r>
                      </w:p>
                    </w:tc>
                  </w:tr>
                  <w:tr>
                    <w:tc>
                      <w:tcPr>
                        <w:tcW w:w="117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17</w:t>
                        </w:r>
                      </w:p>
                    </w:tc>
                    <w:tc>
                      <w:tcPr>
                        <w:tcW w:w="1445" w:type="dxa"/>
                        <w:vMerge w:val="restart"/>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7 mėn.</w:t>
                        </w:r>
                      </w:p>
                    </w:tc>
                    <w:tc>
                      <w:tcPr>
                        <w:tcW w:w="0" w:type="auto"/>
                        <w:tcBorders>
                          <w:top w:val="single" w:sz="4" w:space="0" w:color="auto"/>
                          <w:left w:val="single" w:sz="4" w:space="0" w:color="auto"/>
                          <w:bottom w:val="single" w:sz="4" w:space="0" w:color="auto"/>
                          <w:right w:val="single" w:sz="4" w:space="0" w:color="auto"/>
                        </w:tcBorders>
                        <w:hideMark/>
                      </w:tcPr>
                      <w:p>
                        <w:pPr>
                          <w:tabs>
                            <w:tab w:val="left" w:pos="532"/>
                          </w:tabs>
                          <w:ind w:firstLine="360"/>
                          <w:rPr>
                            <w:szCs w:val="24"/>
                          </w:rPr>
                        </w:pPr>
                        <w:r>
                          <w:rPr>
                            <w:szCs w:val="24"/>
                          </w:rPr>
                          <w:t></w:t>
                          <w:tab/>
                          <w:t>Pildo klausimyną “Vaiko sveikata ir raida 7-8 mėn.” (Aprašo priedas Nr. 26).</w:t>
                        </w:r>
                      </w:p>
                      <w:p>
                        <w:pPr>
                          <w:tabs>
                            <w:tab w:val="left" w:pos="532"/>
                          </w:tabs>
                          <w:ind w:firstLine="360"/>
                          <w:rPr>
                            <w:szCs w:val="24"/>
                          </w:rPr>
                        </w:pPr>
                        <w:r>
                          <w:rPr>
                            <w:szCs w:val="24"/>
                          </w:rPr>
                          <w:t></w:t>
                          <w:tab/>
                          <w:t>Pildo klausimyną „Namų aplinkos saugumas kūdikiui“ (Aprašo priedas Nr. 27).</w:t>
                        </w:r>
                      </w:p>
                    </w:tc>
                    <w:tc>
                      <w:tcPr>
                        <w:tcW w:w="0" w:type="auto"/>
                        <w:tcBorders>
                          <w:top w:val="single" w:sz="4" w:space="0" w:color="auto"/>
                          <w:left w:val="single" w:sz="4" w:space="0" w:color="auto"/>
                          <w:bottom w:val="single" w:sz="4" w:space="0" w:color="auto"/>
                          <w:right w:val="single" w:sz="4" w:space="0" w:color="auto"/>
                        </w:tcBorders>
                        <w:hideMark/>
                      </w:tcPr>
                      <w:p>
                        <w:pPr>
                          <w:tabs>
                            <w:tab w:val="left" w:pos="380"/>
                          </w:tabs>
                          <w:ind w:firstLine="97"/>
                          <w:jc w:val="both"/>
                          <w:rPr>
                            <w:szCs w:val="24"/>
                          </w:rPr>
                        </w:pPr>
                        <w:r>
                          <w:rPr>
                            <w:szCs w:val="24"/>
                          </w:rPr>
                          <w:t>1)</w:t>
                          <w:tab/>
                          <w:t xml:space="preserve">Pildo klausimynus raidos vertinimui priklausomai nuo kūdikio amžiaus </w:t>
                        </w:r>
                      </w:p>
                      <w:p>
                        <w:pPr>
                          <w:tabs>
                            <w:tab w:val="left" w:pos="380"/>
                          </w:tabs>
                          <w:spacing w:line="256" w:lineRule="auto"/>
                          <w:ind w:firstLine="97"/>
                          <w:jc w:val="both"/>
                          <w:rPr>
                            <w:szCs w:val="24"/>
                          </w:rPr>
                        </w:pPr>
                        <w:r>
                          <w:rPr>
                            <w:szCs w:val="24"/>
                          </w:rPr>
                          <w:t>2)</w:t>
                          <w:tab/>
                          <w:t>Kūdikio skiepijamas.</w:t>
                        </w:r>
                      </w:p>
                      <w:p>
                        <w:pPr>
                          <w:tabs>
                            <w:tab w:val="left" w:pos="380"/>
                          </w:tabs>
                          <w:spacing w:line="256" w:lineRule="auto"/>
                          <w:ind w:firstLine="97"/>
                          <w:jc w:val="both"/>
                          <w:rPr>
                            <w:szCs w:val="24"/>
                          </w:rPr>
                        </w:pPr>
                        <w:r>
                          <w:rPr>
                            <w:szCs w:val="24"/>
                          </w:rPr>
                          <w:t>3)</w:t>
                          <w:tab/>
                          <w:t xml:space="preserve">Kūdikio sveikata (mityba, vitamino D vartojimas) ir informacija apie galimybę gauti pagal sveikatos būklę reikiamas asmens sveikatos priežiūros paslaugas. </w:t>
                        </w:r>
                      </w:p>
                      <w:p>
                        <w:pPr>
                          <w:widowControl w:val="0"/>
                          <w:tabs>
                            <w:tab w:val="left" w:pos="380"/>
                          </w:tabs>
                          <w:ind w:right="-705" w:firstLine="97"/>
                          <w:jc w:val="both"/>
                          <w:rPr>
                            <w:bCs/>
                            <w:szCs w:val="24"/>
                          </w:rPr>
                        </w:pPr>
                        <w:r>
                          <w:rPr>
                            <w:bCs/>
                            <w:szCs w:val="24"/>
                          </w:rPr>
                          <w:t>4)</w:t>
                          <w:tab/>
                        </w:r>
                        <w:r>
                          <w:rPr>
                            <w:szCs w:val="24"/>
                          </w:rPr>
                          <w:t xml:space="preserve">Saugi namų vidaus aplinka. </w:t>
                        </w:r>
                      </w:p>
                      <w:p>
                        <w:pPr>
                          <w:widowControl w:val="0"/>
                          <w:tabs>
                            <w:tab w:val="left" w:pos="380"/>
                          </w:tabs>
                          <w:ind w:right="-705" w:firstLine="97"/>
                          <w:jc w:val="both"/>
                          <w:rPr>
                            <w:bCs/>
                            <w:szCs w:val="24"/>
                          </w:rPr>
                        </w:pPr>
                        <w:r>
                          <w:rPr>
                            <w:bCs/>
                            <w:szCs w:val="24"/>
                          </w:rPr>
                          <w:t>5)</w:t>
                          <w:tab/>
                        </w:r>
                        <w:r>
                          <w:rPr>
                            <w:szCs w:val="24"/>
                          </w:rPr>
                          <w:t xml:space="preserve">Saugus vaiko kambarys, pritaikytas vaiko poreikiams. </w:t>
                        </w:r>
                      </w:p>
                      <w:p>
                        <w:pPr>
                          <w:widowControl w:val="0"/>
                          <w:tabs>
                            <w:tab w:val="left" w:pos="380"/>
                          </w:tabs>
                          <w:ind w:right="-705" w:firstLine="97"/>
                          <w:jc w:val="both"/>
                          <w:rPr>
                            <w:bCs/>
                            <w:szCs w:val="24"/>
                          </w:rPr>
                        </w:pPr>
                        <w:r>
                          <w:rPr>
                            <w:bCs/>
                            <w:szCs w:val="24"/>
                          </w:rPr>
                          <w:t>6)</w:t>
                          <w:tab/>
                        </w:r>
                        <w:r>
                          <w:rPr>
                            <w:szCs w:val="24"/>
                          </w:rPr>
                          <w:t xml:space="preserve">Saugi aplinka kieme. </w:t>
                        </w:r>
                      </w:p>
                    </w:tc>
                  </w:tr>
                  <w:tr>
                    <w:trPr>
                      <w:trHeight w:val="763"/>
                    </w:trPr>
                    <w:tc>
                      <w:tcPr>
                        <w:tcW w:w="117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18</w:t>
                        </w: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szCs w:val="24"/>
                          </w:rPr>
                        </w:pPr>
                      </w:p>
                    </w:tc>
                    <w:tc>
                      <w:tcPr>
                        <w:tcW w:w="0" w:type="auto"/>
                        <w:tcBorders>
                          <w:top w:val="single" w:sz="4" w:space="0" w:color="auto"/>
                          <w:left w:val="single" w:sz="4" w:space="0" w:color="auto"/>
                          <w:bottom w:val="single" w:sz="4" w:space="0" w:color="auto"/>
                          <w:right w:val="single" w:sz="4" w:space="0" w:color="auto"/>
                        </w:tcBorders>
                        <w:hideMark/>
                      </w:tcPr>
                      <w:p>
                        <w:pPr>
                          <w:tabs>
                            <w:tab w:val="left" w:pos="481"/>
                          </w:tabs>
                          <w:ind w:left="106" w:firstLine="142"/>
                          <w:rPr>
                            <w:szCs w:val="24"/>
                          </w:rPr>
                        </w:pPr>
                        <w:r>
                          <w:rPr>
                            <w:szCs w:val="24"/>
                          </w:rPr>
                          <w:t></w:t>
                          <w:tab/>
                          <w:t>Pateikti su kūdikio lavinimu ir bendravimu susijusias rekomendacijas.</w:t>
                        </w:r>
                      </w:p>
                    </w:tc>
                    <w:tc>
                      <w:tcPr>
                        <w:tcW w:w="0" w:type="auto"/>
                        <w:tcBorders>
                          <w:top w:val="single" w:sz="4" w:space="0" w:color="auto"/>
                          <w:left w:val="single" w:sz="4" w:space="0" w:color="auto"/>
                          <w:bottom w:val="single" w:sz="4" w:space="0" w:color="auto"/>
                          <w:right w:val="single" w:sz="4" w:space="0" w:color="auto"/>
                        </w:tcBorders>
                      </w:tcPr>
                      <w:p>
                        <w:pPr>
                          <w:tabs>
                            <w:tab w:val="left" w:pos="380"/>
                          </w:tabs>
                          <w:ind w:firstLine="97"/>
                          <w:jc w:val="both"/>
                          <w:rPr>
                            <w:szCs w:val="24"/>
                          </w:rPr>
                        </w:pPr>
                        <w:r>
                          <w:rPr>
                            <w:szCs w:val="24"/>
                          </w:rPr>
                          <w:t>1)</w:t>
                          <w:tab/>
                          <w:t>Bendravimas su 7 mėn. kūdikiu ir jo lavinimas.</w:t>
                        </w:r>
                      </w:p>
                      <w:p>
                        <w:pPr>
                          <w:tabs>
                            <w:tab w:val="left" w:pos="380"/>
                          </w:tabs>
                          <w:ind w:firstLine="97"/>
                          <w:jc w:val="both"/>
                          <w:rPr>
                            <w:szCs w:val="24"/>
                          </w:rPr>
                        </w:pPr>
                      </w:p>
                    </w:tc>
                  </w:tr>
                  <w:tr>
                    <w:tc>
                      <w:tcPr>
                        <w:tcW w:w="117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19</w:t>
                        </w:r>
                      </w:p>
                    </w:tc>
                    <w:tc>
                      <w:tcPr>
                        <w:tcW w:w="1445" w:type="dxa"/>
                        <w:vMerge w:val="restart"/>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8 mėn.</w:t>
                        </w:r>
                      </w:p>
                    </w:tc>
                    <w:tc>
                      <w:tcPr>
                        <w:tcW w:w="0" w:type="auto"/>
                        <w:tcBorders>
                          <w:top w:val="single" w:sz="4" w:space="0" w:color="auto"/>
                          <w:left w:val="single" w:sz="4" w:space="0" w:color="auto"/>
                          <w:bottom w:val="single" w:sz="4" w:space="0" w:color="auto"/>
                          <w:right w:val="single" w:sz="4" w:space="0" w:color="auto"/>
                        </w:tcBorders>
                        <w:hideMark/>
                      </w:tcPr>
                      <w:p>
                        <w:pPr>
                          <w:tabs>
                            <w:tab w:val="left" w:pos="481"/>
                          </w:tabs>
                          <w:ind w:left="106" w:firstLine="142"/>
                          <w:rPr>
                            <w:szCs w:val="24"/>
                          </w:rPr>
                        </w:pPr>
                        <w:r>
                          <w:rPr>
                            <w:szCs w:val="24"/>
                          </w:rPr>
                          <w:t></w:t>
                          <w:tab/>
                          <w:t>Pildo klausimyną “Vaiko sveikata ir raida 7-8 mėn.” (Aprašo priedas Nr. 26).</w:t>
                        </w:r>
                      </w:p>
                    </w:tc>
                    <w:tc>
                      <w:tcPr>
                        <w:tcW w:w="0" w:type="auto"/>
                        <w:tcBorders>
                          <w:top w:val="single" w:sz="4" w:space="0" w:color="auto"/>
                          <w:left w:val="single" w:sz="4" w:space="0" w:color="auto"/>
                          <w:bottom w:val="single" w:sz="4" w:space="0" w:color="auto"/>
                          <w:right w:val="single" w:sz="4" w:space="0" w:color="auto"/>
                        </w:tcBorders>
                        <w:hideMark/>
                      </w:tcPr>
                      <w:p>
                        <w:pPr>
                          <w:tabs>
                            <w:tab w:val="left" w:pos="380"/>
                          </w:tabs>
                          <w:ind w:firstLine="97"/>
                          <w:jc w:val="both"/>
                          <w:rPr>
                            <w:szCs w:val="24"/>
                          </w:rPr>
                        </w:pPr>
                        <w:r>
                          <w:rPr>
                            <w:szCs w:val="24"/>
                          </w:rPr>
                          <w:t>1)</w:t>
                          <w:tab/>
                          <w:t xml:space="preserve">Pildo klausimynus raidos vertinimui priklausomai nuo kūdikio amžiaus </w:t>
                        </w:r>
                      </w:p>
                      <w:p>
                        <w:pPr>
                          <w:tabs>
                            <w:tab w:val="left" w:pos="380"/>
                          </w:tabs>
                          <w:spacing w:line="256" w:lineRule="auto"/>
                          <w:ind w:firstLine="97"/>
                          <w:jc w:val="both"/>
                          <w:rPr>
                            <w:szCs w:val="24"/>
                          </w:rPr>
                        </w:pPr>
                        <w:r>
                          <w:rPr>
                            <w:szCs w:val="24"/>
                          </w:rPr>
                          <w:t>2)</w:t>
                          <w:tab/>
                          <w:t>Kūdikio skiepijamas.</w:t>
                        </w:r>
                      </w:p>
                      <w:p>
                        <w:pPr>
                          <w:tabs>
                            <w:tab w:val="left" w:pos="380"/>
                          </w:tabs>
                          <w:ind w:firstLine="97"/>
                          <w:jc w:val="both"/>
                          <w:rPr>
                            <w:szCs w:val="24"/>
                          </w:rPr>
                        </w:pPr>
                        <w:r>
                          <w:rPr>
                            <w:szCs w:val="24"/>
                          </w:rPr>
                          <w:t xml:space="preserve">Kūdikio sveikata (mityba, vitamino D vartojimas) ir informacija apie galimybę gauti pagal sveikatos būklę reikiamas asmens sveikatos priežiūros paslaugas. </w:t>
                        </w:r>
                      </w:p>
                    </w:tc>
                  </w:tr>
                  <w:tr>
                    <w:tc>
                      <w:tcPr>
                        <w:tcW w:w="117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20</w:t>
                        </w: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szCs w:val="24"/>
                          </w:rPr>
                        </w:pPr>
                      </w:p>
                    </w:tc>
                    <w:tc>
                      <w:tcPr>
                        <w:tcW w:w="0" w:type="auto"/>
                        <w:tcBorders>
                          <w:top w:val="single" w:sz="4" w:space="0" w:color="auto"/>
                          <w:left w:val="single" w:sz="4" w:space="0" w:color="auto"/>
                          <w:bottom w:val="single" w:sz="4" w:space="0" w:color="auto"/>
                          <w:right w:val="single" w:sz="4" w:space="0" w:color="auto"/>
                        </w:tcBorders>
                        <w:hideMark/>
                      </w:tcPr>
                      <w:p>
                        <w:pPr>
                          <w:tabs>
                            <w:tab w:val="left" w:pos="481"/>
                          </w:tabs>
                          <w:ind w:left="106" w:firstLine="142"/>
                          <w:rPr>
                            <w:szCs w:val="24"/>
                          </w:rPr>
                        </w:pPr>
                        <w:r>
                          <w:rPr>
                            <w:szCs w:val="24"/>
                          </w:rPr>
                          <w:t></w:t>
                          <w:tab/>
                          <w:t xml:space="preserve">Pateikti su kūdikio lavinimu ir bendravimu susijusias rekomendacijas. </w:t>
                        </w:r>
                      </w:p>
                    </w:tc>
                    <w:tc>
                      <w:tcPr>
                        <w:tcW w:w="0" w:type="auto"/>
                        <w:tcBorders>
                          <w:top w:val="single" w:sz="4" w:space="0" w:color="auto"/>
                          <w:left w:val="single" w:sz="4" w:space="0" w:color="auto"/>
                          <w:bottom w:val="single" w:sz="4" w:space="0" w:color="auto"/>
                          <w:right w:val="single" w:sz="4" w:space="0" w:color="auto"/>
                        </w:tcBorders>
                      </w:tcPr>
                      <w:p>
                        <w:pPr>
                          <w:tabs>
                            <w:tab w:val="left" w:pos="380"/>
                          </w:tabs>
                          <w:ind w:firstLine="97"/>
                          <w:jc w:val="both"/>
                          <w:rPr>
                            <w:szCs w:val="24"/>
                          </w:rPr>
                        </w:pPr>
                        <w:r>
                          <w:rPr>
                            <w:szCs w:val="24"/>
                          </w:rPr>
                          <w:t>1)</w:t>
                          <w:tab/>
                          <w:t>Bendravimas su 8 mėn. kūdikiu ir jo lavinimas.</w:t>
                        </w:r>
                      </w:p>
                      <w:p>
                        <w:pPr>
                          <w:tabs>
                            <w:tab w:val="left" w:pos="380"/>
                          </w:tabs>
                          <w:ind w:firstLine="97"/>
                          <w:jc w:val="both"/>
                          <w:rPr>
                            <w:szCs w:val="24"/>
                          </w:rPr>
                        </w:pPr>
                      </w:p>
                    </w:tc>
                  </w:tr>
                  <w:tr>
                    <w:tc>
                      <w:tcPr>
                        <w:tcW w:w="117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21</w:t>
                        </w:r>
                      </w:p>
                    </w:tc>
                    <w:tc>
                      <w:tcPr>
                        <w:tcW w:w="1445" w:type="dxa"/>
                        <w:vMerge w:val="restart"/>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9 mėn.</w:t>
                        </w:r>
                      </w:p>
                    </w:tc>
                    <w:tc>
                      <w:tcPr>
                        <w:tcW w:w="0" w:type="auto"/>
                        <w:tcBorders>
                          <w:top w:val="single" w:sz="4" w:space="0" w:color="auto"/>
                          <w:left w:val="single" w:sz="4" w:space="0" w:color="auto"/>
                          <w:bottom w:val="single" w:sz="4" w:space="0" w:color="auto"/>
                          <w:right w:val="single" w:sz="4" w:space="0" w:color="auto"/>
                        </w:tcBorders>
                        <w:hideMark/>
                      </w:tcPr>
                      <w:p>
                        <w:pPr>
                          <w:tabs>
                            <w:tab w:val="left" w:pos="481"/>
                          </w:tabs>
                          <w:ind w:left="106" w:firstLine="142"/>
                          <w:rPr>
                            <w:szCs w:val="24"/>
                          </w:rPr>
                        </w:pPr>
                        <w:r>
                          <w:rPr>
                            <w:szCs w:val="24"/>
                          </w:rPr>
                          <w:t></w:t>
                          <w:tab/>
                          <w:t>Pildo klausimyną “Vaiko sveikata ir raida 9-10 mėn.” (Aprašo priedas Nr. 28).</w:t>
                        </w:r>
                      </w:p>
                    </w:tc>
                    <w:tc>
                      <w:tcPr>
                        <w:tcW w:w="0" w:type="auto"/>
                        <w:tcBorders>
                          <w:top w:val="single" w:sz="4" w:space="0" w:color="auto"/>
                          <w:left w:val="single" w:sz="4" w:space="0" w:color="auto"/>
                          <w:bottom w:val="single" w:sz="4" w:space="0" w:color="auto"/>
                          <w:right w:val="single" w:sz="4" w:space="0" w:color="auto"/>
                        </w:tcBorders>
                        <w:hideMark/>
                      </w:tcPr>
                      <w:p>
                        <w:pPr>
                          <w:tabs>
                            <w:tab w:val="left" w:pos="380"/>
                          </w:tabs>
                          <w:ind w:firstLine="97"/>
                          <w:jc w:val="both"/>
                          <w:rPr>
                            <w:szCs w:val="24"/>
                          </w:rPr>
                        </w:pPr>
                        <w:r>
                          <w:rPr>
                            <w:szCs w:val="24"/>
                          </w:rPr>
                          <w:t>1)</w:t>
                          <w:tab/>
                          <w:t xml:space="preserve">Pildo klausimynus raidos vertinimui priklausomai nuo kūdikio amžiaus </w:t>
                        </w:r>
                      </w:p>
                      <w:p>
                        <w:pPr>
                          <w:tabs>
                            <w:tab w:val="left" w:pos="380"/>
                          </w:tabs>
                          <w:spacing w:line="256" w:lineRule="auto"/>
                          <w:ind w:firstLine="97"/>
                          <w:jc w:val="both"/>
                          <w:rPr>
                            <w:szCs w:val="24"/>
                          </w:rPr>
                        </w:pPr>
                        <w:r>
                          <w:rPr>
                            <w:szCs w:val="24"/>
                          </w:rPr>
                          <w:t>2)</w:t>
                          <w:tab/>
                          <w:t>Kūdikio skiepijamas.</w:t>
                        </w:r>
                      </w:p>
                      <w:p>
                        <w:pPr>
                          <w:tabs>
                            <w:tab w:val="left" w:pos="380"/>
                          </w:tabs>
                          <w:ind w:firstLine="97"/>
                          <w:jc w:val="both"/>
                          <w:rPr>
                            <w:szCs w:val="24"/>
                          </w:rPr>
                        </w:pPr>
                        <w:r>
                          <w:rPr>
                            <w:szCs w:val="24"/>
                          </w:rPr>
                          <w:t xml:space="preserve">Kūdikio sveikata (mityba, vitamino D vartojimas) informacija apie galimybę gauti pagal sveikatos būklę reikiamas asmens sveikatos priežiūros paslaugas. </w:t>
                        </w:r>
                      </w:p>
                    </w:tc>
                  </w:tr>
                  <w:tr>
                    <w:tc>
                      <w:tcPr>
                        <w:tcW w:w="117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22</w:t>
                        </w: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szCs w:val="24"/>
                          </w:rPr>
                        </w:pPr>
                      </w:p>
                    </w:tc>
                    <w:tc>
                      <w:tcPr>
                        <w:tcW w:w="0" w:type="auto"/>
                        <w:tcBorders>
                          <w:top w:val="single" w:sz="4" w:space="0" w:color="auto"/>
                          <w:left w:val="single" w:sz="4" w:space="0" w:color="auto"/>
                          <w:bottom w:val="single" w:sz="4" w:space="0" w:color="auto"/>
                          <w:right w:val="single" w:sz="4" w:space="0" w:color="auto"/>
                        </w:tcBorders>
                        <w:hideMark/>
                      </w:tcPr>
                      <w:p>
                        <w:pPr>
                          <w:tabs>
                            <w:tab w:val="left" w:pos="481"/>
                          </w:tabs>
                          <w:ind w:left="106" w:firstLine="142"/>
                          <w:rPr>
                            <w:szCs w:val="24"/>
                          </w:rPr>
                        </w:pPr>
                        <w:r>
                          <w:rPr>
                            <w:szCs w:val="24"/>
                          </w:rPr>
                          <w:t></w:t>
                          <w:tab/>
                          <w:t>Pateikti su kūdikio lavinimu ir bendravimu susijusias rekomendacijas.</w:t>
                        </w:r>
                      </w:p>
                    </w:tc>
                    <w:tc>
                      <w:tcPr>
                        <w:tcW w:w="0" w:type="auto"/>
                        <w:tcBorders>
                          <w:top w:val="single" w:sz="4" w:space="0" w:color="auto"/>
                          <w:left w:val="single" w:sz="4" w:space="0" w:color="auto"/>
                          <w:bottom w:val="single" w:sz="4" w:space="0" w:color="auto"/>
                          <w:right w:val="single" w:sz="4" w:space="0" w:color="auto"/>
                        </w:tcBorders>
                      </w:tcPr>
                      <w:p>
                        <w:pPr>
                          <w:tabs>
                            <w:tab w:val="left" w:pos="380"/>
                          </w:tabs>
                          <w:ind w:firstLine="97"/>
                          <w:jc w:val="both"/>
                          <w:rPr>
                            <w:szCs w:val="24"/>
                          </w:rPr>
                        </w:pPr>
                        <w:r>
                          <w:rPr>
                            <w:szCs w:val="24"/>
                          </w:rPr>
                          <w:t>1)</w:t>
                          <w:tab/>
                          <w:t>Bendravimas su 9 mėn. kūdikiu ir jo lavinimas.</w:t>
                        </w:r>
                      </w:p>
                      <w:p>
                        <w:pPr>
                          <w:tabs>
                            <w:tab w:val="left" w:pos="380"/>
                          </w:tabs>
                          <w:ind w:firstLine="97"/>
                          <w:jc w:val="both"/>
                          <w:rPr>
                            <w:szCs w:val="24"/>
                          </w:rPr>
                        </w:pPr>
                      </w:p>
                    </w:tc>
                  </w:tr>
                  <w:tr>
                    <w:tc>
                      <w:tcPr>
                        <w:tcW w:w="117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23</w:t>
                        </w:r>
                      </w:p>
                    </w:tc>
                    <w:tc>
                      <w:tcPr>
                        <w:tcW w:w="1445" w:type="dxa"/>
                        <w:vMerge w:val="restart"/>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10 mėn.</w:t>
                        </w:r>
                      </w:p>
                    </w:tc>
                    <w:tc>
                      <w:tcPr>
                        <w:tcW w:w="0" w:type="auto"/>
                        <w:tcBorders>
                          <w:top w:val="single" w:sz="4" w:space="0" w:color="auto"/>
                          <w:left w:val="single" w:sz="4" w:space="0" w:color="auto"/>
                          <w:bottom w:val="single" w:sz="4" w:space="0" w:color="auto"/>
                          <w:right w:val="single" w:sz="4" w:space="0" w:color="auto"/>
                        </w:tcBorders>
                        <w:hideMark/>
                      </w:tcPr>
                      <w:p>
                        <w:pPr>
                          <w:tabs>
                            <w:tab w:val="left" w:pos="481"/>
                          </w:tabs>
                          <w:ind w:left="106" w:firstLine="142"/>
                          <w:rPr>
                            <w:szCs w:val="24"/>
                          </w:rPr>
                        </w:pPr>
                        <w:r>
                          <w:rPr>
                            <w:szCs w:val="24"/>
                          </w:rPr>
                          <w:t></w:t>
                          <w:tab/>
                          <w:t>Pildo klausimyną “Vaiko sveikata ir raida 9-10 mėn.” (Aprašo priedas Nr. 28).</w:t>
                        </w:r>
                      </w:p>
                    </w:tc>
                    <w:tc>
                      <w:tcPr>
                        <w:tcW w:w="0" w:type="auto"/>
                        <w:tcBorders>
                          <w:top w:val="single" w:sz="4" w:space="0" w:color="auto"/>
                          <w:left w:val="single" w:sz="4" w:space="0" w:color="auto"/>
                          <w:bottom w:val="single" w:sz="4" w:space="0" w:color="auto"/>
                          <w:right w:val="single" w:sz="4" w:space="0" w:color="auto"/>
                        </w:tcBorders>
                        <w:hideMark/>
                      </w:tcPr>
                      <w:p>
                        <w:pPr>
                          <w:tabs>
                            <w:tab w:val="left" w:pos="380"/>
                          </w:tabs>
                          <w:ind w:firstLine="97"/>
                          <w:jc w:val="both"/>
                          <w:rPr>
                            <w:szCs w:val="24"/>
                          </w:rPr>
                        </w:pPr>
                        <w:r>
                          <w:rPr>
                            <w:szCs w:val="24"/>
                          </w:rPr>
                          <w:t>1)</w:t>
                          <w:tab/>
                          <w:t xml:space="preserve">Pildo klausimynus raidos vertinimui priklausomai nuo kūdikio amžiaus </w:t>
                        </w:r>
                      </w:p>
                      <w:p>
                        <w:pPr>
                          <w:tabs>
                            <w:tab w:val="left" w:pos="380"/>
                          </w:tabs>
                          <w:spacing w:line="256" w:lineRule="auto"/>
                          <w:ind w:firstLine="97"/>
                          <w:jc w:val="both"/>
                          <w:rPr>
                            <w:szCs w:val="24"/>
                          </w:rPr>
                        </w:pPr>
                        <w:r>
                          <w:rPr>
                            <w:szCs w:val="24"/>
                          </w:rPr>
                          <w:t>2)</w:t>
                          <w:tab/>
                          <w:t>Kūdikio skiepijamas.</w:t>
                        </w:r>
                      </w:p>
                      <w:p>
                        <w:pPr>
                          <w:tabs>
                            <w:tab w:val="left" w:pos="380"/>
                          </w:tabs>
                          <w:ind w:firstLine="97"/>
                          <w:jc w:val="both"/>
                          <w:rPr>
                            <w:szCs w:val="24"/>
                          </w:rPr>
                        </w:pPr>
                        <w:r>
                          <w:rPr>
                            <w:szCs w:val="24"/>
                          </w:rPr>
                          <w:t xml:space="preserve">Kūdikio sveikata (mityba, vitamino D vartojimas) ir informacija apie galimybę gauti pagal sveikatos būklę reikiamas asmens sveikatos priežiūros paslaugas. </w:t>
                        </w:r>
                      </w:p>
                    </w:tc>
                  </w:tr>
                  <w:tr>
                    <w:tc>
                      <w:tcPr>
                        <w:tcW w:w="117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24</w:t>
                        </w: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szCs w:val="24"/>
                          </w:rPr>
                        </w:pPr>
                      </w:p>
                    </w:tc>
                    <w:tc>
                      <w:tcPr>
                        <w:tcW w:w="0" w:type="auto"/>
                        <w:tcBorders>
                          <w:top w:val="single" w:sz="4" w:space="0" w:color="auto"/>
                          <w:left w:val="single" w:sz="4" w:space="0" w:color="auto"/>
                          <w:bottom w:val="single" w:sz="4" w:space="0" w:color="auto"/>
                          <w:right w:val="single" w:sz="4" w:space="0" w:color="auto"/>
                        </w:tcBorders>
                        <w:hideMark/>
                      </w:tcPr>
                      <w:p>
                        <w:pPr>
                          <w:tabs>
                            <w:tab w:val="left" w:pos="532"/>
                          </w:tabs>
                          <w:ind w:left="106" w:firstLine="142"/>
                          <w:rPr>
                            <w:szCs w:val="24"/>
                          </w:rPr>
                        </w:pPr>
                        <w:r>
                          <w:rPr>
                            <w:szCs w:val="24"/>
                          </w:rPr>
                          <w:t></w:t>
                          <w:tab/>
                          <w:t>Pateikti rekomendacijas susijusias su kūdikio lavinimu ir bendravimu.</w:t>
                        </w:r>
                      </w:p>
                    </w:tc>
                    <w:tc>
                      <w:tcPr>
                        <w:tcW w:w="0" w:type="auto"/>
                        <w:tcBorders>
                          <w:top w:val="single" w:sz="4" w:space="0" w:color="auto"/>
                          <w:left w:val="single" w:sz="4" w:space="0" w:color="auto"/>
                          <w:bottom w:val="single" w:sz="4" w:space="0" w:color="auto"/>
                          <w:right w:val="single" w:sz="4" w:space="0" w:color="auto"/>
                        </w:tcBorders>
                      </w:tcPr>
                      <w:p>
                        <w:pPr>
                          <w:tabs>
                            <w:tab w:val="left" w:pos="522"/>
                          </w:tabs>
                          <w:ind w:left="97" w:firstLine="141"/>
                          <w:jc w:val="both"/>
                          <w:rPr>
                            <w:szCs w:val="24"/>
                          </w:rPr>
                        </w:pPr>
                        <w:r>
                          <w:rPr>
                            <w:szCs w:val="24"/>
                          </w:rPr>
                          <w:t>1)</w:t>
                          <w:tab/>
                          <w:t>Bendravimas su 10 mėn. kūdikiu ir jo lavinimas.</w:t>
                        </w:r>
                      </w:p>
                      <w:p>
                        <w:pPr>
                          <w:tabs>
                            <w:tab w:val="left" w:pos="522"/>
                          </w:tabs>
                          <w:ind w:left="97" w:firstLine="141"/>
                          <w:jc w:val="both"/>
                          <w:rPr>
                            <w:szCs w:val="24"/>
                          </w:rPr>
                        </w:pPr>
                      </w:p>
                    </w:tc>
                  </w:tr>
                  <w:tr>
                    <w:tc>
                      <w:tcPr>
                        <w:tcW w:w="117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25</w:t>
                        </w:r>
                      </w:p>
                    </w:tc>
                    <w:tc>
                      <w:tcPr>
                        <w:tcW w:w="1445" w:type="dxa"/>
                        <w:vMerge w:val="restart"/>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11 mėn.</w:t>
                        </w:r>
                      </w:p>
                    </w:tc>
                    <w:tc>
                      <w:tcPr>
                        <w:tcW w:w="0" w:type="auto"/>
                        <w:tcBorders>
                          <w:top w:val="single" w:sz="4" w:space="0" w:color="auto"/>
                          <w:left w:val="single" w:sz="4" w:space="0" w:color="auto"/>
                          <w:bottom w:val="single" w:sz="4" w:space="0" w:color="auto"/>
                          <w:right w:val="single" w:sz="4" w:space="0" w:color="auto"/>
                        </w:tcBorders>
                        <w:hideMark/>
                      </w:tcPr>
                      <w:p>
                        <w:pPr>
                          <w:tabs>
                            <w:tab w:val="left" w:pos="532"/>
                          </w:tabs>
                          <w:ind w:left="106" w:firstLine="142"/>
                          <w:rPr>
                            <w:szCs w:val="24"/>
                          </w:rPr>
                        </w:pPr>
                        <w:r>
                          <w:rPr>
                            <w:szCs w:val="24"/>
                          </w:rPr>
                          <w:t></w:t>
                          <w:tab/>
                          <w:t>Pildo klausimyną “Vaiko sveikata ir raida 11-12 mėn.” (Aprašo priedas Nr. 29).</w:t>
                        </w:r>
                      </w:p>
                    </w:tc>
                    <w:tc>
                      <w:tcPr>
                        <w:tcW w:w="0" w:type="auto"/>
                        <w:tcBorders>
                          <w:top w:val="single" w:sz="4" w:space="0" w:color="auto"/>
                          <w:left w:val="single" w:sz="4" w:space="0" w:color="auto"/>
                          <w:bottom w:val="single" w:sz="4" w:space="0" w:color="auto"/>
                          <w:right w:val="single" w:sz="4" w:space="0" w:color="auto"/>
                        </w:tcBorders>
                        <w:hideMark/>
                      </w:tcPr>
                      <w:p>
                        <w:pPr>
                          <w:tabs>
                            <w:tab w:val="left" w:pos="522"/>
                          </w:tabs>
                          <w:ind w:left="97" w:firstLine="141"/>
                          <w:jc w:val="both"/>
                          <w:rPr>
                            <w:szCs w:val="24"/>
                          </w:rPr>
                        </w:pPr>
                        <w:r>
                          <w:rPr>
                            <w:szCs w:val="24"/>
                          </w:rPr>
                          <w:t>1)</w:t>
                          <w:tab/>
                          <w:t xml:space="preserve">Pildo klausimynus raidos vertinimui priklausomai nuo kūdikio amžiaus </w:t>
                        </w:r>
                      </w:p>
                      <w:p>
                        <w:pPr>
                          <w:tabs>
                            <w:tab w:val="left" w:pos="522"/>
                          </w:tabs>
                          <w:spacing w:line="256" w:lineRule="auto"/>
                          <w:ind w:left="97" w:firstLine="141"/>
                          <w:jc w:val="both"/>
                          <w:rPr>
                            <w:szCs w:val="24"/>
                          </w:rPr>
                        </w:pPr>
                        <w:r>
                          <w:rPr>
                            <w:szCs w:val="24"/>
                          </w:rPr>
                          <w:t>2)</w:t>
                          <w:tab/>
                          <w:t>Kūdikio skiepijamas.</w:t>
                        </w:r>
                      </w:p>
                      <w:p>
                        <w:pPr>
                          <w:tabs>
                            <w:tab w:val="left" w:pos="522"/>
                          </w:tabs>
                          <w:ind w:left="97" w:firstLine="141"/>
                          <w:jc w:val="both"/>
                          <w:rPr>
                            <w:szCs w:val="24"/>
                          </w:rPr>
                        </w:pPr>
                        <w:r>
                          <w:rPr>
                            <w:szCs w:val="24"/>
                          </w:rPr>
                          <w:t xml:space="preserve">Kūdikio sveikata (mityba, vitamino D vartojimas) ir informacija apie galimybę gauti pagal sveikatos būklę reikiamas asmens sveikatos priežiūros paslaugas. </w:t>
                        </w:r>
                      </w:p>
                    </w:tc>
                  </w:tr>
                  <w:tr>
                    <w:tc>
                      <w:tcPr>
                        <w:tcW w:w="117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26</w:t>
                        </w: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szCs w:val="24"/>
                          </w:rPr>
                        </w:pPr>
                      </w:p>
                    </w:tc>
                    <w:tc>
                      <w:tcPr>
                        <w:tcW w:w="0" w:type="auto"/>
                        <w:tcBorders>
                          <w:top w:val="single" w:sz="4" w:space="0" w:color="auto"/>
                          <w:left w:val="single" w:sz="4" w:space="0" w:color="auto"/>
                          <w:bottom w:val="single" w:sz="4" w:space="0" w:color="auto"/>
                          <w:right w:val="single" w:sz="4" w:space="0" w:color="auto"/>
                        </w:tcBorders>
                        <w:hideMark/>
                      </w:tcPr>
                      <w:p>
                        <w:pPr>
                          <w:tabs>
                            <w:tab w:val="left" w:pos="532"/>
                          </w:tabs>
                          <w:ind w:left="106" w:firstLine="142"/>
                          <w:rPr>
                            <w:szCs w:val="24"/>
                          </w:rPr>
                        </w:pPr>
                        <w:r>
                          <w:rPr>
                            <w:szCs w:val="24"/>
                          </w:rPr>
                          <w:t></w:t>
                          <w:tab/>
                          <w:t>Pateikti rekomendacijas susijusias su kūdikio lavinimu ir bendravimu.</w:t>
                        </w:r>
                      </w:p>
                    </w:tc>
                    <w:tc>
                      <w:tcPr>
                        <w:tcW w:w="0" w:type="auto"/>
                        <w:tcBorders>
                          <w:top w:val="single" w:sz="4" w:space="0" w:color="auto"/>
                          <w:left w:val="single" w:sz="4" w:space="0" w:color="auto"/>
                          <w:bottom w:val="single" w:sz="4" w:space="0" w:color="auto"/>
                          <w:right w:val="single" w:sz="4" w:space="0" w:color="auto"/>
                        </w:tcBorders>
                        <w:hideMark/>
                      </w:tcPr>
                      <w:p>
                        <w:pPr>
                          <w:tabs>
                            <w:tab w:val="left" w:pos="522"/>
                          </w:tabs>
                          <w:ind w:left="97" w:firstLine="141"/>
                          <w:jc w:val="both"/>
                          <w:rPr>
                            <w:szCs w:val="24"/>
                          </w:rPr>
                        </w:pPr>
                        <w:r>
                          <w:rPr>
                            <w:szCs w:val="24"/>
                          </w:rPr>
                          <w:t>1)</w:t>
                          <w:tab/>
                          <w:t>Bendravimas su 11 mėn. kūdikiu ir jo lavinimas.</w:t>
                        </w:r>
                      </w:p>
                    </w:tc>
                  </w:tr>
                  <w:tr>
                    <w:tc>
                      <w:tcPr>
                        <w:tcW w:w="117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27</w:t>
                        </w:r>
                      </w:p>
                    </w:tc>
                    <w:tc>
                      <w:tcPr>
                        <w:tcW w:w="1445" w:type="dxa"/>
                        <w:vMerge w:val="restart"/>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12 mėn.</w:t>
                        </w:r>
                      </w:p>
                    </w:tc>
                    <w:tc>
                      <w:tcPr>
                        <w:tcW w:w="0" w:type="auto"/>
                        <w:tcBorders>
                          <w:top w:val="single" w:sz="4" w:space="0" w:color="auto"/>
                          <w:left w:val="single" w:sz="4" w:space="0" w:color="auto"/>
                          <w:bottom w:val="single" w:sz="4" w:space="0" w:color="auto"/>
                          <w:right w:val="single" w:sz="4" w:space="0" w:color="auto"/>
                        </w:tcBorders>
                      </w:tcPr>
                      <w:p>
                        <w:pPr>
                          <w:tabs>
                            <w:tab w:val="left" w:pos="532"/>
                          </w:tabs>
                          <w:ind w:left="106" w:firstLine="142"/>
                          <w:rPr>
                            <w:szCs w:val="24"/>
                          </w:rPr>
                        </w:pPr>
                        <w:r>
                          <w:rPr>
                            <w:szCs w:val="24"/>
                          </w:rPr>
                          <w:t></w:t>
                          <w:tab/>
                          <w:t>Pildo klausimyną “Vaiko sveikata ir raida 11-12 mėn.” (Aprašo priedas Nr. 29).</w:t>
                        </w:r>
                      </w:p>
                      <w:p>
                        <w:pPr>
                          <w:tabs>
                            <w:tab w:val="left" w:pos="532"/>
                          </w:tabs>
                          <w:ind w:left="106" w:firstLine="142"/>
                          <w:rPr>
                            <w:strike/>
                            <w:szCs w:val="24"/>
                          </w:rPr>
                        </w:pPr>
                      </w:p>
                    </w:tc>
                    <w:tc>
                      <w:tcPr>
                        <w:tcW w:w="0" w:type="auto"/>
                        <w:tcBorders>
                          <w:top w:val="single" w:sz="4" w:space="0" w:color="auto"/>
                          <w:left w:val="single" w:sz="4" w:space="0" w:color="auto"/>
                          <w:bottom w:val="single" w:sz="4" w:space="0" w:color="auto"/>
                          <w:right w:val="single" w:sz="4" w:space="0" w:color="auto"/>
                        </w:tcBorders>
                        <w:hideMark/>
                      </w:tcPr>
                      <w:p>
                        <w:pPr>
                          <w:tabs>
                            <w:tab w:val="left" w:pos="522"/>
                          </w:tabs>
                          <w:ind w:left="97" w:firstLine="141"/>
                          <w:jc w:val="both"/>
                          <w:rPr>
                            <w:szCs w:val="24"/>
                          </w:rPr>
                        </w:pPr>
                        <w:r>
                          <w:rPr>
                            <w:szCs w:val="24"/>
                          </w:rPr>
                          <w:t>1)</w:t>
                          <w:tab/>
                          <w:t xml:space="preserve">Pildo klausimynus raidos vertinimui priklausomai nuo kūdikio amžiaus </w:t>
                        </w:r>
                      </w:p>
                      <w:p>
                        <w:pPr>
                          <w:tabs>
                            <w:tab w:val="left" w:pos="522"/>
                          </w:tabs>
                          <w:spacing w:line="256" w:lineRule="auto"/>
                          <w:ind w:left="97" w:firstLine="141"/>
                          <w:jc w:val="both"/>
                          <w:rPr>
                            <w:szCs w:val="24"/>
                          </w:rPr>
                        </w:pPr>
                        <w:r>
                          <w:rPr>
                            <w:szCs w:val="24"/>
                          </w:rPr>
                          <w:t>2)</w:t>
                          <w:tab/>
                          <w:t>Kūdikio skiepijamas.</w:t>
                        </w:r>
                      </w:p>
                      <w:p>
                        <w:pPr>
                          <w:tabs>
                            <w:tab w:val="left" w:pos="522"/>
                          </w:tabs>
                          <w:ind w:left="97" w:firstLine="141"/>
                          <w:jc w:val="both"/>
                          <w:rPr>
                            <w:szCs w:val="24"/>
                          </w:rPr>
                        </w:pPr>
                        <w:r>
                          <w:rPr>
                            <w:szCs w:val="24"/>
                          </w:rPr>
                          <w:t xml:space="preserve">Kūdikio sveikata (mityba, šlapinimasis ir tuštinimasis, miegas) ir informacija apie galimybę gauti pagal sveikatos būklę reikiamas asmens sveikatos priežiūros paslaugas. </w:t>
                        </w:r>
                      </w:p>
                    </w:tc>
                  </w:tr>
                  <w:tr>
                    <w:tc>
                      <w:tcPr>
                        <w:tcW w:w="117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28</w:t>
                        </w: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szCs w:val="24"/>
                          </w:rPr>
                        </w:pPr>
                      </w:p>
                    </w:tc>
                    <w:tc>
                      <w:tcPr>
                        <w:tcW w:w="0" w:type="auto"/>
                        <w:tcBorders>
                          <w:top w:val="single" w:sz="4" w:space="0" w:color="auto"/>
                          <w:left w:val="single" w:sz="4" w:space="0" w:color="auto"/>
                          <w:bottom w:val="single" w:sz="4" w:space="0" w:color="auto"/>
                          <w:right w:val="single" w:sz="4" w:space="0" w:color="auto"/>
                        </w:tcBorders>
                        <w:hideMark/>
                      </w:tcPr>
                      <w:p>
                        <w:pPr>
                          <w:tabs>
                            <w:tab w:val="left" w:pos="532"/>
                          </w:tabs>
                          <w:ind w:left="106" w:firstLine="142"/>
                          <w:rPr>
                            <w:szCs w:val="24"/>
                          </w:rPr>
                        </w:pPr>
                        <w:r>
                          <w:rPr>
                            <w:szCs w:val="24"/>
                          </w:rPr>
                          <w:t></w:t>
                          <w:tab/>
                          <w:t>Pateikti su kūdikio lavinimu ir bendravimu susijusias rekomendacijas.</w:t>
                        </w:r>
                      </w:p>
                    </w:tc>
                    <w:tc>
                      <w:tcPr>
                        <w:tcW w:w="0" w:type="auto"/>
                        <w:tcBorders>
                          <w:top w:val="single" w:sz="4" w:space="0" w:color="auto"/>
                          <w:left w:val="single" w:sz="4" w:space="0" w:color="auto"/>
                          <w:bottom w:val="single" w:sz="4" w:space="0" w:color="auto"/>
                          <w:right w:val="single" w:sz="4" w:space="0" w:color="auto"/>
                        </w:tcBorders>
                      </w:tcPr>
                      <w:p>
                        <w:pPr>
                          <w:tabs>
                            <w:tab w:val="left" w:pos="522"/>
                          </w:tabs>
                          <w:ind w:left="97" w:firstLine="141"/>
                          <w:jc w:val="both"/>
                          <w:rPr>
                            <w:szCs w:val="24"/>
                          </w:rPr>
                        </w:pPr>
                        <w:r>
                          <w:rPr>
                            <w:szCs w:val="24"/>
                          </w:rPr>
                          <w:t>1)</w:t>
                          <w:tab/>
                          <w:t>Bendravimas su 12 mėn. kūdikiu ir jo lavinimas.</w:t>
                        </w:r>
                      </w:p>
                      <w:p>
                        <w:pPr>
                          <w:ind w:left="487" w:hanging="127"/>
                          <w:jc w:val="both"/>
                          <w:rPr>
                            <w:szCs w:val="24"/>
                          </w:rPr>
                        </w:pPr>
                      </w:p>
                    </w:tc>
                  </w:tr>
                  <w:tr>
                    <w:tc>
                      <w:tcPr>
                        <w:tcW w:w="0" w:type="auto"/>
                        <w:gridSpan w:val="4"/>
                        <w:tcBorders>
                          <w:top w:val="single" w:sz="4" w:space="0" w:color="auto"/>
                          <w:left w:val="single" w:sz="4" w:space="0" w:color="auto"/>
                          <w:bottom w:val="single" w:sz="4" w:space="0" w:color="auto"/>
                          <w:right w:val="single" w:sz="4" w:space="0" w:color="auto"/>
                        </w:tcBorders>
                        <w:vAlign w:val="center"/>
                        <w:hideMark/>
                      </w:tcPr>
                      <w:p>
                        <w:pPr>
                          <w:jc w:val="center"/>
                          <w:rPr>
                            <w:b/>
                            <w:bCs/>
                            <w:szCs w:val="24"/>
                          </w:rPr>
                        </w:pPr>
                        <w:r>
                          <w:rPr>
                            <w:b/>
                            <w:bCs/>
                            <w:szCs w:val="24"/>
                          </w:rPr>
                          <w:t>Laikotarpis iki vaikui sueis 13-24 mėnesiai ne daugiau kaip 11 paslaugų</w:t>
                        </w:r>
                      </w:p>
                    </w:tc>
                  </w:tr>
                  <w:tr>
                    <w:tc>
                      <w:tcPr>
                        <w:tcW w:w="117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w:t>
                        </w:r>
                      </w:p>
                    </w:tc>
                    <w:tc>
                      <w:tcPr>
                        <w:tcW w:w="1445" w:type="dxa"/>
                        <w:vMerge w:val="restart"/>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13 mėn.</w:t>
                        </w:r>
                      </w:p>
                    </w:tc>
                    <w:tc>
                      <w:tcPr>
                        <w:tcW w:w="0" w:type="auto"/>
                        <w:tcBorders>
                          <w:top w:val="single" w:sz="4" w:space="0" w:color="auto"/>
                          <w:left w:val="single" w:sz="4" w:space="0" w:color="auto"/>
                          <w:bottom w:val="single" w:sz="4" w:space="0" w:color="auto"/>
                          <w:right w:val="single" w:sz="4" w:space="0" w:color="auto"/>
                        </w:tcBorders>
                        <w:hideMark/>
                      </w:tcPr>
                      <w:p>
                        <w:pPr>
                          <w:tabs>
                            <w:tab w:val="left" w:pos="586"/>
                          </w:tabs>
                          <w:ind w:left="106" w:firstLine="254"/>
                          <w:rPr>
                            <w:szCs w:val="24"/>
                          </w:rPr>
                        </w:pPr>
                        <w:r>
                          <w:rPr>
                            <w:szCs w:val="24"/>
                          </w:rPr>
                          <w:t></w:t>
                          <w:tab/>
                          <w:t>Pildo klausimyną „Namų aplinkos saugumas vaikui“ (Aprašo priedas Nr. 30).</w:t>
                        </w:r>
                      </w:p>
                      <w:p>
                        <w:pPr>
                          <w:tabs>
                            <w:tab w:val="left" w:pos="586"/>
                          </w:tabs>
                          <w:ind w:left="106" w:firstLine="254"/>
                          <w:rPr>
                            <w:szCs w:val="24"/>
                          </w:rPr>
                        </w:pPr>
                        <w:r>
                          <w:rPr>
                            <w:szCs w:val="24"/>
                          </w:rPr>
                          <w:t></w:t>
                          <w:tab/>
                          <w:t>Pateikti rekomendacijas susijusias su vaiko lavinimu ir bendravimu.</w:t>
                        </w:r>
                      </w:p>
                      <w:p>
                        <w:pPr>
                          <w:tabs>
                            <w:tab w:val="left" w:pos="586"/>
                          </w:tabs>
                          <w:ind w:left="106" w:firstLine="254"/>
                          <w:rPr>
                            <w:szCs w:val="24"/>
                          </w:rPr>
                        </w:pPr>
                        <w:r>
                          <w:rPr>
                            <w:szCs w:val="24"/>
                          </w:rPr>
                          <w:t></w:t>
                          <w:tab/>
                          <w:t>Padėti sudaryti vaiko dienotvarkę.</w:t>
                        </w:r>
                      </w:p>
                    </w:tc>
                    <w:tc>
                      <w:tcPr>
                        <w:tcW w:w="0" w:type="auto"/>
                        <w:tcBorders>
                          <w:top w:val="single" w:sz="4" w:space="0" w:color="auto"/>
                          <w:left w:val="single" w:sz="4" w:space="0" w:color="auto"/>
                          <w:bottom w:val="single" w:sz="4" w:space="0" w:color="auto"/>
                          <w:right w:val="single" w:sz="4" w:space="0" w:color="auto"/>
                        </w:tcBorders>
                      </w:tcPr>
                      <w:p>
                        <w:pPr>
                          <w:tabs>
                            <w:tab w:val="left" w:pos="745"/>
                          </w:tabs>
                          <w:ind w:left="37" w:firstLine="283"/>
                          <w:rPr>
                            <w:szCs w:val="24"/>
                          </w:rPr>
                        </w:pPr>
                        <w:r>
                          <w:rPr>
                            <w:szCs w:val="24"/>
                          </w:rPr>
                          <w:t>1)</w:t>
                          <w:tab/>
                          <w:t xml:space="preserve">Saugi namų vidaus aplinka. </w:t>
                        </w:r>
                      </w:p>
                      <w:p>
                        <w:pPr>
                          <w:tabs>
                            <w:tab w:val="left" w:pos="745"/>
                          </w:tabs>
                          <w:ind w:left="37" w:firstLine="283"/>
                          <w:rPr>
                            <w:szCs w:val="24"/>
                          </w:rPr>
                        </w:pPr>
                        <w:r>
                          <w:rPr>
                            <w:szCs w:val="24"/>
                          </w:rPr>
                          <w:t>2)</w:t>
                          <w:tab/>
                          <w:t>Saugus vaiko kambarys, pritaikytas vaiko poreikiams.</w:t>
                        </w:r>
                      </w:p>
                      <w:p>
                        <w:pPr>
                          <w:tabs>
                            <w:tab w:val="left" w:pos="745"/>
                          </w:tabs>
                          <w:ind w:left="37" w:firstLine="283"/>
                          <w:rPr>
                            <w:szCs w:val="24"/>
                          </w:rPr>
                        </w:pPr>
                        <w:r>
                          <w:rPr>
                            <w:szCs w:val="24"/>
                          </w:rPr>
                          <w:t>3)</w:t>
                          <w:tab/>
                          <w:t xml:space="preserve">Saugi aplinka kieme. </w:t>
                        </w:r>
                      </w:p>
                      <w:p>
                        <w:pPr>
                          <w:tabs>
                            <w:tab w:val="left" w:pos="745"/>
                          </w:tabs>
                          <w:ind w:left="37" w:firstLine="283"/>
                          <w:rPr>
                            <w:szCs w:val="24"/>
                          </w:rPr>
                        </w:pPr>
                        <w:r>
                          <w:rPr>
                            <w:szCs w:val="24"/>
                          </w:rPr>
                          <w:t>4)</w:t>
                          <w:tab/>
                          <w:t>Bendravimas su 13 mėn. vaiku ir jo lavinimas.</w:t>
                        </w:r>
                      </w:p>
                      <w:p>
                        <w:pPr>
                          <w:tabs>
                            <w:tab w:val="left" w:pos="745"/>
                          </w:tabs>
                          <w:ind w:left="37" w:firstLine="283"/>
                          <w:rPr>
                            <w:szCs w:val="24"/>
                          </w:rPr>
                        </w:pPr>
                        <w:r>
                          <w:rPr>
                            <w:szCs w:val="24"/>
                          </w:rPr>
                          <w:t>5)</w:t>
                          <w:tab/>
                          <w:t xml:space="preserve">Vaiko  dienotvarkė.</w:t>
                        </w:r>
                      </w:p>
                      <w:p>
                        <w:pPr>
                          <w:tabs>
                            <w:tab w:val="left" w:pos="745"/>
                          </w:tabs>
                          <w:ind w:left="37" w:firstLine="283"/>
                          <w:rPr>
                            <w:szCs w:val="24"/>
                          </w:rPr>
                        </w:pPr>
                      </w:p>
                    </w:tc>
                  </w:tr>
                  <w:tr>
                    <w:tc>
                      <w:tcPr>
                        <w:tcW w:w="117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2</w:t>
                        </w: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szCs w:val="24"/>
                          </w:rPr>
                        </w:pPr>
                      </w:p>
                    </w:tc>
                    <w:tc>
                      <w:tcPr>
                        <w:tcW w:w="0" w:type="auto"/>
                        <w:tcBorders>
                          <w:top w:val="single" w:sz="4" w:space="0" w:color="auto"/>
                          <w:left w:val="single" w:sz="4" w:space="0" w:color="auto"/>
                          <w:bottom w:val="single" w:sz="4" w:space="0" w:color="auto"/>
                          <w:right w:val="single" w:sz="4" w:space="0" w:color="auto"/>
                        </w:tcBorders>
                        <w:hideMark/>
                      </w:tcPr>
                      <w:p>
                        <w:pPr>
                          <w:rPr>
                            <w:sz w:val="8"/>
                            <w:szCs w:val="8"/>
                          </w:rPr>
                        </w:pPr>
                      </w:p>
                      <w:p>
                        <w:pPr>
                          <w:tabs>
                            <w:tab w:val="left" w:pos="586"/>
                          </w:tabs>
                          <w:ind w:left="106" w:firstLine="254"/>
                          <w:rPr>
                            <w:bCs/>
                            <w:szCs w:val="24"/>
                          </w:rPr>
                        </w:pPr>
                        <w:r>
                          <w:rPr>
                            <w:bCs/>
                            <w:szCs w:val="24"/>
                          </w:rPr>
                          <w:t></w:t>
                          <w:tab/>
                          <w:t>Pildo klausimyną „Savivertės klausimynas“ (</w:t>
                        </w:r>
                        <w:r>
                          <w:rPr>
                            <w:szCs w:val="24"/>
                          </w:rPr>
                          <w:t>Aprašo priedas</w:t>
                        </w:r>
                        <w:r>
                          <w:rPr>
                            <w:bCs/>
                            <w:szCs w:val="24"/>
                          </w:rPr>
                          <w:t xml:space="preserve"> Nr.17).</w:t>
                        </w:r>
                      </w:p>
                    </w:tc>
                    <w:tc>
                      <w:tcPr>
                        <w:tcW w:w="0" w:type="auto"/>
                        <w:tcBorders>
                          <w:top w:val="single" w:sz="4" w:space="0" w:color="auto"/>
                          <w:left w:val="single" w:sz="4" w:space="0" w:color="auto"/>
                          <w:bottom w:val="single" w:sz="4" w:space="0" w:color="auto"/>
                          <w:right w:val="single" w:sz="4" w:space="0" w:color="auto"/>
                        </w:tcBorders>
                        <w:hideMark/>
                      </w:tcPr>
                      <w:p>
                        <w:pPr>
                          <w:tabs>
                            <w:tab w:val="left" w:pos="745"/>
                          </w:tabs>
                          <w:spacing w:line="256" w:lineRule="auto"/>
                          <w:ind w:left="37" w:firstLine="283"/>
                          <w:jc w:val="both"/>
                          <w:rPr>
                            <w:rFonts w:eastAsia="CIDFont+F4"/>
                            <w:szCs w:val="24"/>
                          </w:rPr>
                        </w:pPr>
                        <w:r>
                          <w:rPr>
                            <w:rFonts w:eastAsia="CIDFont+F4"/>
                            <w:szCs w:val="24"/>
                          </w:rPr>
                          <w:t>1)</w:t>
                          <w:tab/>
                        </w:r>
                        <w:r>
                          <w:rPr>
                            <w:rFonts w:eastAsia="CIDFont+F3"/>
                            <w:szCs w:val="24"/>
                          </w:rPr>
                          <w:t>Priklausomybės.</w:t>
                        </w:r>
                      </w:p>
                      <w:p>
                        <w:pPr>
                          <w:tabs>
                            <w:tab w:val="left" w:pos="745"/>
                          </w:tabs>
                          <w:spacing w:line="256" w:lineRule="auto"/>
                          <w:ind w:left="37" w:firstLine="283"/>
                          <w:jc w:val="both"/>
                          <w:rPr>
                            <w:rFonts w:eastAsia="CIDFont+F4"/>
                            <w:szCs w:val="24"/>
                          </w:rPr>
                        </w:pPr>
                        <w:r>
                          <w:rPr>
                            <w:rFonts w:eastAsia="CIDFont+F4"/>
                            <w:szCs w:val="24"/>
                          </w:rPr>
                          <w:t>2)</w:t>
                          <w:tab/>
                        </w:r>
                        <w:r>
                          <w:rPr>
                            <w:rFonts w:eastAsia="CIDFont+F3"/>
                            <w:szCs w:val="24"/>
                          </w:rPr>
                          <w:t>Rizikingos elgsenos apraiškos.</w:t>
                        </w:r>
                      </w:p>
                      <w:p>
                        <w:pPr>
                          <w:tabs>
                            <w:tab w:val="left" w:pos="745"/>
                          </w:tabs>
                          <w:spacing w:line="256" w:lineRule="auto"/>
                          <w:ind w:left="37" w:firstLine="283"/>
                          <w:jc w:val="both"/>
                          <w:rPr>
                            <w:rFonts w:eastAsia="CIDFont+F3"/>
                            <w:szCs w:val="24"/>
                          </w:rPr>
                        </w:pPr>
                        <w:r>
                          <w:rPr>
                            <w:rFonts w:eastAsia="CIDFont+F3"/>
                            <w:szCs w:val="24"/>
                          </w:rPr>
                          <w:t>3)</w:t>
                          <w:tab/>
                          <w:t>Seksualinis elgesys.</w:t>
                        </w:r>
                      </w:p>
                      <w:p>
                        <w:pPr>
                          <w:tabs>
                            <w:tab w:val="left" w:pos="745"/>
                          </w:tabs>
                          <w:spacing w:line="256" w:lineRule="auto"/>
                          <w:ind w:left="37" w:firstLine="283"/>
                          <w:jc w:val="both"/>
                          <w:rPr>
                            <w:rFonts w:eastAsia="CIDFont+F3"/>
                            <w:szCs w:val="24"/>
                          </w:rPr>
                        </w:pPr>
                        <w:r>
                          <w:rPr>
                            <w:rFonts w:eastAsia="CIDFont+F3"/>
                            <w:szCs w:val="24"/>
                          </w:rPr>
                          <w:t>4)</w:t>
                          <w:tab/>
                        </w:r>
                        <w:r>
                          <w:rPr>
                            <w:bCs/>
                            <w:szCs w:val="24"/>
                          </w:rPr>
                          <w:t>Tinkama mityba.</w:t>
                        </w:r>
                      </w:p>
                      <w:p>
                        <w:pPr>
                          <w:tabs>
                            <w:tab w:val="left" w:pos="745"/>
                          </w:tabs>
                          <w:ind w:left="37" w:firstLine="283"/>
                          <w:rPr>
                            <w:szCs w:val="24"/>
                          </w:rPr>
                        </w:pPr>
                        <w:r>
                          <w:rPr>
                            <w:szCs w:val="24"/>
                          </w:rPr>
                          <w:t>5)</w:t>
                          <w:tab/>
                        </w:r>
                        <w:r>
                          <w:rPr>
                            <w:bCs/>
                            <w:szCs w:val="24"/>
                          </w:rPr>
                          <w:t>Fizinis aktyvumas.</w:t>
                        </w:r>
                      </w:p>
                      <w:p>
                        <w:pPr>
                          <w:tabs>
                            <w:tab w:val="left" w:pos="745"/>
                          </w:tabs>
                          <w:ind w:left="37" w:firstLine="283"/>
                          <w:rPr>
                            <w:szCs w:val="24"/>
                          </w:rPr>
                        </w:pPr>
                        <w:r>
                          <w:rPr>
                            <w:szCs w:val="24"/>
                          </w:rPr>
                          <w:t>6)</w:t>
                          <w:tab/>
                        </w:r>
                        <w:r>
                          <w:rPr>
                            <w:rFonts w:eastAsia="Trebuchet MS"/>
                            <w:bCs/>
                            <w:szCs w:val="24"/>
                          </w:rPr>
                          <w:t>Gebėjimas suprasti vaiko jausmus ir poreikius.</w:t>
                        </w:r>
                      </w:p>
                      <w:p>
                        <w:pPr>
                          <w:tabs>
                            <w:tab w:val="left" w:pos="745"/>
                          </w:tabs>
                          <w:ind w:left="37" w:firstLine="283"/>
                          <w:rPr>
                            <w:szCs w:val="24"/>
                          </w:rPr>
                        </w:pPr>
                        <w:r>
                          <w:rPr>
                            <w:szCs w:val="24"/>
                          </w:rPr>
                          <w:t>7)</w:t>
                          <w:tab/>
                        </w:r>
                        <w:r>
                          <w:rPr>
                            <w:rFonts w:eastAsia="Trebuchet MS"/>
                            <w:bCs/>
                            <w:szCs w:val="24"/>
                          </w:rPr>
                          <w:t>Gebėjimas pasirūpinti savo vaiku esant skirtingoms situacijoms namuose ar išvykus iš namų.</w:t>
                        </w:r>
                      </w:p>
                      <w:p>
                        <w:pPr>
                          <w:tabs>
                            <w:tab w:val="left" w:pos="745"/>
                          </w:tabs>
                          <w:ind w:left="37" w:firstLine="283"/>
                          <w:rPr>
                            <w:szCs w:val="24"/>
                          </w:rPr>
                        </w:pPr>
                        <w:r>
                          <w:rPr>
                            <w:szCs w:val="24"/>
                          </w:rPr>
                          <w:t>8)</w:t>
                          <w:tab/>
                          <w:t>Gebėjimas išsikelti vaikų auklėjimo tikslus ar užduotis.</w:t>
                        </w:r>
                      </w:p>
                      <w:p>
                        <w:pPr>
                          <w:tabs>
                            <w:tab w:val="left" w:pos="745"/>
                          </w:tabs>
                          <w:ind w:left="37" w:firstLine="283"/>
                          <w:rPr>
                            <w:szCs w:val="24"/>
                          </w:rPr>
                        </w:pPr>
                        <w:r>
                          <w:rPr>
                            <w:szCs w:val="24"/>
                          </w:rPr>
                          <w:t>9)</w:t>
                          <w:tab/>
                          <w:t>Gebėjimas spręsti sunkumus, kylančius dėl varginančio vaikų elgesio </w:t>
                        </w:r>
                      </w:p>
                      <w:p>
                        <w:pPr>
                          <w:tabs>
                            <w:tab w:val="left" w:pos="745"/>
                          </w:tabs>
                          <w:ind w:left="37" w:firstLine="283"/>
                          <w:rPr>
                            <w:szCs w:val="24"/>
                          </w:rPr>
                        </w:pPr>
                        <w:r>
                          <w:rPr>
                            <w:szCs w:val="24"/>
                          </w:rPr>
                          <w:t>10)</w:t>
                          <w:tab/>
                          <w:t xml:space="preserve">Gebėjimas spręsti sunkumus, kylančius dėl „laukiamų“ ar „teisėtų“ vaikų poreikių tenkinimo naštos. </w:t>
                        </w:r>
                      </w:p>
                      <w:p>
                        <w:pPr>
                          <w:tabs>
                            <w:tab w:val="left" w:pos="745"/>
                          </w:tabs>
                          <w:ind w:left="37" w:firstLine="283"/>
                          <w:rPr>
                            <w:szCs w:val="24"/>
                          </w:rPr>
                        </w:pPr>
                        <w:r>
                          <w:rPr>
                            <w:szCs w:val="24"/>
                          </w:rPr>
                          <w:t>11)</w:t>
                          <w:tab/>
                          <w:t>Pakankamos lėšos šeimos poreikiams.</w:t>
                        </w:r>
                      </w:p>
                      <w:p>
                        <w:pPr>
                          <w:tabs>
                            <w:tab w:val="left" w:pos="745"/>
                          </w:tabs>
                          <w:ind w:left="37" w:firstLine="283"/>
                          <w:rPr>
                            <w:szCs w:val="24"/>
                          </w:rPr>
                        </w:pPr>
                        <w:r>
                          <w:rPr>
                            <w:szCs w:val="24"/>
                          </w:rPr>
                          <w:t>12)</w:t>
                          <w:tab/>
                          <w:t>Gebėjimas planuoti laiką šeimos ir asmeniniams poreikiams.</w:t>
                        </w:r>
                      </w:p>
                      <w:p>
                        <w:pPr>
                          <w:tabs>
                            <w:tab w:val="left" w:pos="745"/>
                          </w:tabs>
                          <w:ind w:left="37" w:firstLine="283"/>
                          <w:rPr>
                            <w:szCs w:val="24"/>
                          </w:rPr>
                        </w:pPr>
                        <w:r>
                          <w:rPr>
                            <w:szCs w:val="24"/>
                          </w:rPr>
                          <w:t>13)</w:t>
                          <w:tab/>
                          <w:t xml:space="preserve">Gebėjimas spręsti nenumatytas kasdienes problemas. </w:t>
                        </w:r>
                      </w:p>
                    </w:tc>
                  </w:tr>
                  <w:tr>
                    <w:tc>
                      <w:tcPr>
                        <w:tcW w:w="117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3</w:t>
                        </w:r>
                      </w:p>
                    </w:tc>
                    <w:tc>
                      <w:tcPr>
                        <w:tcW w:w="1445" w:type="dxa"/>
                        <w:vMerge w:val="restart"/>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14 mėn.</w:t>
                        </w:r>
                      </w:p>
                    </w:tc>
                    <w:tc>
                      <w:tcPr>
                        <w:tcW w:w="0" w:type="auto"/>
                        <w:tcBorders>
                          <w:top w:val="single" w:sz="4" w:space="0" w:color="auto"/>
                          <w:left w:val="single" w:sz="4" w:space="0" w:color="auto"/>
                          <w:bottom w:val="single" w:sz="4" w:space="0" w:color="auto"/>
                          <w:right w:val="single" w:sz="4" w:space="0" w:color="auto"/>
                        </w:tcBorders>
                        <w:hideMark/>
                      </w:tcPr>
                      <w:p>
                        <w:pPr>
                          <w:tabs>
                            <w:tab w:val="left" w:pos="532"/>
                          </w:tabs>
                          <w:ind w:left="106" w:firstLine="142"/>
                          <w:jc w:val="both"/>
                          <w:rPr>
                            <w:szCs w:val="24"/>
                          </w:rPr>
                        </w:pPr>
                        <w:r>
                          <w:rPr>
                            <w:szCs w:val="24"/>
                          </w:rPr>
                          <w:t></w:t>
                          <w:tab/>
                          <w:t>Supažindinti su vaiko emocijomis.</w:t>
                        </w:r>
                      </w:p>
                      <w:p>
                        <w:pPr>
                          <w:tabs>
                            <w:tab w:val="left" w:pos="532"/>
                          </w:tabs>
                          <w:spacing w:line="256" w:lineRule="auto"/>
                          <w:ind w:left="106" w:firstLine="142"/>
                          <w:jc w:val="both"/>
                          <w:rPr>
                            <w:szCs w:val="24"/>
                          </w:rPr>
                        </w:pPr>
                        <w:r>
                          <w:rPr>
                            <w:szCs w:val="24"/>
                          </w:rPr>
                          <w:t></w:t>
                          <w:tab/>
                          <w:t>Pildo klausimyną “Tėvystės iššūkių skalė“ (Aprašo priedas Nr. 25).</w:t>
                        </w:r>
                      </w:p>
                    </w:tc>
                    <w:tc>
                      <w:tcPr>
                        <w:tcW w:w="0" w:type="auto"/>
                        <w:tcBorders>
                          <w:top w:val="single" w:sz="4" w:space="0" w:color="auto"/>
                          <w:left w:val="single" w:sz="4" w:space="0" w:color="auto"/>
                          <w:bottom w:val="single" w:sz="4" w:space="0" w:color="auto"/>
                          <w:right w:val="single" w:sz="4" w:space="0" w:color="auto"/>
                        </w:tcBorders>
                        <w:hideMark/>
                      </w:tcPr>
                      <w:p>
                        <w:pPr>
                          <w:tabs>
                            <w:tab w:val="left" w:pos="664"/>
                          </w:tabs>
                          <w:spacing w:line="256" w:lineRule="auto"/>
                          <w:ind w:left="97" w:firstLine="263"/>
                          <w:jc w:val="both"/>
                          <w:rPr>
                            <w:szCs w:val="24"/>
                          </w:rPr>
                        </w:pPr>
                        <w:r>
                          <w:rPr>
                            <w:szCs w:val="24"/>
                          </w:rPr>
                          <w:t>1)</w:t>
                          <w:tab/>
                          <w:t>Vaiko emocijos.</w:t>
                        </w:r>
                      </w:p>
                      <w:p>
                        <w:pPr>
                          <w:tabs>
                            <w:tab w:val="left" w:pos="664"/>
                          </w:tabs>
                          <w:ind w:left="97" w:firstLine="263"/>
                          <w:rPr>
                            <w:szCs w:val="24"/>
                          </w:rPr>
                        </w:pPr>
                        <w:r>
                          <w:rPr>
                            <w:szCs w:val="24"/>
                          </w:rPr>
                          <w:t>2)</w:t>
                          <w:tab/>
                          <w:t>Gebėjimas išsikelti vaikų auklėjimo tikslus ar užduotis.</w:t>
                        </w:r>
                      </w:p>
                      <w:p>
                        <w:pPr>
                          <w:tabs>
                            <w:tab w:val="left" w:pos="664"/>
                          </w:tabs>
                          <w:spacing w:line="256" w:lineRule="auto"/>
                          <w:ind w:left="97" w:firstLine="263"/>
                          <w:jc w:val="both"/>
                          <w:rPr>
                            <w:rFonts w:eastAsia="CIDFont+F4"/>
                            <w:szCs w:val="24"/>
                          </w:rPr>
                        </w:pPr>
                        <w:r>
                          <w:rPr>
                            <w:rFonts w:eastAsia="CIDFont+F4"/>
                            <w:szCs w:val="24"/>
                          </w:rPr>
                          <w:t>3)</w:t>
                          <w:tab/>
                          <w:t>Gebėjimas išsikelti vaikų auklėjimo tikslus ar užduotis.</w:t>
                        </w:r>
                      </w:p>
                      <w:p>
                        <w:pPr>
                          <w:tabs>
                            <w:tab w:val="left" w:pos="664"/>
                          </w:tabs>
                          <w:spacing w:line="256" w:lineRule="auto"/>
                          <w:ind w:left="97" w:firstLine="263"/>
                          <w:jc w:val="both"/>
                          <w:rPr>
                            <w:rFonts w:eastAsia="CIDFont+F4"/>
                            <w:szCs w:val="24"/>
                          </w:rPr>
                        </w:pPr>
                        <w:r>
                          <w:rPr>
                            <w:rFonts w:eastAsia="CIDFont+F4"/>
                            <w:szCs w:val="24"/>
                          </w:rPr>
                          <w:t>4)</w:t>
                          <w:tab/>
                          <w:t xml:space="preserve">Gebėjimas spręsti sunkumus, kylančius dėl varginančio vaikų elgesio. </w:t>
                        </w:r>
                      </w:p>
                      <w:p>
                        <w:pPr>
                          <w:tabs>
                            <w:tab w:val="left" w:pos="664"/>
                          </w:tabs>
                          <w:spacing w:line="256" w:lineRule="auto"/>
                          <w:ind w:left="97" w:firstLine="263"/>
                          <w:rPr>
                            <w:szCs w:val="24"/>
                          </w:rPr>
                        </w:pPr>
                        <w:r>
                          <w:rPr>
                            <w:szCs w:val="24"/>
                          </w:rPr>
                          <w:t>5)</w:t>
                          <w:tab/>
                        </w:r>
                        <w:r>
                          <w:rPr>
                            <w:rFonts w:eastAsia="CIDFont+F4"/>
                            <w:szCs w:val="24"/>
                          </w:rPr>
                          <w:t>Gebėjimas spręsti sunkumus, kylančius dėl „laukiamų“ ar „teisėtų“ vaikų poreikių tenkinimo naštos.</w:t>
                        </w:r>
                      </w:p>
                      <w:p>
                        <w:pPr>
                          <w:tabs>
                            <w:tab w:val="left" w:pos="664"/>
                          </w:tabs>
                          <w:spacing w:line="256" w:lineRule="auto"/>
                          <w:ind w:left="97" w:firstLine="263"/>
                          <w:jc w:val="both"/>
                          <w:rPr>
                            <w:rFonts w:eastAsia="CIDFont+F4"/>
                            <w:bCs/>
                            <w:szCs w:val="24"/>
                          </w:rPr>
                        </w:pPr>
                        <w:r>
                          <w:rPr>
                            <w:rFonts w:eastAsia="CIDFont+F4"/>
                            <w:bCs/>
                            <w:szCs w:val="24"/>
                          </w:rPr>
                          <w:t>6)</w:t>
                          <w:tab/>
                          <w:t>Gebėjimas suprasti vaiko jausmus ir poreikius.</w:t>
                        </w:r>
                      </w:p>
                      <w:p>
                        <w:pPr>
                          <w:tabs>
                            <w:tab w:val="left" w:pos="664"/>
                          </w:tabs>
                          <w:spacing w:line="256" w:lineRule="auto"/>
                          <w:ind w:left="97" w:firstLine="263"/>
                          <w:jc w:val="both"/>
                          <w:rPr>
                            <w:rFonts w:eastAsia="CIDFont+F4"/>
                            <w:bCs/>
                            <w:szCs w:val="24"/>
                          </w:rPr>
                        </w:pPr>
                        <w:r>
                          <w:rPr>
                            <w:rFonts w:eastAsia="CIDFont+F4"/>
                            <w:bCs/>
                            <w:szCs w:val="24"/>
                          </w:rPr>
                          <w:t>7)</w:t>
                          <w:tab/>
                          <w:t xml:space="preserve">Gebėjimas pasirūpinti savo vaiku esant skirtingoms situacijoms namuose ar išvykus iš namų. </w:t>
                        </w:r>
                      </w:p>
                    </w:tc>
                  </w:tr>
                  <w:tr>
                    <w:trPr>
                      <w:trHeight w:val="888"/>
                    </w:trPr>
                    <w:tc>
                      <w:tcPr>
                        <w:tcW w:w="117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4</w:t>
                        </w: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szCs w:val="24"/>
                          </w:rPr>
                        </w:pPr>
                      </w:p>
                    </w:tc>
                    <w:tc>
                      <w:tcPr>
                        <w:tcW w:w="0" w:type="auto"/>
                        <w:tcBorders>
                          <w:top w:val="single" w:sz="4" w:space="0" w:color="auto"/>
                          <w:left w:val="single" w:sz="4" w:space="0" w:color="auto"/>
                          <w:bottom w:val="single" w:sz="4" w:space="0" w:color="auto"/>
                          <w:right w:val="single" w:sz="4" w:space="0" w:color="auto"/>
                        </w:tcBorders>
                        <w:hideMark/>
                      </w:tcPr>
                      <w:p>
                        <w:pPr>
                          <w:tabs>
                            <w:tab w:val="left" w:pos="390"/>
                          </w:tabs>
                          <w:ind w:firstLine="106"/>
                          <w:jc w:val="both"/>
                          <w:rPr>
                            <w:szCs w:val="24"/>
                          </w:rPr>
                        </w:pPr>
                        <w:r>
                          <w:rPr>
                            <w:szCs w:val="24"/>
                          </w:rPr>
                          <w:t></w:t>
                          <w:tab/>
                          <w:t>Pateikti su vaiko lavinimu ir bendravimu susijusias rekomendacijas.</w:t>
                        </w:r>
                      </w:p>
                    </w:tc>
                    <w:tc>
                      <w:tcPr>
                        <w:tcW w:w="0" w:type="auto"/>
                        <w:tcBorders>
                          <w:top w:val="single" w:sz="4" w:space="0" w:color="auto"/>
                          <w:left w:val="single" w:sz="4" w:space="0" w:color="auto"/>
                          <w:bottom w:val="single" w:sz="4" w:space="0" w:color="auto"/>
                          <w:right w:val="single" w:sz="4" w:space="0" w:color="auto"/>
                        </w:tcBorders>
                        <w:hideMark/>
                      </w:tcPr>
                      <w:p>
                        <w:pPr>
                          <w:tabs>
                            <w:tab w:val="left" w:pos="664"/>
                          </w:tabs>
                          <w:ind w:left="97" w:firstLine="263"/>
                          <w:rPr>
                            <w:szCs w:val="24"/>
                          </w:rPr>
                        </w:pPr>
                        <w:r>
                          <w:rPr>
                            <w:szCs w:val="24"/>
                          </w:rPr>
                          <w:t>1)</w:t>
                          <w:tab/>
                          <w:t>Bendravimas su 14 mėn. vaiku ir jo lavinimas.</w:t>
                        </w:r>
                      </w:p>
                      <w:p>
                        <w:pPr>
                          <w:tabs>
                            <w:tab w:val="left" w:pos="664"/>
                          </w:tabs>
                          <w:ind w:left="97" w:firstLine="263"/>
                          <w:rPr>
                            <w:szCs w:val="24"/>
                          </w:rPr>
                        </w:pPr>
                        <w:r>
                          <w:rPr>
                            <w:szCs w:val="24"/>
                          </w:rPr>
                          <w:t>2)</w:t>
                          <w:tab/>
                          <w:t>Nujunkimas.</w:t>
                        </w:r>
                      </w:p>
                    </w:tc>
                  </w:tr>
                  <w:tr>
                    <w:tc>
                      <w:tcPr>
                        <w:tcW w:w="117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5</w:t>
                        </w:r>
                      </w:p>
                    </w:tc>
                    <w:tc>
                      <w:tcPr>
                        <w:tcW w:w="1445" w:type="dxa"/>
                        <w:vMerge w:val="restart"/>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15 mėn.</w:t>
                        </w:r>
                      </w:p>
                    </w:tc>
                    <w:tc>
                      <w:tcPr>
                        <w:tcW w:w="0" w:type="auto"/>
                        <w:tcBorders>
                          <w:top w:val="single" w:sz="4" w:space="0" w:color="auto"/>
                          <w:left w:val="single" w:sz="4" w:space="0" w:color="auto"/>
                          <w:bottom w:val="single" w:sz="4" w:space="0" w:color="auto"/>
                          <w:right w:val="single" w:sz="4" w:space="0" w:color="auto"/>
                        </w:tcBorders>
                      </w:tcPr>
                      <w:p>
                        <w:pPr>
                          <w:tabs>
                            <w:tab w:val="left" w:pos="390"/>
                          </w:tabs>
                          <w:ind w:firstLine="106"/>
                          <w:jc w:val="both"/>
                          <w:rPr>
                            <w:szCs w:val="24"/>
                          </w:rPr>
                        </w:pPr>
                        <w:r>
                          <w:rPr>
                            <w:szCs w:val="24"/>
                          </w:rPr>
                          <w:t></w:t>
                          <w:tab/>
                          <w:t>Pildo klausimyną “Vaiko sveikata ir raida 13-16 mėn.” (Aprašo priedas Nr. 31).</w:t>
                        </w:r>
                      </w:p>
                      <w:p>
                        <w:pPr>
                          <w:tabs>
                            <w:tab w:val="left" w:pos="390"/>
                          </w:tabs>
                          <w:ind w:firstLine="106"/>
                          <w:jc w:val="both"/>
                          <w:rPr>
                            <w:szCs w:val="24"/>
                          </w:rPr>
                        </w:pPr>
                      </w:p>
                    </w:tc>
                    <w:tc>
                      <w:tcPr>
                        <w:tcW w:w="0" w:type="auto"/>
                        <w:tcBorders>
                          <w:top w:val="single" w:sz="4" w:space="0" w:color="auto"/>
                          <w:left w:val="single" w:sz="4" w:space="0" w:color="auto"/>
                          <w:bottom w:val="single" w:sz="4" w:space="0" w:color="auto"/>
                          <w:right w:val="single" w:sz="4" w:space="0" w:color="auto"/>
                        </w:tcBorders>
                        <w:hideMark/>
                      </w:tcPr>
                      <w:p>
                        <w:pPr>
                          <w:tabs>
                            <w:tab w:val="left" w:pos="664"/>
                          </w:tabs>
                          <w:spacing w:line="256" w:lineRule="auto"/>
                          <w:ind w:left="97" w:firstLine="263"/>
                          <w:jc w:val="both"/>
                          <w:rPr>
                            <w:szCs w:val="24"/>
                          </w:rPr>
                        </w:pPr>
                        <w:r>
                          <w:rPr>
                            <w:szCs w:val="24"/>
                          </w:rPr>
                          <w:t>1)</w:t>
                          <w:tab/>
                          <w:t>Raida atitinkanti amžių.</w:t>
                        </w:r>
                      </w:p>
                      <w:p>
                        <w:pPr>
                          <w:tabs>
                            <w:tab w:val="left" w:pos="664"/>
                          </w:tabs>
                          <w:spacing w:line="256" w:lineRule="auto"/>
                          <w:ind w:left="97" w:firstLine="263"/>
                          <w:jc w:val="both"/>
                          <w:rPr>
                            <w:szCs w:val="24"/>
                          </w:rPr>
                        </w:pPr>
                        <w:r>
                          <w:rPr>
                            <w:szCs w:val="24"/>
                          </w:rPr>
                          <w:t>2)</w:t>
                          <w:tab/>
                          <w:t>Vaiko skiepijamas.</w:t>
                        </w:r>
                      </w:p>
                      <w:p>
                        <w:pPr>
                          <w:tabs>
                            <w:tab w:val="left" w:pos="664"/>
                          </w:tabs>
                          <w:spacing w:line="256" w:lineRule="auto"/>
                          <w:ind w:left="97" w:firstLine="263"/>
                          <w:jc w:val="both"/>
                          <w:rPr>
                            <w:szCs w:val="24"/>
                          </w:rPr>
                        </w:pPr>
                        <w:r>
                          <w:rPr>
                            <w:szCs w:val="24"/>
                          </w:rPr>
                          <w:t>3)</w:t>
                          <w:tab/>
                          <w:t xml:space="preserve">Vaiko sveikata (mityba, šlapinimasis ir tuštinimasis, miegas) ir informacija apie galimybę gauti pagal sveikatos būklę reikiamas asmens sveikatos priežiūros paslaugas. </w:t>
                        </w:r>
                      </w:p>
                    </w:tc>
                  </w:tr>
                  <w:tr>
                    <w:tc>
                      <w:tcPr>
                        <w:tcW w:w="117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6</w:t>
                        </w: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szCs w:val="24"/>
                          </w:rPr>
                        </w:pPr>
                      </w:p>
                    </w:tc>
                    <w:tc>
                      <w:tcPr>
                        <w:tcW w:w="0" w:type="auto"/>
                        <w:tcBorders>
                          <w:top w:val="single" w:sz="4" w:space="0" w:color="auto"/>
                          <w:left w:val="single" w:sz="4" w:space="0" w:color="auto"/>
                          <w:bottom w:val="single" w:sz="4" w:space="0" w:color="auto"/>
                          <w:right w:val="single" w:sz="4" w:space="0" w:color="auto"/>
                        </w:tcBorders>
                        <w:hideMark/>
                      </w:tcPr>
                      <w:p>
                        <w:pPr>
                          <w:tabs>
                            <w:tab w:val="left" w:pos="390"/>
                          </w:tabs>
                          <w:ind w:firstLine="106"/>
                          <w:jc w:val="both"/>
                          <w:rPr>
                            <w:szCs w:val="24"/>
                          </w:rPr>
                        </w:pPr>
                        <w:r>
                          <w:rPr>
                            <w:szCs w:val="24"/>
                          </w:rPr>
                          <w:t></w:t>
                          <w:tab/>
                          <w:t>Pateikti su vaiko lavinimu ir bendravimu susijusias rekomendacijas.</w:t>
                        </w:r>
                      </w:p>
                      <w:p>
                        <w:pPr>
                          <w:tabs>
                            <w:tab w:val="left" w:pos="390"/>
                          </w:tabs>
                          <w:ind w:firstLine="106"/>
                          <w:jc w:val="both"/>
                          <w:rPr>
                            <w:szCs w:val="24"/>
                          </w:rPr>
                        </w:pPr>
                        <w:r>
                          <w:rPr>
                            <w:szCs w:val="24"/>
                          </w:rPr>
                          <w:t></w:t>
                          <w:tab/>
                          <w:t>Pateikti informaciją apie vaikų fizinę veiklą.</w:t>
                        </w:r>
                      </w:p>
                    </w:tc>
                    <w:tc>
                      <w:tcPr>
                        <w:tcW w:w="0" w:type="auto"/>
                        <w:tcBorders>
                          <w:top w:val="single" w:sz="4" w:space="0" w:color="auto"/>
                          <w:left w:val="single" w:sz="4" w:space="0" w:color="auto"/>
                          <w:bottom w:val="single" w:sz="4" w:space="0" w:color="auto"/>
                          <w:right w:val="single" w:sz="4" w:space="0" w:color="auto"/>
                        </w:tcBorders>
                      </w:tcPr>
                      <w:p>
                        <w:pPr>
                          <w:tabs>
                            <w:tab w:val="left" w:pos="499"/>
                            <w:tab w:val="left" w:pos="664"/>
                          </w:tabs>
                          <w:ind w:left="97" w:firstLine="263"/>
                          <w:rPr>
                            <w:szCs w:val="24"/>
                          </w:rPr>
                        </w:pPr>
                        <w:r>
                          <w:rPr>
                            <w:szCs w:val="24"/>
                          </w:rPr>
                          <w:t>1)</w:t>
                          <w:tab/>
                          <w:t>Bendravimas su 15 mėn. vaiku ir jo lavinimas.</w:t>
                        </w:r>
                      </w:p>
                      <w:p>
                        <w:pPr>
                          <w:tabs>
                            <w:tab w:val="left" w:pos="499"/>
                            <w:tab w:val="left" w:pos="664"/>
                          </w:tabs>
                          <w:ind w:left="97" w:firstLine="263"/>
                          <w:rPr>
                            <w:szCs w:val="24"/>
                          </w:rPr>
                        </w:pPr>
                        <w:r>
                          <w:rPr>
                            <w:szCs w:val="24"/>
                          </w:rPr>
                          <w:t>2)</w:t>
                          <w:tab/>
                          <w:t>Vaikų fizinė veikla.</w:t>
                        </w:r>
                      </w:p>
                      <w:p>
                        <w:pPr>
                          <w:tabs>
                            <w:tab w:val="left" w:pos="664"/>
                          </w:tabs>
                          <w:ind w:left="97" w:firstLine="263"/>
                          <w:jc w:val="both"/>
                          <w:rPr>
                            <w:szCs w:val="24"/>
                          </w:rPr>
                        </w:pPr>
                      </w:p>
                    </w:tc>
                  </w:tr>
                  <w:tr>
                    <w:trPr>
                      <w:trHeight w:val="1807"/>
                    </w:trPr>
                    <w:tc>
                      <w:tcPr>
                        <w:tcW w:w="117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7</w:t>
                        </w:r>
                      </w:p>
                    </w:tc>
                    <w:tc>
                      <w:tcPr>
                        <w:tcW w:w="1445" w:type="dxa"/>
                        <w:vMerge w:val="restart"/>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16 mėn.</w:t>
                        </w:r>
                      </w:p>
                    </w:tc>
                    <w:tc>
                      <w:tcPr>
                        <w:tcW w:w="0" w:type="auto"/>
                        <w:tcBorders>
                          <w:top w:val="single" w:sz="4" w:space="0" w:color="auto"/>
                          <w:left w:val="single" w:sz="4" w:space="0" w:color="auto"/>
                          <w:bottom w:val="single" w:sz="4" w:space="0" w:color="auto"/>
                          <w:right w:val="single" w:sz="4" w:space="0" w:color="auto"/>
                        </w:tcBorders>
                        <w:hideMark/>
                      </w:tcPr>
                      <w:p>
                        <w:pPr>
                          <w:rPr>
                            <w:sz w:val="8"/>
                            <w:szCs w:val="8"/>
                          </w:rPr>
                        </w:pPr>
                      </w:p>
                      <w:p>
                        <w:pPr>
                          <w:tabs>
                            <w:tab w:val="left" w:pos="390"/>
                          </w:tabs>
                          <w:ind w:firstLine="106"/>
                          <w:jc w:val="both"/>
                          <w:rPr>
                            <w:szCs w:val="24"/>
                          </w:rPr>
                        </w:pPr>
                        <w:r>
                          <w:rPr>
                            <w:szCs w:val="24"/>
                          </w:rPr>
                          <w:t></w:t>
                          <w:tab/>
                          <w:t>Pildo klausimyną „Emocinė mamos situacija“ (Aprašo priedas Nr. 22)</w:t>
                        </w:r>
                      </w:p>
                      <w:p>
                        <w:pPr>
                          <w:rPr>
                            <w:sz w:val="8"/>
                            <w:szCs w:val="8"/>
                          </w:rPr>
                        </w:pPr>
                      </w:p>
                      <w:p>
                        <w:pPr>
                          <w:tabs>
                            <w:tab w:val="left" w:pos="390"/>
                          </w:tabs>
                          <w:ind w:firstLine="106"/>
                          <w:jc w:val="both"/>
                          <w:rPr>
                            <w:b/>
                            <w:bCs/>
                            <w:szCs w:val="24"/>
                          </w:rPr>
                        </w:pPr>
                        <w:r>
                          <w:rPr>
                            <w:bCs/>
                            <w:szCs w:val="24"/>
                          </w:rPr>
                          <w:t></w:t>
                          <w:tab/>
                        </w:r>
                        <w:r>
                          <w:rPr>
                            <w:szCs w:val="24"/>
                          </w:rPr>
                          <w:t>Supažindinti su vaiko poreikiais ir jų patenkinimu</w:t>
                        </w:r>
                        <w:r>
                          <w:rPr>
                            <w:b/>
                            <w:bCs/>
                            <w:szCs w:val="24"/>
                          </w:rPr>
                          <w:t>.</w:t>
                        </w:r>
                      </w:p>
                      <w:p>
                        <w:pPr>
                          <w:tabs>
                            <w:tab w:val="left" w:pos="390"/>
                          </w:tabs>
                          <w:ind w:firstLine="106"/>
                          <w:jc w:val="both"/>
                          <w:rPr>
                            <w:szCs w:val="24"/>
                          </w:rPr>
                        </w:pPr>
                        <w:r>
                          <w:rPr>
                            <w:szCs w:val="24"/>
                          </w:rPr>
                          <w:t></w:t>
                          <w:tab/>
                          <w:t xml:space="preserve">Pateikti informaciją apie vaikų elgseną. </w:t>
                        </w:r>
                      </w:p>
                    </w:tc>
                    <w:tc>
                      <w:tcPr>
                        <w:tcW w:w="0" w:type="auto"/>
                        <w:tcBorders>
                          <w:top w:val="single" w:sz="4" w:space="0" w:color="auto"/>
                          <w:left w:val="single" w:sz="4" w:space="0" w:color="auto"/>
                          <w:bottom w:val="single" w:sz="4" w:space="0" w:color="auto"/>
                          <w:right w:val="single" w:sz="4" w:space="0" w:color="auto"/>
                        </w:tcBorders>
                        <w:hideMark/>
                      </w:tcPr>
                      <w:p>
                        <w:pPr>
                          <w:tabs>
                            <w:tab w:val="left" w:pos="499"/>
                          </w:tabs>
                          <w:ind w:firstLine="215"/>
                          <w:rPr>
                            <w:szCs w:val="24"/>
                          </w:rPr>
                        </w:pPr>
                        <w:r>
                          <w:rPr>
                            <w:szCs w:val="24"/>
                          </w:rPr>
                          <w:t>1)</w:t>
                          <w:tab/>
                          <w:t>Nerimas.</w:t>
                        </w:r>
                      </w:p>
                      <w:p>
                        <w:pPr>
                          <w:tabs>
                            <w:tab w:val="left" w:pos="499"/>
                          </w:tabs>
                          <w:ind w:firstLine="215"/>
                          <w:rPr>
                            <w:szCs w:val="24"/>
                          </w:rPr>
                        </w:pPr>
                        <w:r>
                          <w:rPr>
                            <w:szCs w:val="24"/>
                          </w:rPr>
                          <w:t>2)</w:t>
                          <w:tab/>
                          <w:t>Emocinė sveikata.</w:t>
                        </w:r>
                      </w:p>
                      <w:p>
                        <w:pPr>
                          <w:tabs>
                            <w:tab w:val="left" w:pos="499"/>
                          </w:tabs>
                          <w:ind w:firstLine="215"/>
                          <w:rPr>
                            <w:szCs w:val="24"/>
                          </w:rPr>
                        </w:pPr>
                        <w:r>
                          <w:rPr>
                            <w:szCs w:val="24"/>
                          </w:rPr>
                          <w:t>3)</w:t>
                          <w:tab/>
                          <w:t>Vaiko poreikiai ir jų tenkinimas.</w:t>
                        </w:r>
                      </w:p>
                      <w:p>
                        <w:pPr>
                          <w:tabs>
                            <w:tab w:val="left" w:pos="499"/>
                          </w:tabs>
                          <w:ind w:firstLine="215"/>
                          <w:rPr>
                            <w:szCs w:val="24"/>
                          </w:rPr>
                        </w:pPr>
                        <w:r>
                          <w:rPr>
                            <w:szCs w:val="24"/>
                          </w:rPr>
                          <w:t>4)</w:t>
                          <w:tab/>
                          <w:t>Iššūkius keliantis vaikų elgesys.</w:t>
                        </w:r>
                      </w:p>
                    </w:tc>
                  </w:tr>
                  <w:tr>
                    <w:tc>
                      <w:tcPr>
                        <w:tcW w:w="117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8</w:t>
                        </w: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szCs w:val="24"/>
                          </w:rPr>
                        </w:pPr>
                      </w:p>
                    </w:tc>
                    <w:tc>
                      <w:tcPr>
                        <w:tcW w:w="0" w:type="auto"/>
                        <w:tcBorders>
                          <w:top w:val="single" w:sz="4" w:space="0" w:color="auto"/>
                          <w:left w:val="single" w:sz="4" w:space="0" w:color="auto"/>
                          <w:bottom w:val="single" w:sz="4" w:space="0" w:color="auto"/>
                          <w:right w:val="single" w:sz="4" w:space="0" w:color="auto"/>
                        </w:tcBorders>
                        <w:hideMark/>
                      </w:tcPr>
                      <w:p>
                        <w:pPr>
                          <w:tabs>
                            <w:tab w:val="left" w:pos="390"/>
                          </w:tabs>
                          <w:ind w:firstLine="106"/>
                          <w:rPr>
                            <w:szCs w:val="24"/>
                          </w:rPr>
                        </w:pPr>
                        <w:r>
                          <w:rPr>
                            <w:szCs w:val="24"/>
                          </w:rPr>
                          <w:t></w:t>
                          <w:tab/>
                          <w:t>Pateikti rekomendacijas susijusias su vaiko lavinimu ir bendravimu.</w:t>
                        </w:r>
                      </w:p>
                    </w:tc>
                    <w:tc>
                      <w:tcPr>
                        <w:tcW w:w="0" w:type="auto"/>
                        <w:tcBorders>
                          <w:top w:val="single" w:sz="4" w:space="0" w:color="auto"/>
                          <w:left w:val="single" w:sz="4" w:space="0" w:color="auto"/>
                          <w:bottom w:val="single" w:sz="4" w:space="0" w:color="auto"/>
                          <w:right w:val="single" w:sz="4" w:space="0" w:color="auto"/>
                        </w:tcBorders>
                      </w:tcPr>
                      <w:p>
                        <w:pPr>
                          <w:tabs>
                            <w:tab w:val="left" w:pos="499"/>
                          </w:tabs>
                          <w:ind w:firstLine="215"/>
                          <w:rPr>
                            <w:szCs w:val="24"/>
                          </w:rPr>
                        </w:pPr>
                        <w:r>
                          <w:rPr>
                            <w:szCs w:val="24"/>
                          </w:rPr>
                          <w:t>1)</w:t>
                          <w:tab/>
                          <w:t>Bendravimas su 16 mėn. vaiku ir jo lavinimas.</w:t>
                        </w:r>
                      </w:p>
                      <w:p>
                        <w:pPr>
                          <w:tabs>
                            <w:tab w:val="left" w:pos="499"/>
                          </w:tabs>
                          <w:ind w:firstLine="215"/>
                          <w:rPr>
                            <w:szCs w:val="24"/>
                          </w:rPr>
                        </w:pPr>
                      </w:p>
                    </w:tc>
                  </w:tr>
                  <w:tr>
                    <w:tc>
                      <w:tcPr>
                        <w:tcW w:w="117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9</w:t>
                        </w:r>
                      </w:p>
                    </w:tc>
                    <w:tc>
                      <w:tcPr>
                        <w:tcW w:w="1445" w:type="dxa"/>
                        <w:vMerge w:val="restart"/>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17 mėn.</w:t>
                        </w:r>
                      </w:p>
                    </w:tc>
                    <w:tc>
                      <w:tcPr>
                        <w:tcW w:w="0" w:type="auto"/>
                        <w:tcBorders>
                          <w:top w:val="single" w:sz="4" w:space="0" w:color="auto"/>
                          <w:left w:val="single" w:sz="4" w:space="0" w:color="auto"/>
                          <w:bottom w:val="single" w:sz="4" w:space="0" w:color="auto"/>
                          <w:right w:val="single" w:sz="4" w:space="0" w:color="auto"/>
                        </w:tcBorders>
                        <w:hideMark/>
                      </w:tcPr>
                      <w:p>
                        <w:pPr>
                          <w:tabs>
                            <w:tab w:val="left" w:pos="390"/>
                          </w:tabs>
                          <w:ind w:firstLine="106"/>
                          <w:rPr>
                            <w:szCs w:val="24"/>
                          </w:rPr>
                        </w:pPr>
                        <w:r>
                          <w:rPr>
                            <w:szCs w:val="24"/>
                          </w:rPr>
                          <w:t></w:t>
                          <w:tab/>
                          <w:t>Pateikti rekomendacijas susijusias su vaiko lavinimu ir bendravimu.</w:t>
                        </w:r>
                      </w:p>
                    </w:tc>
                    <w:tc>
                      <w:tcPr>
                        <w:tcW w:w="0" w:type="auto"/>
                        <w:tcBorders>
                          <w:top w:val="single" w:sz="4" w:space="0" w:color="auto"/>
                          <w:left w:val="single" w:sz="4" w:space="0" w:color="auto"/>
                          <w:bottom w:val="single" w:sz="4" w:space="0" w:color="auto"/>
                          <w:right w:val="single" w:sz="4" w:space="0" w:color="auto"/>
                        </w:tcBorders>
                        <w:hideMark/>
                      </w:tcPr>
                      <w:p>
                        <w:pPr>
                          <w:tabs>
                            <w:tab w:val="left" w:pos="499"/>
                          </w:tabs>
                          <w:spacing w:line="256" w:lineRule="auto"/>
                          <w:ind w:firstLine="215"/>
                          <w:jc w:val="both"/>
                          <w:rPr>
                            <w:szCs w:val="24"/>
                          </w:rPr>
                        </w:pPr>
                        <w:r>
                          <w:rPr>
                            <w:szCs w:val="24"/>
                          </w:rPr>
                          <w:t>1)</w:t>
                          <w:tab/>
                          <w:t>profilaktiškai ir kai serga.</w:t>
                        </w:r>
                      </w:p>
                      <w:p>
                        <w:pPr>
                          <w:tabs>
                            <w:tab w:val="left" w:pos="499"/>
                          </w:tabs>
                          <w:ind w:firstLine="215"/>
                          <w:rPr>
                            <w:szCs w:val="24"/>
                          </w:rPr>
                        </w:pPr>
                        <w:r>
                          <w:rPr>
                            <w:szCs w:val="24"/>
                          </w:rPr>
                          <w:t>2)</w:t>
                          <w:tab/>
                          <w:t>Bendravimas su 17 mėn. vaiku ir jo lavinimas.</w:t>
                        </w:r>
                      </w:p>
                    </w:tc>
                  </w:tr>
                  <w:tr>
                    <w:tc>
                      <w:tcPr>
                        <w:tcW w:w="117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10</w:t>
                        </w: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szCs w:val="24"/>
                          </w:rPr>
                        </w:pPr>
                      </w:p>
                    </w:tc>
                    <w:tc>
                      <w:tcPr>
                        <w:tcW w:w="0" w:type="auto"/>
                        <w:tcBorders>
                          <w:top w:val="single" w:sz="4" w:space="0" w:color="auto"/>
                          <w:left w:val="single" w:sz="4" w:space="0" w:color="auto"/>
                          <w:bottom w:val="single" w:sz="4" w:space="0" w:color="auto"/>
                          <w:right w:val="single" w:sz="4" w:space="0" w:color="auto"/>
                        </w:tcBorders>
                      </w:tcPr>
                      <w:p>
                        <w:pPr>
                          <w:tabs>
                            <w:tab w:val="left" w:pos="390"/>
                          </w:tabs>
                          <w:spacing w:line="256" w:lineRule="auto"/>
                          <w:ind w:firstLine="106"/>
                          <w:rPr>
                            <w:szCs w:val="24"/>
                          </w:rPr>
                        </w:pPr>
                        <w:r>
                          <w:rPr>
                            <w:szCs w:val="24"/>
                          </w:rPr>
                          <w:t></w:t>
                          <w:tab/>
                          <w:t>Pildo klausimyną “Motinos saviveiksmingumo skalė“ (Aprašo priedas Nr. 32).</w:t>
                        </w:r>
                      </w:p>
                      <w:p>
                        <w:pPr>
                          <w:tabs>
                            <w:tab w:val="left" w:pos="390"/>
                          </w:tabs>
                          <w:ind w:firstLine="106"/>
                          <w:rPr>
                            <w:szCs w:val="24"/>
                          </w:rPr>
                        </w:pPr>
                      </w:p>
                    </w:tc>
                    <w:tc>
                      <w:tcPr>
                        <w:tcW w:w="0" w:type="auto"/>
                        <w:tcBorders>
                          <w:top w:val="single" w:sz="4" w:space="0" w:color="auto"/>
                          <w:left w:val="single" w:sz="4" w:space="0" w:color="auto"/>
                          <w:bottom w:val="single" w:sz="4" w:space="0" w:color="auto"/>
                          <w:right w:val="single" w:sz="4" w:space="0" w:color="auto"/>
                        </w:tcBorders>
                        <w:hideMark/>
                      </w:tcPr>
                      <w:p>
                        <w:pPr>
                          <w:tabs>
                            <w:tab w:val="left" w:pos="499"/>
                          </w:tabs>
                          <w:spacing w:line="256" w:lineRule="auto"/>
                          <w:ind w:firstLine="215"/>
                          <w:jc w:val="both"/>
                          <w:rPr>
                            <w:rFonts w:eastAsia="CIDFont+F4"/>
                            <w:szCs w:val="24"/>
                          </w:rPr>
                        </w:pPr>
                        <w:r>
                          <w:rPr>
                            <w:rFonts w:eastAsia="CIDFont+F4"/>
                            <w:szCs w:val="24"/>
                          </w:rPr>
                          <w:t>1)</w:t>
                          <w:tab/>
                          <w:t>Gebėjimas spręsti sunkumus, kylančius dėl varginančio vaikų elgesio.</w:t>
                        </w:r>
                      </w:p>
                      <w:p>
                        <w:pPr>
                          <w:tabs>
                            <w:tab w:val="left" w:pos="499"/>
                          </w:tabs>
                          <w:spacing w:line="256" w:lineRule="auto"/>
                          <w:ind w:firstLine="215"/>
                          <w:jc w:val="both"/>
                          <w:rPr>
                            <w:rFonts w:eastAsia="CIDFont+F4"/>
                            <w:szCs w:val="24"/>
                          </w:rPr>
                        </w:pPr>
                        <w:r>
                          <w:rPr>
                            <w:rFonts w:eastAsia="CIDFont+F4"/>
                            <w:szCs w:val="24"/>
                          </w:rPr>
                          <w:t>2)</w:t>
                          <w:tab/>
                        </w:r>
                        <w:r>
                          <w:rPr>
                            <w:rFonts w:eastAsia="CIDFont+F4"/>
                            <w:bCs/>
                            <w:szCs w:val="24"/>
                          </w:rPr>
                          <w:t>Gebėjimas suprasti vaiko jausmus ir poreikius.</w:t>
                        </w:r>
                      </w:p>
                      <w:p>
                        <w:pPr>
                          <w:tabs>
                            <w:tab w:val="left" w:pos="499"/>
                          </w:tabs>
                          <w:spacing w:line="256" w:lineRule="auto"/>
                          <w:ind w:firstLine="215"/>
                          <w:jc w:val="both"/>
                          <w:rPr>
                            <w:rFonts w:eastAsia="CIDFont+F4"/>
                            <w:szCs w:val="24"/>
                          </w:rPr>
                        </w:pPr>
                        <w:r>
                          <w:rPr>
                            <w:rFonts w:eastAsia="CIDFont+F4"/>
                            <w:szCs w:val="24"/>
                          </w:rPr>
                          <w:t>3)</w:t>
                          <w:tab/>
                        </w:r>
                        <w:r>
                          <w:rPr>
                            <w:rFonts w:eastAsia="CIDFont+F4"/>
                            <w:bCs/>
                            <w:szCs w:val="24"/>
                          </w:rPr>
                          <w:t xml:space="preserve">Gebėjimas pasirūpinti savo vaiku esant skirtingoms situacijoms namuose ar išvykus iš namų. </w:t>
                        </w:r>
                      </w:p>
                    </w:tc>
                  </w:tr>
                  <w:tr>
                    <w:tc>
                      <w:tcPr>
                        <w:tcW w:w="117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11</w:t>
                        </w:r>
                      </w:p>
                    </w:tc>
                    <w:tc>
                      <w:tcPr>
                        <w:tcW w:w="1445" w:type="dxa"/>
                        <w:vMerge w:val="restart"/>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18 mėn.</w:t>
                        </w:r>
                      </w:p>
                    </w:tc>
                    <w:tc>
                      <w:tcPr>
                        <w:tcW w:w="0" w:type="auto"/>
                        <w:tcBorders>
                          <w:top w:val="single" w:sz="4" w:space="0" w:color="auto"/>
                          <w:left w:val="single" w:sz="4" w:space="0" w:color="auto"/>
                          <w:bottom w:val="single" w:sz="4" w:space="0" w:color="auto"/>
                          <w:right w:val="single" w:sz="4" w:space="0" w:color="auto"/>
                        </w:tcBorders>
                        <w:hideMark/>
                      </w:tcPr>
                      <w:p>
                        <w:pPr>
                          <w:tabs>
                            <w:tab w:val="left" w:pos="390"/>
                          </w:tabs>
                          <w:ind w:firstLine="106"/>
                          <w:rPr>
                            <w:szCs w:val="24"/>
                          </w:rPr>
                        </w:pPr>
                        <w:r>
                          <w:rPr>
                            <w:szCs w:val="24"/>
                          </w:rPr>
                          <w:t></w:t>
                          <w:tab/>
                          <w:t>Pateikti rekomendacijas susijusias su vaiko lavinimu ir bendravimu.</w:t>
                        </w:r>
                      </w:p>
                    </w:tc>
                    <w:tc>
                      <w:tcPr>
                        <w:tcW w:w="0" w:type="auto"/>
                        <w:tcBorders>
                          <w:top w:val="single" w:sz="4" w:space="0" w:color="auto"/>
                          <w:left w:val="single" w:sz="4" w:space="0" w:color="auto"/>
                          <w:bottom w:val="single" w:sz="4" w:space="0" w:color="auto"/>
                          <w:right w:val="single" w:sz="4" w:space="0" w:color="auto"/>
                        </w:tcBorders>
                        <w:hideMark/>
                      </w:tcPr>
                      <w:p>
                        <w:pPr>
                          <w:tabs>
                            <w:tab w:val="left" w:pos="499"/>
                          </w:tabs>
                          <w:ind w:firstLine="215"/>
                          <w:rPr>
                            <w:szCs w:val="24"/>
                          </w:rPr>
                        </w:pPr>
                        <w:r>
                          <w:rPr>
                            <w:szCs w:val="24"/>
                          </w:rPr>
                          <w:t>1)</w:t>
                          <w:tab/>
                          <w:t>Bendravimas su 18 mėn. vaiku ir jo lavinimas.</w:t>
                        </w:r>
                      </w:p>
                    </w:tc>
                  </w:tr>
                  <w:tr>
                    <w:trPr>
                      <w:trHeight w:val="1128"/>
                    </w:trPr>
                    <w:tc>
                      <w:tcPr>
                        <w:tcW w:w="117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12</w:t>
                        </w: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szCs w:val="24"/>
                          </w:rPr>
                        </w:pPr>
                      </w:p>
                    </w:tc>
                    <w:tc>
                      <w:tcPr>
                        <w:tcW w:w="0" w:type="auto"/>
                        <w:tcBorders>
                          <w:top w:val="single" w:sz="4" w:space="0" w:color="auto"/>
                          <w:left w:val="single" w:sz="4" w:space="0" w:color="auto"/>
                          <w:bottom w:val="single" w:sz="4" w:space="0" w:color="auto"/>
                          <w:right w:val="single" w:sz="4" w:space="0" w:color="auto"/>
                        </w:tcBorders>
                      </w:tcPr>
                      <w:p>
                        <w:pPr>
                          <w:tabs>
                            <w:tab w:val="left" w:pos="390"/>
                          </w:tabs>
                          <w:ind w:firstLine="106"/>
                          <w:rPr>
                            <w:szCs w:val="24"/>
                          </w:rPr>
                        </w:pPr>
                        <w:r>
                          <w:rPr>
                            <w:szCs w:val="24"/>
                          </w:rPr>
                          <w:t></w:t>
                          <w:tab/>
                          <w:t>Pildo klausimyną „Smurtas šeimoje“ (Aprašo priedas Nr. 9).</w:t>
                        </w:r>
                      </w:p>
                      <w:p>
                        <w:pPr>
                          <w:tabs>
                            <w:tab w:val="left" w:pos="390"/>
                          </w:tabs>
                          <w:ind w:firstLine="106"/>
                          <w:rPr>
                            <w:szCs w:val="24"/>
                          </w:rPr>
                        </w:pPr>
                      </w:p>
                    </w:tc>
                    <w:tc>
                      <w:tcPr>
                        <w:tcW w:w="0" w:type="auto"/>
                        <w:tcBorders>
                          <w:top w:val="single" w:sz="4" w:space="0" w:color="auto"/>
                          <w:left w:val="single" w:sz="4" w:space="0" w:color="auto"/>
                          <w:bottom w:val="single" w:sz="4" w:space="0" w:color="auto"/>
                          <w:right w:val="single" w:sz="4" w:space="0" w:color="auto"/>
                        </w:tcBorders>
                        <w:hideMark/>
                      </w:tcPr>
                      <w:p>
                        <w:pPr>
                          <w:tabs>
                            <w:tab w:val="left" w:pos="499"/>
                          </w:tabs>
                          <w:ind w:firstLine="215"/>
                          <w:jc w:val="both"/>
                          <w:rPr>
                            <w:szCs w:val="24"/>
                          </w:rPr>
                        </w:pPr>
                        <w:r>
                          <w:rPr>
                            <w:szCs w:val="24"/>
                          </w:rPr>
                          <w:t>1)</w:t>
                          <w:tab/>
                        </w:r>
                        <w:r>
                          <w:rPr>
                            <w:rFonts w:eastAsia="CIDFont+F3"/>
                            <w:szCs w:val="24"/>
                          </w:rPr>
                          <w:t>Mamos ir jos šeimos narių gyvenimo vertinimas, siekiant išryškinti šeimos gyvenime vykstančius konfliktus ar krizes.</w:t>
                        </w:r>
                      </w:p>
                    </w:tc>
                  </w:tr>
                  <w:tr>
                    <w:tc>
                      <w:tcPr>
                        <w:tcW w:w="117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13</w:t>
                        </w:r>
                      </w:p>
                    </w:tc>
                    <w:tc>
                      <w:tcPr>
                        <w:tcW w:w="1445" w:type="dxa"/>
                        <w:vMerge w:val="restart"/>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19 mėn.</w:t>
                        </w:r>
                      </w:p>
                    </w:tc>
                    <w:tc>
                      <w:tcPr>
                        <w:tcW w:w="0" w:type="auto"/>
                        <w:tcBorders>
                          <w:top w:val="single" w:sz="4" w:space="0" w:color="auto"/>
                          <w:left w:val="single" w:sz="4" w:space="0" w:color="auto"/>
                          <w:bottom w:val="single" w:sz="4" w:space="0" w:color="auto"/>
                          <w:right w:val="single" w:sz="4" w:space="0" w:color="auto"/>
                        </w:tcBorders>
                      </w:tcPr>
                      <w:p>
                        <w:pPr>
                          <w:rPr>
                            <w:sz w:val="8"/>
                            <w:szCs w:val="8"/>
                          </w:rPr>
                        </w:pPr>
                      </w:p>
                      <w:p>
                        <w:pPr>
                          <w:tabs>
                            <w:tab w:val="left" w:pos="390"/>
                          </w:tabs>
                          <w:ind w:firstLine="106"/>
                          <w:rPr>
                            <w:szCs w:val="24"/>
                          </w:rPr>
                        </w:pPr>
                        <w:r>
                          <w:rPr>
                            <w:szCs w:val="24"/>
                          </w:rPr>
                          <w:t></w:t>
                          <w:tab/>
                          <w:t>Pildo klausimyną “Tėvystės iššūkių skalė” (Aprašo priedas Nr. 25).</w:t>
                        </w:r>
                      </w:p>
                      <w:p>
                        <w:pPr>
                          <w:rPr>
                            <w:sz w:val="8"/>
                            <w:szCs w:val="8"/>
                          </w:rPr>
                        </w:pPr>
                      </w:p>
                      <w:p>
                        <w:pPr>
                          <w:tabs>
                            <w:tab w:val="left" w:pos="390"/>
                          </w:tabs>
                          <w:ind w:firstLine="106"/>
                          <w:rPr>
                            <w:strike/>
                            <w:szCs w:val="24"/>
                          </w:rPr>
                        </w:pPr>
                      </w:p>
                    </w:tc>
                    <w:tc>
                      <w:tcPr>
                        <w:tcW w:w="0" w:type="auto"/>
                        <w:tcBorders>
                          <w:top w:val="single" w:sz="4" w:space="0" w:color="auto"/>
                          <w:left w:val="single" w:sz="4" w:space="0" w:color="auto"/>
                          <w:bottom w:val="single" w:sz="4" w:space="0" w:color="auto"/>
                          <w:right w:val="single" w:sz="4" w:space="0" w:color="auto"/>
                        </w:tcBorders>
                        <w:hideMark/>
                      </w:tcPr>
                      <w:p>
                        <w:pPr>
                          <w:tabs>
                            <w:tab w:val="left" w:pos="499"/>
                          </w:tabs>
                          <w:spacing w:line="256" w:lineRule="auto"/>
                          <w:ind w:firstLine="215"/>
                          <w:jc w:val="both"/>
                          <w:rPr>
                            <w:rFonts w:eastAsia="CIDFont+F4"/>
                            <w:szCs w:val="24"/>
                          </w:rPr>
                        </w:pPr>
                        <w:r>
                          <w:rPr>
                            <w:rFonts w:eastAsia="CIDFont+F4"/>
                            <w:szCs w:val="24"/>
                          </w:rPr>
                          <w:t>6)</w:t>
                          <w:tab/>
                          <w:t>Gebėjimas išsikelti vaikų auklėjimo tikslus ar užduotis.</w:t>
                        </w:r>
                      </w:p>
                      <w:p>
                        <w:pPr>
                          <w:tabs>
                            <w:tab w:val="left" w:pos="499"/>
                          </w:tabs>
                          <w:spacing w:line="256" w:lineRule="auto"/>
                          <w:ind w:firstLine="215"/>
                          <w:jc w:val="both"/>
                          <w:rPr>
                            <w:rFonts w:eastAsia="CIDFont+F4"/>
                            <w:szCs w:val="24"/>
                          </w:rPr>
                        </w:pPr>
                        <w:r>
                          <w:rPr>
                            <w:rFonts w:eastAsia="CIDFont+F4"/>
                            <w:szCs w:val="24"/>
                          </w:rPr>
                          <w:t>7)</w:t>
                          <w:tab/>
                          <w:t xml:space="preserve">Gebėjimas spręsti sunkumus, kylančius dėl varginančio vaikų elgesio. </w:t>
                        </w:r>
                      </w:p>
                      <w:p>
                        <w:pPr>
                          <w:tabs>
                            <w:tab w:val="left" w:pos="499"/>
                          </w:tabs>
                          <w:spacing w:line="256" w:lineRule="auto"/>
                          <w:ind w:firstLine="215"/>
                          <w:rPr>
                            <w:szCs w:val="24"/>
                          </w:rPr>
                        </w:pPr>
                        <w:r>
                          <w:rPr>
                            <w:szCs w:val="24"/>
                          </w:rPr>
                          <w:t>8)</w:t>
                          <w:tab/>
                        </w:r>
                        <w:r>
                          <w:rPr>
                            <w:rFonts w:eastAsia="CIDFont+F4"/>
                            <w:szCs w:val="24"/>
                          </w:rPr>
                          <w:t>Gebėjimas spręsti sunkumus, kylančius dėl „laukiamų“ ar „teisėtų“ vaikų poreikių tenkinimo naštos.</w:t>
                        </w:r>
                      </w:p>
                      <w:p>
                        <w:pPr>
                          <w:tabs>
                            <w:tab w:val="left" w:pos="499"/>
                          </w:tabs>
                          <w:spacing w:line="256" w:lineRule="auto"/>
                          <w:ind w:firstLine="215"/>
                          <w:jc w:val="both"/>
                          <w:rPr>
                            <w:rFonts w:eastAsia="CIDFont+F4"/>
                            <w:bCs/>
                            <w:szCs w:val="24"/>
                          </w:rPr>
                        </w:pPr>
                        <w:r>
                          <w:rPr>
                            <w:rFonts w:eastAsia="CIDFont+F4"/>
                            <w:bCs/>
                            <w:szCs w:val="24"/>
                          </w:rPr>
                          <w:t>9)</w:t>
                          <w:tab/>
                          <w:t>Gebėjimas suprasti vaiko jausmus ir poreikius.</w:t>
                        </w:r>
                      </w:p>
                      <w:p>
                        <w:pPr>
                          <w:tabs>
                            <w:tab w:val="left" w:pos="499"/>
                          </w:tabs>
                          <w:ind w:firstLine="215"/>
                          <w:rPr>
                            <w:szCs w:val="24"/>
                          </w:rPr>
                        </w:pPr>
                        <w:r>
                          <w:rPr>
                            <w:rFonts w:eastAsia="CIDFont+F4"/>
                            <w:bCs/>
                            <w:szCs w:val="24"/>
                          </w:rPr>
                          <w:t xml:space="preserve">Gebėjimas pasirūpinti savo vaiku esant skirtingoms situacijoms namuose ar išvykus iš namų. </w:t>
                        </w:r>
                      </w:p>
                    </w:tc>
                  </w:tr>
                  <w:tr>
                    <w:tc>
                      <w:tcPr>
                        <w:tcW w:w="117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14</w:t>
                        </w: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szCs w:val="24"/>
                          </w:rPr>
                        </w:pPr>
                      </w:p>
                    </w:tc>
                    <w:tc>
                      <w:tcPr>
                        <w:tcW w:w="0" w:type="auto"/>
                        <w:tcBorders>
                          <w:top w:val="single" w:sz="4" w:space="0" w:color="auto"/>
                          <w:left w:val="single" w:sz="4" w:space="0" w:color="auto"/>
                          <w:bottom w:val="single" w:sz="4" w:space="0" w:color="auto"/>
                          <w:right w:val="single" w:sz="4" w:space="0" w:color="auto"/>
                        </w:tcBorders>
                        <w:hideMark/>
                      </w:tcPr>
                      <w:p>
                        <w:pPr>
                          <w:tabs>
                            <w:tab w:val="left" w:pos="390"/>
                          </w:tabs>
                          <w:ind w:firstLine="106"/>
                          <w:rPr>
                            <w:szCs w:val="24"/>
                          </w:rPr>
                        </w:pPr>
                        <w:r>
                          <w:rPr>
                            <w:szCs w:val="24"/>
                          </w:rPr>
                          <w:t></w:t>
                          <w:tab/>
                          <w:t>Pateikti rekomendacijas susijusias su kūdikio lavinimu ir bendravimu.</w:t>
                        </w:r>
                      </w:p>
                      <w:p>
                        <w:pPr>
                          <w:tabs>
                            <w:tab w:val="left" w:pos="390"/>
                          </w:tabs>
                          <w:ind w:firstLine="106"/>
                          <w:rPr>
                            <w:szCs w:val="24"/>
                          </w:rPr>
                        </w:pPr>
                        <w:r>
                          <w:rPr>
                            <w:szCs w:val="24"/>
                          </w:rPr>
                          <w:t></w:t>
                          <w:tab/>
                          <w:t>Įvertinti ir pateikti informaciją, kaip palaikyti ryšį su augančiu vaiku.</w:t>
                        </w:r>
                      </w:p>
                    </w:tc>
                    <w:tc>
                      <w:tcPr>
                        <w:tcW w:w="0" w:type="auto"/>
                        <w:tcBorders>
                          <w:top w:val="single" w:sz="4" w:space="0" w:color="auto"/>
                          <w:left w:val="single" w:sz="4" w:space="0" w:color="auto"/>
                          <w:bottom w:val="single" w:sz="4" w:space="0" w:color="auto"/>
                          <w:right w:val="single" w:sz="4" w:space="0" w:color="auto"/>
                        </w:tcBorders>
                      </w:tcPr>
                      <w:p>
                        <w:pPr>
                          <w:tabs>
                            <w:tab w:val="left" w:pos="499"/>
                          </w:tabs>
                          <w:ind w:firstLine="215"/>
                          <w:rPr>
                            <w:szCs w:val="24"/>
                          </w:rPr>
                        </w:pPr>
                        <w:r>
                          <w:rPr>
                            <w:szCs w:val="24"/>
                          </w:rPr>
                          <w:t>1)</w:t>
                          <w:tab/>
                          <w:t>Bendravimas su 19 mėn. vaiku ir jo lavinimas.</w:t>
                        </w:r>
                      </w:p>
                      <w:p>
                        <w:pPr>
                          <w:tabs>
                            <w:tab w:val="left" w:pos="499"/>
                          </w:tabs>
                          <w:ind w:firstLine="215"/>
                          <w:rPr>
                            <w:szCs w:val="24"/>
                          </w:rPr>
                        </w:pPr>
                        <w:r>
                          <w:rPr>
                            <w:szCs w:val="24"/>
                          </w:rPr>
                          <w:t>2)</w:t>
                          <w:tab/>
                          <w:t>Mamos ir vaiko ryšys.</w:t>
                        </w:r>
                      </w:p>
                      <w:p>
                        <w:pPr>
                          <w:tabs>
                            <w:tab w:val="left" w:pos="499"/>
                          </w:tabs>
                          <w:ind w:firstLine="215"/>
                          <w:rPr>
                            <w:szCs w:val="24"/>
                          </w:rPr>
                        </w:pPr>
                      </w:p>
                    </w:tc>
                  </w:tr>
                  <w:tr>
                    <w:tc>
                      <w:tcPr>
                        <w:tcW w:w="117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15</w:t>
                        </w:r>
                      </w:p>
                    </w:tc>
                    <w:tc>
                      <w:tcPr>
                        <w:tcW w:w="1445" w:type="dxa"/>
                        <w:vMerge w:val="restart"/>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20 mėn.</w:t>
                        </w:r>
                      </w:p>
                    </w:tc>
                    <w:tc>
                      <w:tcPr>
                        <w:tcW w:w="0" w:type="auto"/>
                        <w:tcBorders>
                          <w:top w:val="single" w:sz="4" w:space="0" w:color="auto"/>
                          <w:left w:val="single" w:sz="4" w:space="0" w:color="auto"/>
                          <w:bottom w:val="single" w:sz="4" w:space="0" w:color="auto"/>
                          <w:right w:val="single" w:sz="4" w:space="0" w:color="auto"/>
                        </w:tcBorders>
                      </w:tcPr>
                      <w:p>
                        <w:pPr>
                          <w:tabs>
                            <w:tab w:val="left" w:pos="390"/>
                          </w:tabs>
                          <w:ind w:firstLine="106"/>
                          <w:rPr>
                            <w:szCs w:val="24"/>
                          </w:rPr>
                        </w:pPr>
                        <w:r>
                          <w:rPr>
                            <w:szCs w:val="24"/>
                          </w:rPr>
                          <w:t></w:t>
                          <w:tab/>
                          <w:t>Pateikti rekomendacijas susijusias su vaiko lavinimu ir bendravimu.</w:t>
                        </w:r>
                      </w:p>
                      <w:p>
                        <w:pPr>
                          <w:tabs>
                            <w:tab w:val="left" w:pos="390"/>
                          </w:tabs>
                          <w:ind w:firstLine="106"/>
                          <w:rPr>
                            <w:szCs w:val="24"/>
                          </w:rPr>
                        </w:pPr>
                      </w:p>
                      <w:p>
                        <w:pPr>
                          <w:tabs>
                            <w:tab w:val="left" w:pos="390"/>
                          </w:tabs>
                          <w:ind w:firstLine="106"/>
                          <w:rPr>
                            <w:szCs w:val="24"/>
                          </w:rPr>
                        </w:pPr>
                      </w:p>
                    </w:tc>
                    <w:tc>
                      <w:tcPr>
                        <w:tcW w:w="0" w:type="auto"/>
                        <w:tcBorders>
                          <w:top w:val="single" w:sz="4" w:space="0" w:color="auto"/>
                          <w:left w:val="single" w:sz="4" w:space="0" w:color="auto"/>
                          <w:bottom w:val="single" w:sz="4" w:space="0" w:color="auto"/>
                          <w:right w:val="single" w:sz="4" w:space="0" w:color="auto"/>
                        </w:tcBorders>
                        <w:hideMark/>
                      </w:tcPr>
                      <w:p>
                        <w:pPr>
                          <w:tabs>
                            <w:tab w:val="left" w:pos="462"/>
                          </w:tabs>
                          <w:spacing w:line="256" w:lineRule="auto"/>
                          <w:ind w:left="37" w:firstLine="141"/>
                          <w:jc w:val="both"/>
                          <w:rPr>
                            <w:szCs w:val="24"/>
                          </w:rPr>
                        </w:pPr>
                        <w:r>
                          <w:rPr>
                            <w:szCs w:val="24"/>
                          </w:rPr>
                          <w:t>1)</w:t>
                          <w:tab/>
                          <w:t>Raida atitinkanti amžių.</w:t>
                        </w:r>
                      </w:p>
                      <w:p>
                        <w:pPr>
                          <w:tabs>
                            <w:tab w:val="left" w:pos="462"/>
                          </w:tabs>
                          <w:spacing w:line="256" w:lineRule="auto"/>
                          <w:ind w:left="37" w:firstLine="141"/>
                          <w:jc w:val="both"/>
                          <w:rPr>
                            <w:szCs w:val="24"/>
                          </w:rPr>
                        </w:pPr>
                        <w:r>
                          <w:rPr>
                            <w:szCs w:val="24"/>
                          </w:rPr>
                          <w:t></w:t>
                          <w:tab/>
                          <w:t>Vaiko skiepijamas. Vaiko sveikata (mityba, šlapinimasis ir tuštinimasis, miegas) ir informacija apie galimybę gauti pagal sveikatos būklę reikiamas asmens sveikatos priežiūros paslaugas.</w:t>
                        </w:r>
                      </w:p>
                      <w:p>
                        <w:pPr>
                          <w:tabs>
                            <w:tab w:val="left" w:pos="462"/>
                          </w:tabs>
                          <w:ind w:left="37" w:firstLine="141"/>
                          <w:rPr>
                            <w:szCs w:val="24"/>
                          </w:rPr>
                        </w:pPr>
                        <w:r>
                          <w:rPr>
                            <w:szCs w:val="24"/>
                          </w:rPr>
                          <w:t>2)</w:t>
                          <w:tab/>
                          <w:t>Bendravimas su 20 mėn. vaiku ir jo lavinimas.</w:t>
                        </w:r>
                      </w:p>
                    </w:tc>
                  </w:tr>
                  <w:tr>
                    <w:tc>
                      <w:tcPr>
                        <w:tcW w:w="117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16</w:t>
                        </w: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szCs w:val="24"/>
                          </w:rPr>
                        </w:pPr>
                      </w:p>
                    </w:tc>
                    <w:tc>
                      <w:tcPr>
                        <w:tcW w:w="0" w:type="auto"/>
                        <w:tcBorders>
                          <w:top w:val="single" w:sz="4" w:space="0" w:color="auto"/>
                          <w:left w:val="single" w:sz="4" w:space="0" w:color="auto"/>
                          <w:bottom w:val="single" w:sz="4" w:space="0" w:color="auto"/>
                          <w:right w:val="single" w:sz="4" w:space="0" w:color="auto"/>
                        </w:tcBorders>
                        <w:hideMark/>
                      </w:tcPr>
                      <w:p>
                        <w:pPr>
                          <w:tabs>
                            <w:tab w:val="left" w:pos="390"/>
                          </w:tabs>
                          <w:spacing w:line="256" w:lineRule="auto"/>
                          <w:ind w:firstLine="106"/>
                          <w:jc w:val="both"/>
                          <w:rPr>
                            <w:strike/>
                            <w:szCs w:val="24"/>
                          </w:rPr>
                        </w:pPr>
                        <w:r>
                          <w:rPr>
                            <w:szCs w:val="24"/>
                          </w:rPr>
                          <w:t></w:t>
                        </w:r>
                        <w:r>
                          <w:rPr>
                            <w:strike/>
                            <w:szCs w:val="24"/>
                          </w:rPr>
                          <w:tab/>
                        </w:r>
                        <w:r>
                          <w:rPr>
                            <w:szCs w:val="24"/>
                          </w:rPr>
                          <w:t xml:space="preserve">Pildo klausimyną “Vaiko sveikata ir raida 16-20 mėn.” (Aprašo priedas Nr. 33). </w:t>
                        </w:r>
                      </w:p>
                    </w:tc>
                    <w:tc>
                      <w:tcPr>
                        <w:tcW w:w="0" w:type="auto"/>
                        <w:tcBorders>
                          <w:top w:val="single" w:sz="4" w:space="0" w:color="auto"/>
                          <w:left w:val="single" w:sz="4" w:space="0" w:color="auto"/>
                          <w:bottom w:val="single" w:sz="4" w:space="0" w:color="auto"/>
                          <w:right w:val="single" w:sz="4" w:space="0" w:color="auto"/>
                        </w:tcBorders>
                      </w:tcPr>
                      <w:p>
                        <w:pPr>
                          <w:tabs>
                            <w:tab w:val="left" w:pos="526"/>
                          </w:tabs>
                          <w:spacing w:line="256" w:lineRule="auto"/>
                          <w:ind w:firstLine="178"/>
                          <w:jc w:val="both"/>
                          <w:rPr>
                            <w:szCs w:val="24"/>
                          </w:rPr>
                        </w:pPr>
                        <w:r>
                          <w:rPr>
                            <w:szCs w:val="24"/>
                          </w:rPr>
                          <w:t>1)</w:t>
                          <w:tab/>
                          <w:t>Raida atitinkanti amžių</w:t>
                        </w:r>
                      </w:p>
                      <w:p>
                        <w:pPr>
                          <w:tabs>
                            <w:tab w:val="left" w:pos="526"/>
                          </w:tabs>
                          <w:spacing w:line="256" w:lineRule="auto"/>
                          <w:ind w:firstLine="178"/>
                          <w:jc w:val="both"/>
                          <w:rPr>
                            <w:szCs w:val="24"/>
                          </w:rPr>
                        </w:pPr>
                        <w:r>
                          <w:rPr>
                            <w:szCs w:val="24"/>
                          </w:rPr>
                          <w:t></w:t>
                          <w:tab/>
                          <w:t>Vaiko skiepijamas. Vaiko sveikata (mityba, šlapinimasis ir tuštinimasis, miegas) ir informacija apie galimybę gauti pagal sveikatos būklę reikiamas asmens sveikatos priežiūros paslaugas.</w:t>
                        </w:r>
                      </w:p>
                      <w:p>
                        <w:pPr>
                          <w:spacing w:line="256" w:lineRule="auto"/>
                          <w:ind w:left="720" w:hanging="360"/>
                          <w:jc w:val="both"/>
                          <w:rPr>
                            <w:szCs w:val="24"/>
                          </w:rPr>
                        </w:pPr>
                        <w:r>
                          <w:rPr>
                            <w:szCs w:val="24"/>
                          </w:rPr>
                          <w:t>2)</w:t>
                          <w:tab/>
                        </w:r>
                      </w:p>
                    </w:tc>
                  </w:tr>
                  <w:tr>
                    <w:tc>
                      <w:tcPr>
                        <w:tcW w:w="117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17</w:t>
                        </w:r>
                      </w:p>
                    </w:tc>
                    <w:tc>
                      <w:tcPr>
                        <w:tcW w:w="1445" w:type="dxa"/>
                        <w:vMerge w:val="restart"/>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21 mėn.</w:t>
                        </w:r>
                      </w:p>
                    </w:tc>
                    <w:tc>
                      <w:tcPr>
                        <w:tcW w:w="0" w:type="auto"/>
                        <w:tcBorders>
                          <w:top w:val="single" w:sz="4" w:space="0" w:color="auto"/>
                          <w:left w:val="single" w:sz="4" w:space="0" w:color="auto"/>
                          <w:bottom w:val="single" w:sz="4" w:space="0" w:color="auto"/>
                          <w:right w:val="single" w:sz="4" w:space="0" w:color="auto"/>
                        </w:tcBorders>
                        <w:hideMark/>
                      </w:tcPr>
                      <w:p>
                        <w:pPr>
                          <w:tabs>
                            <w:tab w:val="left" w:pos="532"/>
                          </w:tabs>
                          <w:ind w:left="106" w:firstLine="142"/>
                          <w:jc w:val="both"/>
                          <w:rPr>
                            <w:szCs w:val="24"/>
                          </w:rPr>
                        </w:pPr>
                        <w:r>
                          <w:rPr>
                            <w:szCs w:val="24"/>
                          </w:rPr>
                          <w:t></w:t>
                          <w:tab/>
                          <w:t>Pildo klausimyną „Namų aplinkos saugumas vaikui“ (Aprašo priedas Nr. 30).</w:t>
                        </w:r>
                      </w:p>
                      <w:p>
                        <w:pPr>
                          <w:tabs>
                            <w:tab w:val="left" w:pos="532"/>
                          </w:tabs>
                          <w:ind w:left="106" w:firstLine="142"/>
                          <w:jc w:val="both"/>
                          <w:rPr>
                            <w:szCs w:val="24"/>
                          </w:rPr>
                        </w:pPr>
                        <w:r>
                          <w:rPr>
                            <w:szCs w:val="24"/>
                          </w:rPr>
                          <w:t></w:t>
                          <w:tab/>
                          <w:t>Aptarti mamos ateities gyvenimo planus ir perspektyvas.</w:t>
                        </w:r>
                      </w:p>
                    </w:tc>
                    <w:tc>
                      <w:tcPr>
                        <w:tcW w:w="0" w:type="auto"/>
                        <w:tcBorders>
                          <w:top w:val="single" w:sz="4" w:space="0" w:color="auto"/>
                          <w:left w:val="single" w:sz="4" w:space="0" w:color="auto"/>
                          <w:bottom w:val="single" w:sz="4" w:space="0" w:color="auto"/>
                          <w:right w:val="single" w:sz="4" w:space="0" w:color="auto"/>
                        </w:tcBorders>
                        <w:hideMark/>
                      </w:tcPr>
                      <w:p>
                        <w:pPr>
                          <w:ind w:left="720" w:hanging="360"/>
                          <w:rPr>
                            <w:szCs w:val="24"/>
                          </w:rPr>
                        </w:pPr>
                        <w:r>
                          <w:rPr>
                            <w:szCs w:val="24"/>
                          </w:rPr>
                          <w:t>1)</w:t>
                          <w:tab/>
                          <w:t xml:space="preserve">Saugi namų vidaus aplinka. </w:t>
                        </w:r>
                      </w:p>
                      <w:p>
                        <w:pPr>
                          <w:ind w:left="720" w:hanging="360"/>
                          <w:rPr>
                            <w:szCs w:val="24"/>
                          </w:rPr>
                        </w:pPr>
                        <w:r>
                          <w:rPr>
                            <w:szCs w:val="24"/>
                          </w:rPr>
                          <w:t>2)</w:t>
                          <w:tab/>
                          <w:t>Saugus vaiko kambarys, pritaikytas vaiko poreikiams.</w:t>
                        </w:r>
                      </w:p>
                      <w:p>
                        <w:pPr>
                          <w:ind w:left="720" w:hanging="360"/>
                          <w:rPr>
                            <w:szCs w:val="24"/>
                          </w:rPr>
                        </w:pPr>
                        <w:r>
                          <w:rPr>
                            <w:szCs w:val="24"/>
                          </w:rPr>
                          <w:t>3)</w:t>
                          <w:tab/>
                          <w:t xml:space="preserve">Saugi aplinka kieme. </w:t>
                        </w:r>
                      </w:p>
                      <w:p>
                        <w:pPr>
                          <w:ind w:left="720" w:hanging="360"/>
                          <w:rPr>
                            <w:szCs w:val="24"/>
                          </w:rPr>
                        </w:pPr>
                        <w:r>
                          <w:rPr>
                            <w:szCs w:val="24"/>
                          </w:rPr>
                          <w:t>4)</w:t>
                          <w:tab/>
                          <w:t>Mamos ateities gyvenimo planavimas.</w:t>
                        </w:r>
                      </w:p>
                    </w:tc>
                  </w:tr>
                  <w:tr>
                    <w:tc>
                      <w:tcPr>
                        <w:tcW w:w="117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18</w:t>
                        </w: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szCs w:val="24"/>
                          </w:rPr>
                        </w:pPr>
                      </w:p>
                    </w:tc>
                    <w:tc>
                      <w:tcPr>
                        <w:tcW w:w="0" w:type="auto"/>
                        <w:tcBorders>
                          <w:top w:val="single" w:sz="4" w:space="0" w:color="auto"/>
                          <w:left w:val="single" w:sz="4" w:space="0" w:color="auto"/>
                          <w:bottom w:val="single" w:sz="4" w:space="0" w:color="auto"/>
                          <w:right w:val="single" w:sz="4" w:space="0" w:color="auto"/>
                        </w:tcBorders>
                        <w:hideMark/>
                      </w:tcPr>
                      <w:p>
                        <w:pPr>
                          <w:tabs>
                            <w:tab w:val="left" w:pos="532"/>
                          </w:tabs>
                          <w:ind w:left="106" w:firstLine="142"/>
                          <w:jc w:val="both"/>
                          <w:rPr>
                            <w:szCs w:val="24"/>
                          </w:rPr>
                        </w:pPr>
                        <w:r>
                          <w:rPr>
                            <w:szCs w:val="24"/>
                          </w:rPr>
                          <w:t></w:t>
                          <w:tab/>
                          <w:t>Pateikti rekomendacijas susijusias su vaiko lavinimu ir bendravimu.</w:t>
                        </w:r>
                      </w:p>
                    </w:tc>
                    <w:tc>
                      <w:tcPr>
                        <w:tcW w:w="0" w:type="auto"/>
                        <w:tcBorders>
                          <w:top w:val="single" w:sz="4" w:space="0" w:color="auto"/>
                          <w:left w:val="single" w:sz="4" w:space="0" w:color="auto"/>
                          <w:bottom w:val="single" w:sz="4" w:space="0" w:color="auto"/>
                          <w:right w:val="single" w:sz="4" w:space="0" w:color="auto"/>
                        </w:tcBorders>
                      </w:tcPr>
                      <w:p>
                        <w:pPr>
                          <w:ind w:left="720" w:hanging="360"/>
                          <w:rPr>
                            <w:szCs w:val="24"/>
                          </w:rPr>
                        </w:pPr>
                        <w:r>
                          <w:rPr>
                            <w:szCs w:val="24"/>
                          </w:rPr>
                          <w:t>1)</w:t>
                          <w:tab/>
                          <w:t>Bendravimas su 21 mėn. vaiku ir jo lavinimas.</w:t>
                        </w:r>
                      </w:p>
                      <w:p>
                        <w:pPr>
                          <w:ind w:left="360"/>
                          <w:jc w:val="both"/>
                          <w:rPr>
                            <w:szCs w:val="24"/>
                          </w:rPr>
                        </w:pPr>
                      </w:p>
                    </w:tc>
                  </w:tr>
                  <w:tr>
                    <w:tc>
                      <w:tcPr>
                        <w:tcW w:w="117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19</w:t>
                        </w:r>
                      </w:p>
                    </w:tc>
                    <w:tc>
                      <w:tcPr>
                        <w:tcW w:w="1445" w:type="dxa"/>
                        <w:vMerge w:val="restart"/>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22 mėn.</w:t>
                        </w:r>
                      </w:p>
                    </w:tc>
                    <w:tc>
                      <w:tcPr>
                        <w:tcW w:w="0" w:type="auto"/>
                        <w:tcBorders>
                          <w:top w:val="single" w:sz="4" w:space="0" w:color="auto"/>
                          <w:left w:val="single" w:sz="4" w:space="0" w:color="auto"/>
                          <w:bottom w:val="single" w:sz="4" w:space="0" w:color="auto"/>
                          <w:right w:val="single" w:sz="4" w:space="0" w:color="auto"/>
                        </w:tcBorders>
                      </w:tcPr>
                      <w:p>
                        <w:pPr>
                          <w:rPr>
                            <w:sz w:val="8"/>
                            <w:szCs w:val="8"/>
                          </w:rPr>
                        </w:pPr>
                      </w:p>
                      <w:p>
                        <w:pPr>
                          <w:tabs>
                            <w:tab w:val="left" w:pos="532"/>
                          </w:tabs>
                          <w:ind w:left="106" w:firstLine="142"/>
                          <w:jc w:val="both"/>
                          <w:rPr>
                            <w:bCs/>
                            <w:szCs w:val="24"/>
                          </w:rPr>
                        </w:pPr>
                        <w:r>
                          <w:rPr>
                            <w:bCs/>
                            <w:szCs w:val="24"/>
                          </w:rPr>
                          <w:t></w:t>
                          <w:tab/>
                          <w:t>Pildo klausimyną „Savivertės klausimynas“ (</w:t>
                        </w:r>
                        <w:r>
                          <w:rPr>
                            <w:szCs w:val="24"/>
                          </w:rPr>
                          <w:t>Aprašo priedas</w:t>
                        </w:r>
                        <w:r>
                          <w:rPr>
                            <w:bCs/>
                            <w:szCs w:val="24"/>
                          </w:rPr>
                          <w:t xml:space="preserve"> Nr.17).</w:t>
                        </w:r>
                      </w:p>
                      <w:p>
                        <w:pPr>
                          <w:rPr>
                            <w:sz w:val="8"/>
                            <w:szCs w:val="8"/>
                          </w:rPr>
                        </w:pPr>
                      </w:p>
                      <w:p>
                        <w:pPr>
                          <w:tabs>
                            <w:tab w:val="left" w:pos="532"/>
                          </w:tabs>
                          <w:ind w:left="106" w:firstLine="142"/>
                          <w:jc w:val="both"/>
                          <w:rPr>
                            <w:strike/>
                            <w:szCs w:val="24"/>
                          </w:rPr>
                        </w:pPr>
                      </w:p>
                    </w:tc>
                    <w:tc>
                      <w:tcPr>
                        <w:tcW w:w="0" w:type="auto"/>
                        <w:tcBorders>
                          <w:top w:val="single" w:sz="4" w:space="0" w:color="auto"/>
                          <w:left w:val="single" w:sz="4" w:space="0" w:color="auto"/>
                          <w:bottom w:val="single" w:sz="4" w:space="0" w:color="auto"/>
                          <w:right w:val="single" w:sz="4" w:space="0" w:color="auto"/>
                        </w:tcBorders>
                        <w:hideMark/>
                      </w:tcPr>
                      <w:p>
                        <w:pPr>
                          <w:tabs>
                            <w:tab w:val="left" w:pos="685"/>
                          </w:tabs>
                          <w:spacing w:line="256" w:lineRule="auto"/>
                          <w:ind w:left="73" w:firstLine="187"/>
                          <w:jc w:val="both"/>
                          <w:rPr>
                            <w:rFonts w:eastAsia="CIDFont+F4"/>
                            <w:szCs w:val="24"/>
                          </w:rPr>
                        </w:pPr>
                        <w:r>
                          <w:rPr>
                            <w:rFonts w:eastAsia="CIDFont+F4"/>
                            <w:szCs w:val="24"/>
                          </w:rPr>
                          <w:t>1)</w:t>
                          <w:tab/>
                        </w:r>
                        <w:r>
                          <w:rPr>
                            <w:rFonts w:eastAsia="CIDFont+F3"/>
                            <w:szCs w:val="24"/>
                          </w:rPr>
                          <w:t>Priklausomybės.</w:t>
                        </w:r>
                      </w:p>
                      <w:p>
                        <w:pPr>
                          <w:tabs>
                            <w:tab w:val="left" w:pos="685"/>
                          </w:tabs>
                          <w:spacing w:line="256" w:lineRule="auto"/>
                          <w:ind w:left="73" w:firstLine="187"/>
                          <w:jc w:val="both"/>
                          <w:rPr>
                            <w:rFonts w:eastAsia="CIDFont+F4"/>
                            <w:szCs w:val="24"/>
                          </w:rPr>
                        </w:pPr>
                        <w:r>
                          <w:rPr>
                            <w:rFonts w:eastAsia="CIDFont+F4"/>
                            <w:szCs w:val="24"/>
                          </w:rPr>
                          <w:t>2)</w:t>
                          <w:tab/>
                        </w:r>
                        <w:r>
                          <w:rPr>
                            <w:rFonts w:eastAsia="CIDFont+F3"/>
                            <w:szCs w:val="24"/>
                          </w:rPr>
                          <w:t>Rizikingos elgsenos apraiškos.</w:t>
                        </w:r>
                      </w:p>
                      <w:p>
                        <w:pPr>
                          <w:tabs>
                            <w:tab w:val="left" w:pos="685"/>
                          </w:tabs>
                          <w:spacing w:line="256" w:lineRule="auto"/>
                          <w:ind w:left="73" w:firstLine="187"/>
                          <w:jc w:val="both"/>
                          <w:rPr>
                            <w:rFonts w:eastAsia="CIDFont+F3"/>
                            <w:szCs w:val="24"/>
                          </w:rPr>
                        </w:pPr>
                        <w:r>
                          <w:rPr>
                            <w:rFonts w:eastAsia="CIDFont+F3"/>
                            <w:szCs w:val="24"/>
                          </w:rPr>
                          <w:t>3)</w:t>
                          <w:tab/>
                          <w:t>Seksualinis elgesys.</w:t>
                        </w:r>
                      </w:p>
                      <w:p>
                        <w:pPr>
                          <w:tabs>
                            <w:tab w:val="left" w:pos="685"/>
                          </w:tabs>
                          <w:spacing w:line="256" w:lineRule="auto"/>
                          <w:ind w:left="73" w:firstLine="187"/>
                          <w:jc w:val="both"/>
                          <w:rPr>
                            <w:rFonts w:eastAsia="CIDFont+F3"/>
                            <w:szCs w:val="24"/>
                          </w:rPr>
                        </w:pPr>
                        <w:r>
                          <w:rPr>
                            <w:rFonts w:eastAsia="CIDFont+F3"/>
                            <w:szCs w:val="24"/>
                          </w:rPr>
                          <w:t>4)</w:t>
                          <w:tab/>
                        </w:r>
                        <w:r>
                          <w:rPr>
                            <w:bCs/>
                            <w:szCs w:val="24"/>
                          </w:rPr>
                          <w:t>Tinkama mityba.</w:t>
                        </w:r>
                      </w:p>
                      <w:p>
                        <w:pPr>
                          <w:tabs>
                            <w:tab w:val="left" w:pos="685"/>
                          </w:tabs>
                          <w:ind w:left="73" w:firstLine="187"/>
                          <w:rPr>
                            <w:szCs w:val="24"/>
                          </w:rPr>
                        </w:pPr>
                        <w:r>
                          <w:rPr>
                            <w:szCs w:val="24"/>
                          </w:rPr>
                          <w:t>5)</w:t>
                          <w:tab/>
                        </w:r>
                        <w:r>
                          <w:rPr>
                            <w:bCs/>
                            <w:szCs w:val="24"/>
                          </w:rPr>
                          <w:t>Fizinis aktyvumas.</w:t>
                        </w:r>
                      </w:p>
                      <w:p>
                        <w:pPr>
                          <w:tabs>
                            <w:tab w:val="left" w:pos="685"/>
                          </w:tabs>
                          <w:ind w:left="73" w:firstLine="187"/>
                          <w:rPr>
                            <w:szCs w:val="24"/>
                          </w:rPr>
                        </w:pPr>
                        <w:r>
                          <w:rPr>
                            <w:szCs w:val="24"/>
                          </w:rPr>
                          <w:t>6)</w:t>
                          <w:tab/>
                        </w:r>
                        <w:r>
                          <w:rPr>
                            <w:rFonts w:eastAsia="Trebuchet MS"/>
                            <w:bCs/>
                            <w:szCs w:val="24"/>
                          </w:rPr>
                          <w:t>Gebėjimas suprasti vaiko jausmus ir poreikius.</w:t>
                        </w:r>
                      </w:p>
                      <w:p>
                        <w:pPr>
                          <w:tabs>
                            <w:tab w:val="left" w:pos="685"/>
                          </w:tabs>
                          <w:ind w:left="73" w:firstLine="187"/>
                          <w:rPr>
                            <w:szCs w:val="24"/>
                          </w:rPr>
                        </w:pPr>
                        <w:r>
                          <w:rPr>
                            <w:szCs w:val="24"/>
                          </w:rPr>
                          <w:t>7)</w:t>
                          <w:tab/>
                        </w:r>
                        <w:r>
                          <w:rPr>
                            <w:rFonts w:eastAsia="Trebuchet MS"/>
                            <w:bCs/>
                            <w:szCs w:val="24"/>
                          </w:rPr>
                          <w:t>Gebėjimas pasirūpinti savo vaiku esant skirtingoms situacijoms namuose ar išvykus iš namų.</w:t>
                        </w:r>
                      </w:p>
                      <w:p>
                        <w:pPr>
                          <w:tabs>
                            <w:tab w:val="left" w:pos="685"/>
                          </w:tabs>
                          <w:ind w:left="73" w:firstLine="187"/>
                          <w:rPr>
                            <w:szCs w:val="24"/>
                          </w:rPr>
                        </w:pPr>
                        <w:r>
                          <w:rPr>
                            <w:szCs w:val="24"/>
                          </w:rPr>
                          <w:t>8)</w:t>
                          <w:tab/>
                          <w:t>Gebėjimas išsikelti vaikų auklėjimo tikslus ar užduotis.</w:t>
                        </w:r>
                      </w:p>
                      <w:p>
                        <w:pPr>
                          <w:tabs>
                            <w:tab w:val="left" w:pos="685"/>
                          </w:tabs>
                          <w:ind w:left="73" w:firstLine="187"/>
                          <w:rPr>
                            <w:szCs w:val="24"/>
                          </w:rPr>
                        </w:pPr>
                        <w:r>
                          <w:rPr>
                            <w:szCs w:val="24"/>
                          </w:rPr>
                          <w:t>9)</w:t>
                          <w:tab/>
                          <w:t>Gebėjimas spręsti sunkumus, kylančius dėl varginančio vaikų elgesio </w:t>
                        </w:r>
                      </w:p>
                      <w:p>
                        <w:pPr>
                          <w:tabs>
                            <w:tab w:val="left" w:pos="685"/>
                          </w:tabs>
                          <w:ind w:left="73" w:firstLine="187"/>
                          <w:rPr>
                            <w:szCs w:val="24"/>
                          </w:rPr>
                        </w:pPr>
                        <w:r>
                          <w:rPr>
                            <w:szCs w:val="24"/>
                          </w:rPr>
                          <w:t>10)</w:t>
                          <w:tab/>
                          <w:t xml:space="preserve">Gebėjimas spręsti sunkumus, kylančius dėl „laukiamų“ ar „teisėtų“ vaikų poreikių tenkinimo naštos. </w:t>
                        </w:r>
                      </w:p>
                      <w:p>
                        <w:pPr>
                          <w:tabs>
                            <w:tab w:val="left" w:pos="685"/>
                          </w:tabs>
                          <w:ind w:left="73" w:firstLine="187"/>
                          <w:rPr>
                            <w:szCs w:val="24"/>
                          </w:rPr>
                        </w:pPr>
                        <w:r>
                          <w:rPr>
                            <w:szCs w:val="24"/>
                          </w:rPr>
                          <w:t>11)</w:t>
                          <w:tab/>
                          <w:t>Pakankamos lėšos šeimos poreikiams.</w:t>
                        </w:r>
                      </w:p>
                      <w:p>
                        <w:pPr>
                          <w:tabs>
                            <w:tab w:val="left" w:pos="685"/>
                          </w:tabs>
                          <w:ind w:left="73" w:firstLine="187"/>
                          <w:rPr>
                            <w:szCs w:val="24"/>
                          </w:rPr>
                        </w:pPr>
                        <w:r>
                          <w:rPr>
                            <w:szCs w:val="24"/>
                          </w:rPr>
                          <w:t>12)</w:t>
                          <w:tab/>
                          <w:t>Gebėjimas planuoti laiką šeimos ir asmeniniams poreikiams.</w:t>
                        </w:r>
                      </w:p>
                      <w:p>
                        <w:pPr>
                          <w:tabs>
                            <w:tab w:val="left" w:pos="685"/>
                          </w:tabs>
                          <w:ind w:left="73" w:firstLine="187"/>
                          <w:rPr>
                            <w:szCs w:val="24"/>
                          </w:rPr>
                        </w:pPr>
                        <w:r>
                          <w:rPr>
                            <w:szCs w:val="24"/>
                          </w:rPr>
                          <w:t>13)</w:t>
                          <w:tab/>
                          <w:t xml:space="preserve">Gebėjimas spręsti nenumatytas kasdienes problemas. </w:t>
                        </w:r>
                      </w:p>
                    </w:tc>
                  </w:tr>
                  <w:tr>
                    <w:tc>
                      <w:tcPr>
                        <w:tcW w:w="117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20</w:t>
                        </w: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szCs w:val="24"/>
                          </w:rPr>
                        </w:pPr>
                      </w:p>
                    </w:tc>
                    <w:tc>
                      <w:tcPr>
                        <w:tcW w:w="0" w:type="auto"/>
                        <w:tcBorders>
                          <w:top w:val="single" w:sz="4" w:space="0" w:color="auto"/>
                          <w:left w:val="single" w:sz="4" w:space="0" w:color="auto"/>
                          <w:bottom w:val="single" w:sz="4" w:space="0" w:color="auto"/>
                          <w:right w:val="single" w:sz="4" w:space="0" w:color="auto"/>
                        </w:tcBorders>
                        <w:hideMark/>
                      </w:tcPr>
                      <w:p>
                        <w:pPr>
                          <w:tabs>
                            <w:tab w:val="left" w:pos="532"/>
                          </w:tabs>
                          <w:ind w:firstLine="248"/>
                          <w:rPr>
                            <w:b/>
                            <w:bCs/>
                            <w:szCs w:val="24"/>
                          </w:rPr>
                        </w:pPr>
                        <w:r>
                          <w:rPr>
                            <w:bCs/>
                            <w:szCs w:val="24"/>
                          </w:rPr>
                          <w:t></w:t>
                          <w:tab/>
                        </w:r>
                        <w:r>
                          <w:rPr>
                            <w:szCs w:val="24"/>
                          </w:rPr>
                          <w:t>Pateikti rekomendacijas susijusias su vaiko lavinimu ir bendravimu.</w:t>
                        </w:r>
                      </w:p>
                    </w:tc>
                    <w:tc>
                      <w:tcPr>
                        <w:tcW w:w="0" w:type="auto"/>
                        <w:tcBorders>
                          <w:top w:val="single" w:sz="4" w:space="0" w:color="auto"/>
                          <w:left w:val="single" w:sz="4" w:space="0" w:color="auto"/>
                          <w:bottom w:val="single" w:sz="4" w:space="0" w:color="auto"/>
                          <w:right w:val="single" w:sz="4" w:space="0" w:color="auto"/>
                        </w:tcBorders>
                      </w:tcPr>
                      <w:p>
                        <w:pPr>
                          <w:tabs>
                            <w:tab w:val="left" w:pos="685"/>
                          </w:tabs>
                          <w:ind w:left="73" w:firstLine="187"/>
                          <w:rPr>
                            <w:szCs w:val="24"/>
                          </w:rPr>
                        </w:pPr>
                        <w:r>
                          <w:rPr>
                            <w:szCs w:val="24"/>
                          </w:rPr>
                          <w:t>1)</w:t>
                          <w:tab/>
                          <w:t>Bendravimas su 22 mėn. vaiku ir jo lavinimas.</w:t>
                        </w:r>
                      </w:p>
                      <w:p>
                        <w:pPr>
                          <w:tabs>
                            <w:tab w:val="left" w:pos="685"/>
                          </w:tabs>
                          <w:ind w:left="73" w:firstLine="187"/>
                          <w:rPr>
                            <w:szCs w:val="24"/>
                          </w:rPr>
                        </w:pPr>
                      </w:p>
                    </w:tc>
                  </w:tr>
                  <w:tr>
                    <w:tc>
                      <w:tcPr>
                        <w:tcW w:w="117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21</w:t>
                        </w:r>
                      </w:p>
                    </w:tc>
                    <w:tc>
                      <w:tcPr>
                        <w:tcW w:w="1445"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23 mėn.</w:t>
                        </w:r>
                      </w:p>
                    </w:tc>
                    <w:tc>
                      <w:tcPr>
                        <w:tcW w:w="0" w:type="auto"/>
                        <w:tcBorders>
                          <w:top w:val="single" w:sz="4" w:space="0" w:color="auto"/>
                          <w:left w:val="single" w:sz="4" w:space="0" w:color="auto"/>
                          <w:bottom w:val="single" w:sz="4" w:space="0" w:color="auto"/>
                          <w:right w:val="single" w:sz="4" w:space="0" w:color="auto"/>
                        </w:tcBorders>
                      </w:tcPr>
                      <w:p>
                        <w:pPr>
                          <w:tabs>
                            <w:tab w:val="left" w:pos="532"/>
                          </w:tabs>
                          <w:spacing w:line="256" w:lineRule="auto"/>
                          <w:ind w:firstLine="248"/>
                          <w:rPr>
                            <w:szCs w:val="24"/>
                          </w:rPr>
                        </w:pPr>
                        <w:r>
                          <w:rPr>
                            <w:szCs w:val="24"/>
                          </w:rPr>
                          <w:t></w:t>
                          <w:tab/>
                          <w:t>Pildo klausimyną “Motinos saviveiksmingumo skalė” (Aprašo priedas Nr. 32).</w:t>
                        </w:r>
                      </w:p>
                      <w:p>
                        <w:pPr>
                          <w:tabs>
                            <w:tab w:val="left" w:pos="532"/>
                          </w:tabs>
                          <w:ind w:firstLine="248"/>
                          <w:rPr>
                            <w:szCs w:val="24"/>
                          </w:rPr>
                        </w:pPr>
                        <w:r>
                          <w:rPr>
                            <w:szCs w:val="24"/>
                          </w:rPr>
                          <w:t></w:t>
                          <w:tab/>
                          <w:t>Padėti ir pateikti rekomendacijas tėvams, kaip paruošti vaiką darželiui.</w:t>
                        </w:r>
                      </w:p>
                      <w:p>
                        <w:pPr>
                          <w:tabs>
                            <w:tab w:val="left" w:pos="532"/>
                          </w:tabs>
                          <w:ind w:firstLine="248"/>
                          <w:rPr>
                            <w:szCs w:val="24"/>
                          </w:rPr>
                        </w:pPr>
                      </w:p>
                    </w:tc>
                    <w:tc>
                      <w:tcPr>
                        <w:tcW w:w="0" w:type="auto"/>
                        <w:tcBorders>
                          <w:top w:val="single" w:sz="4" w:space="0" w:color="auto"/>
                          <w:left w:val="single" w:sz="4" w:space="0" w:color="auto"/>
                          <w:bottom w:val="single" w:sz="4" w:space="0" w:color="auto"/>
                          <w:right w:val="single" w:sz="4" w:space="0" w:color="auto"/>
                        </w:tcBorders>
                        <w:hideMark/>
                      </w:tcPr>
                      <w:p>
                        <w:pPr>
                          <w:tabs>
                            <w:tab w:val="left" w:pos="466"/>
                          </w:tabs>
                          <w:ind w:left="73" w:firstLine="142"/>
                          <w:rPr>
                            <w:rFonts w:eastAsia="CIDFont+F4"/>
                            <w:szCs w:val="24"/>
                          </w:rPr>
                        </w:pPr>
                        <w:r>
                          <w:rPr>
                            <w:rFonts w:eastAsia="CIDFont+F4"/>
                            <w:szCs w:val="24"/>
                          </w:rPr>
                          <w:t>1)</w:t>
                          <w:tab/>
                          <w:t>Gebėjimas spręsti sunkumus, kylančius dėl varginančio vaikų elgesio.</w:t>
                        </w:r>
                      </w:p>
                      <w:p>
                        <w:pPr>
                          <w:tabs>
                            <w:tab w:val="left" w:pos="466"/>
                          </w:tabs>
                          <w:spacing w:line="256" w:lineRule="auto"/>
                          <w:ind w:left="73" w:firstLine="142"/>
                          <w:jc w:val="both"/>
                          <w:rPr>
                            <w:rFonts w:eastAsia="CIDFont+F4"/>
                            <w:szCs w:val="24"/>
                          </w:rPr>
                        </w:pPr>
                        <w:r>
                          <w:rPr>
                            <w:rFonts w:eastAsia="CIDFont+F4"/>
                            <w:szCs w:val="24"/>
                          </w:rPr>
                          <w:t>2)</w:t>
                          <w:tab/>
                        </w:r>
                        <w:r>
                          <w:rPr>
                            <w:rFonts w:eastAsia="CIDFont+F4"/>
                            <w:bCs/>
                            <w:szCs w:val="24"/>
                          </w:rPr>
                          <w:t>Gebėjimas suprasti vaiko jausmus ir poreikius.</w:t>
                        </w:r>
                      </w:p>
                      <w:p>
                        <w:pPr>
                          <w:tabs>
                            <w:tab w:val="left" w:pos="466"/>
                          </w:tabs>
                          <w:spacing w:line="256" w:lineRule="auto"/>
                          <w:ind w:left="73" w:firstLine="142"/>
                          <w:jc w:val="both"/>
                          <w:rPr>
                            <w:rFonts w:eastAsia="CIDFont+F4"/>
                            <w:szCs w:val="24"/>
                          </w:rPr>
                        </w:pPr>
                        <w:r>
                          <w:rPr>
                            <w:rFonts w:eastAsia="CIDFont+F4"/>
                            <w:szCs w:val="24"/>
                          </w:rPr>
                          <w:t>3)</w:t>
                          <w:tab/>
                        </w:r>
                        <w:r>
                          <w:rPr>
                            <w:rFonts w:eastAsia="CIDFont+F4"/>
                            <w:bCs/>
                            <w:szCs w:val="24"/>
                          </w:rPr>
                          <w:t xml:space="preserve">Gebėjimas pasirūpinti savo vaiku esant skirtingoms situacijoms namuose ar išvykus iš namų. </w:t>
                        </w:r>
                      </w:p>
                      <w:p>
                        <w:pPr>
                          <w:tabs>
                            <w:tab w:val="left" w:pos="466"/>
                          </w:tabs>
                          <w:spacing w:line="256" w:lineRule="auto"/>
                          <w:ind w:left="73" w:firstLine="142"/>
                          <w:jc w:val="both"/>
                          <w:rPr>
                            <w:szCs w:val="24"/>
                          </w:rPr>
                        </w:pPr>
                        <w:r>
                          <w:rPr>
                            <w:szCs w:val="24"/>
                          </w:rPr>
                          <w:t>4)</w:t>
                          <w:tab/>
                          <w:t>Vaiko adaptacija pradėjus lankyti darželį.</w:t>
                        </w:r>
                      </w:p>
                    </w:tc>
                  </w:tr>
                  <w:tr>
                    <w:tc>
                      <w:tcPr>
                        <w:tcW w:w="117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22</w:t>
                        </w:r>
                      </w:p>
                    </w:tc>
                    <w:tc>
                      <w:tcPr>
                        <w:tcW w:w="1445"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24 mėn.</w:t>
                        </w:r>
                      </w:p>
                    </w:tc>
                    <w:tc>
                      <w:tcPr>
                        <w:tcW w:w="0" w:type="auto"/>
                        <w:tcBorders>
                          <w:top w:val="single" w:sz="4" w:space="0" w:color="auto"/>
                          <w:left w:val="single" w:sz="4" w:space="0" w:color="auto"/>
                          <w:bottom w:val="single" w:sz="4" w:space="0" w:color="auto"/>
                          <w:right w:val="single" w:sz="4" w:space="0" w:color="auto"/>
                        </w:tcBorders>
                      </w:tcPr>
                      <w:p>
                        <w:pPr>
                          <w:tabs>
                            <w:tab w:val="left" w:pos="511"/>
                          </w:tabs>
                          <w:spacing w:line="256" w:lineRule="auto"/>
                          <w:ind w:firstLine="248"/>
                          <w:jc w:val="both"/>
                          <w:rPr>
                            <w:szCs w:val="24"/>
                          </w:rPr>
                        </w:pPr>
                        <w:r>
                          <w:rPr>
                            <w:szCs w:val="24"/>
                          </w:rPr>
                          <w:t></w:t>
                          <w:tab/>
                          <w:t>Pildo klausimyną “Vaiko sveikata ir raida 20-24 mėn.” (Aprašo priedas Nr. 34).</w:t>
                        </w:r>
                      </w:p>
                      <w:p>
                        <w:pPr>
                          <w:tabs>
                            <w:tab w:val="left" w:pos="511"/>
                          </w:tabs>
                          <w:ind w:firstLine="248"/>
                          <w:jc w:val="both"/>
                          <w:rPr>
                            <w:szCs w:val="24"/>
                          </w:rPr>
                        </w:pPr>
                        <w:r>
                          <w:rPr>
                            <w:szCs w:val="24"/>
                          </w:rPr>
                          <w:t></w:t>
                          <w:tab/>
                          <w:t>Pateikti rekomendacijas susijusias su vaiko lavinimu ir bendravimu.</w:t>
                        </w:r>
                      </w:p>
                      <w:p>
                        <w:pPr>
                          <w:tabs>
                            <w:tab w:val="left" w:pos="511"/>
                          </w:tabs>
                          <w:ind w:firstLine="248"/>
                          <w:jc w:val="both"/>
                          <w:rPr>
                            <w:szCs w:val="24"/>
                          </w:rPr>
                        </w:pPr>
                      </w:p>
                    </w:tc>
                    <w:tc>
                      <w:tcPr>
                        <w:tcW w:w="0" w:type="auto"/>
                        <w:tcBorders>
                          <w:top w:val="single" w:sz="4" w:space="0" w:color="auto"/>
                          <w:left w:val="single" w:sz="4" w:space="0" w:color="auto"/>
                          <w:bottom w:val="single" w:sz="4" w:space="0" w:color="auto"/>
                          <w:right w:val="single" w:sz="4" w:space="0" w:color="auto"/>
                        </w:tcBorders>
                        <w:hideMark/>
                      </w:tcPr>
                      <w:p>
                        <w:pPr>
                          <w:tabs>
                            <w:tab w:val="left" w:pos="499"/>
                          </w:tabs>
                          <w:spacing w:line="256" w:lineRule="auto"/>
                          <w:ind w:left="73" w:firstLine="142"/>
                          <w:jc w:val="both"/>
                          <w:rPr>
                            <w:szCs w:val="24"/>
                          </w:rPr>
                        </w:pPr>
                        <w:r>
                          <w:rPr>
                            <w:szCs w:val="24"/>
                          </w:rPr>
                          <w:t>1)</w:t>
                          <w:tab/>
                          <w:t>Raida atitinkanti amžių.</w:t>
                        </w:r>
                      </w:p>
                      <w:p>
                        <w:pPr>
                          <w:tabs>
                            <w:tab w:val="left" w:pos="499"/>
                          </w:tabs>
                          <w:spacing w:line="256" w:lineRule="auto"/>
                          <w:ind w:left="73" w:firstLine="142"/>
                          <w:jc w:val="both"/>
                          <w:rPr>
                            <w:szCs w:val="24"/>
                          </w:rPr>
                        </w:pPr>
                        <w:r>
                          <w:rPr>
                            <w:szCs w:val="24"/>
                          </w:rPr>
                          <w:t>2)</w:t>
                          <w:tab/>
                          <w:t>Vaiko skiepijimo kalendorius.</w:t>
                        </w:r>
                      </w:p>
                      <w:p>
                        <w:pPr>
                          <w:tabs>
                            <w:tab w:val="left" w:pos="499"/>
                          </w:tabs>
                          <w:ind w:left="73" w:firstLine="142"/>
                          <w:rPr>
                            <w:szCs w:val="24"/>
                          </w:rPr>
                        </w:pPr>
                        <w:r>
                          <w:rPr>
                            <w:szCs w:val="24"/>
                          </w:rPr>
                          <w:t>3)</w:t>
                          <w:tab/>
                          <w:t>Vaiko sveikata (mityba, miegas, šlapinimasis ir tuštinimasis) ir informacija apie galimybę gauti pagal sveikatos būklę reikiamas asmens sveikatos priežiūros paslaugas. Bendravimas su 23 mėn. vaiku ir jo lavinimas.</w:t>
                        </w:r>
                      </w:p>
                    </w:tc>
                  </w:tr>
                </w:tbl>
                <w:p>
                  <w:pPr>
                    <w:rPr>
                      <w:szCs w:val="24"/>
                    </w:rPr>
                  </w:pPr>
                </w:p>
              </w:sdtContent>
            </w:sdt>
            <w:sdt>
              <w:sdtPr>
                <w:alias w:val="19 pr. 17 p."/>
                <w:tag w:val="part_2a1fb2afe60243e1a6bd3d475adf817a"/>
                <w:lock w:val="sdtLocked"/>
                <w:richText/>
              </w:sdtPr>
              <w:sdtContent>
                <w:p>
                  <w:pPr>
                    <w:tabs>
                      <w:tab w:val="left" w:pos="709"/>
                    </w:tabs>
                    <w:ind w:firstLine="993"/>
                    <w:jc w:val="both"/>
                    <w:rPr>
                      <w:szCs w:val="24"/>
                    </w:rPr>
                  </w:pPr>
                  <w:sdt>
                    <w:sdtPr>
                      <w:alias w:val="Numeris"/>
                      <w:tag w:val="nr_2a1fb2afe60243e1a6bd3d475adf817a"/>
                      <w:lock w:val="sdtLocked"/>
                      <w:richText/>
                    </w:sdtPr>
                    <w:sdtContent>
                      <w:r>
                        <w:rPr>
                          <w:szCs w:val="24"/>
                        </w:rPr>
                        <w:t>17</w:t>
                      </w:r>
                    </w:sdtContent>
                  </w:sdt>
                  <w:r>
                    <w:rPr>
                      <w:szCs w:val="24"/>
                    </w:rPr>
                    <w:t>. Teikdamas pirmąją paslaugą, šeimų lankymo specialistas:</w:t>
                  </w:r>
                </w:p>
                <w:sdt>
                  <w:sdtPr>
                    <w:alias w:val="19 pr. 17.1 pp."/>
                    <w:tag w:val="part_88d9fffdc1f8461e9edb350994509472"/>
                    <w:lock w:val="sdtLocked"/>
                    <w:richText/>
                  </w:sdtPr>
                  <w:sdtContent>
                    <w:p>
                      <w:pPr>
                        <w:ind w:firstLine="993"/>
                        <w:jc w:val="both"/>
                        <w:rPr>
                          <w:szCs w:val="24"/>
                          <w:lang w:eastAsia="lt-LT"/>
                        </w:rPr>
                      </w:pPr>
                      <w:sdt>
                        <w:sdtPr>
                          <w:alias w:val="Numeris"/>
                          <w:tag w:val="nr_88d9fffdc1f8461e9edb350994509472"/>
                          <w:lock w:val="sdtLocked"/>
                          <w:richText/>
                        </w:sdtPr>
                        <w:sdtContent>
                          <w:r>
                            <w:rPr>
                              <w:szCs w:val="24"/>
                              <w:lang w:eastAsia="lt-LT"/>
                            </w:rPr>
                            <w:t>17.1</w:t>
                          </w:r>
                        </w:sdtContent>
                      </w:sdt>
                      <w:r>
                        <w:rPr>
                          <w:szCs w:val="24"/>
                          <w:lang w:eastAsia="lt-LT"/>
                        </w:rPr>
                        <w:t>.  priskiria pacientei vieną iš Tarptautinės statistinės ligų ir susijusių sveikatos sutrikimų klasifikacijos dešimtojo pataisyto ir papildyto leidimo „Sisteminis ligų sąrašas“ (Australijos modifikacija, TLK-10-AM) 21 skyriaus Sveikatos būklę veikiantys faktoriai ir apsilankymai sveikatos priežiūros įstaigose kodų;</w:t>
                      </w:r>
                    </w:p>
                  </w:sdtContent>
                </w:sdt>
                <w:sdt>
                  <w:sdtPr>
                    <w:alias w:val="19 pr. 17.2 pp."/>
                    <w:tag w:val="part_2b8edda6110346c5bbf7fc8eba5a0966"/>
                    <w:lock w:val="sdtLocked"/>
                    <w:richText/>
                  </w:sdtPr>
                  <w:sdtContent>
                    <w:p>
                      <w:pPr>
                        <w:ind w:firstLine="993"/>
                        <w:jc w:val="both"/>
                        <w:rPr>
                          <w:szCs w:val="24"/>
                          <w:lang w:eastAsia="lt-LT"/>
                        </w:rPr>
                      </w:pPr>
                      <w:sdt>
                        <w:sdtPr>
                          <w:alias w:val="Numeris"/>
                          <w:tag w:val="nr_2b8edda6110346c5bbf7fc8eba5a0966"/>
                          <w:lock w:val="sdtLocked"/>
                          <w:richText/>
                        </w:sdtPr>
                        <w:sdtContent>
                          <w:r>
                            <w:rPr>
                              <w:szCs w:val="24"/>
                              <w:lang w:eastAsia="lt-LT"/>
                            </w:rPr>
                            <w:t>17.2</w:t>
                          </w:r>
                        </w:sdtContent>
                      </w:sdt>
                      <w:r>
                        <w:rPr>
                          <w:szCs w:val="24"/>
                          <w:lang w:eastAsia="lt-LT"/>
                        </w:rPr>
                        <w:t>.   pagal galimybes surenka papildomą kontaktinę informaciją, kuri dar nėra žinoma, bet yra būtina, organizuojant ir teikiant šeimų lankymo paslaugas (pvz., artimųjų, kitų asmenų, bendraujančių su pacientais, kontaktinius duomenis (vardas, pavardė, telefono numeris, elektroninio pašto adresas), kitų gyvenamojoje vietoje teikiančių paslaugas specialistų kontaktinius duomenis (įstaigos pavadinimas, pareigos, vardas, pavardė, telefono numeris), kitą svarbią informaciją ir įformina paciento ar jo atstovo sutikimą gauti šeimų lankymo paslaugas;</w:t>
                      </w:r>
                    </w:p>
                  </w:sdtContent>
                </w:sdt>
                <w:sdt>
                  <w:sdtPr>
                    <w:alias w:val="19 pr. 17.3 pp."/>
                    <w:tag w:val="part_3988d0cc69ad4ea680cf3a36b8962f4b"/>
                    <w:lock w:val="sdtLocked"/>
                    <w:richText/>
                  </w:sdtPr>
                  <w:sdtContent>
                    <w:p>
                      <w:pPr>
                        <w:ind w:firstLine="993"/>
                        <w:jc w:val="both"/>
                        <w:rPr>
                          <w:szCs w:val="24"/>
                          <w:lang w:eastAsia="lt-LT"/>
                        </w:rPr>
                      </w:pPr>
                      <w:sdt>
                        <w:sdtPr>
                          <w:alias w:val="Numeris"/>
                          <w:tag w:val="nr_3988d0cc69ad4ea680cf3a36b8962f4b"/>
                          <w:lock w:val="sdtLocked"/>
                          <w:richText/>
                        </w:sdtPr>
                        <w:sdtContent>
                          <w:r>
                            <w:rPr>
                              <w:szCs w:val="24"/>
                              <w:lang w:eastAsia="lt-LT"/>
                            </w:rPr>
                            <w:t>17.3</w:t>
                          </w:r>
                        </w:sdtContent>
                      </w:sdt>
                      <w:r>
                        <w:rPr>
                          <w:szCs w:val="24"/>
                          <w:lang w:eastAsia="lt-LT"/>
                        </w:rPr>
                        <w:t>. pacientei pateikia šeimų lankymo paslaugas teikiančios įstaigos ir specialisto, kuris pacientei teiks šeimų lankymo paslaugas, kontaktinius duomenis, įsitikina, kad pacientė žino šeimos gydytojo ar jo komandos narių kontaktinius duomenis;</w:t>
                      </w:r>
                    </w:p>
                  </w:sdtContent>
                </w:sdt>
                <w:sdt>
                  <w:sdtPr>
                    <w:alias w:val="19 pr. 17.4 pp."/>
                    <w:tag w:val="part_f24da1b1c0d544ed8075d90a6e130b67"/>
                    <w:lock w:val="sdtLocked"/>
                    <w:richText/>
                  </w:sdtPr>
                  <w:sdtContent>
                    <w:p>
                      <w:pPr>
                        <w:ind w:firstLine="993"/>
                        <w:jc w:val="both"/>
                        <w:rPr>
                          <w:szCs w:val="24"/>
                          <w:lang w:eastAsia="lt-LT"/>
                        </w:rPr>
                      </w:pPr>
                      <w:sdt>
                        <w:sdtPr>
                          <w:alias w:val="Numeris"/>
                          <w:tag w:val="nr_f24da1b1c0d544ed8075d90a6e130b67"/>
                          <w:lock w:val="sdtLocked"/>
                          <w:richText/>
                        </w:sdtPr>
                        <w:sdtContent>
                          <w:r>
                            <w:rPr>
                              <w:szCs w:val="24"/>
                              <w:lang w:eastAsia="lt-LT"/>
                            </w:rPr>
                            <w:t>17.4</w:t>
                          </w:r>
                        </w:sdtContent>
                      </w:sdt>
                      <w:r>
                        <w:rPr>
                          <w:szCs w:val="24"/>
                          <w:lang w:eastAsia="lt-LT"/>
                        </w:rPr>
                        <w:t>. paskiria kitos šeimų lankymo paslaugos teikimo vietą ir datą.</w:t>
                      </w:r>
                    </w:p>
                  </w:sdtContent>
                </w:sdt>
              </w:sdtContent>
            </w:sdt>
            <w:sdt>
              <w:sdtPr>
                <w:alias w:val="19 pr. 18 p."/>
                <w:tag w:val="part_824c65d26d05496bae002f84cbfe0754"/>
                <w:lock w:val="sdtLocked"/>
                <w:richText/>
              </w:sdtPr>
              <w:sdtContent>
                <w:p>
                  <w:pPr>
                    <w:ind w:firstLine="993"/>
                    <w:jc w:val="both"/>
                    <w:rPr>
                      <w:szCs w:val="24"/>
                    </w:rPr>
                  </w:pPr>
                  <w:sdt>
                    <w:sdtPr>
                      <w:alias w:val="Numeris"/>
                      <w:tag w:val="nr_824c65d26d05496bae002f84cbfe0754"/>
                      <w:lock w:val="sdtLocked"/>
                      <w:richText/>
                    </w:sdtPr>
                    <w:sdtContent>
                      <w:r>
                        <w:rPr>
                          <w:szCs w:val="24"/>
                          <w:lang w:eastAsia="lt-LT"/>
                        </w:rPr>
                        <w:t>18</w:t>
                      </w:r>
                    </w:sdtContent>
                  </w:sdt>
                  <w:r>
                    <w:rPr>
                      <w:szCs w:val="24"/>
                      <w:lang w:eastAsia="lt-LT"/>
                    </w:rPr>
                    <w:t>.  Prioritetinis šeimų lankymo paslaugų teikimo būdas – tiesioginis kontaktas su paciente jos gyvenamojoje aplinkoje. Jeigu šeimų lankymo specialistas gauna informacijos, kad paslaugos kokybė gali pablogėti dėl tiesioginio kontakto pacientės gyvenamojoje vietoje arba sumažinti pacientės motyvaciją tęsti šeimų lankymo paslaugas, dalis paslaugų gali būti suteikiamos nuotoliniu būdu arba kontaktiniu būdu pacientei saugioje vietoje</w:t>
                  </w:r>
                  <w:r>
                    <w:rPr>
                      <w:szCs w:val="24"/>
                    </w:rPr>
                    <w:t xml:space="preserve">. Nuotoliniu būdu gali būti suteikta ne daugiau kaip 10 % paslaugų nėštumo laikotarpiu, ne daugiau kaip  20 % paslaugų pirmųjų vaiko gyvenimo metų laikotarpiu, ir ne daugiau kaip 20 % paslaugų antrųjų vaiko gyvenimo metų laikotarpiu.</w:t>
                  </w:r>
                </w:p>
              </w:sdtContent>
            </w:sdt>
            <w:sdt>
              <w:sdtPr>
                <w:alias w:val="19 pr. 19 p."/>
                <w:tag w:val="part_98d9f40468a24cf68bd64814d35af76f"/>
                <w:lock w:val="sdtLocked"/>
                <w:richText/>
              </w:sdtPr>
              <w:sdtContent>
                <w:p>
                  <w:pPr>
                    <w:ind w:firstLine="993"/>
                    <w:jc w:val="both"/>
                    <w:rPr>
                      <w:szCs w:val="24"/>
                    </w:rPr>
                  </w:pPr>
                  <w:sdt>
                    <w:sdtPr>
                      <w:alias w:val="Numeris"/>
                      <w:tag w:val="nr_98d9f40468a24cf68bd64814d35af76f"/>
                      <w:lock w:val="sdtLocked"/>
                      <w:richText/>
                    </w:sdtPr>
                    <w:sdtContent>
                      <w:r>
                        <w:rPr>
                          <w:szCs w:val="24"/>
                        </w:rPr>
                        <w:t>19</w:t>
                      </w:r>
                    </w:sdtContent>
                  </w:sdt>
                  <w:r>
                    <w:rPr>
                      <w:szCs w:val="24"/>
                    </w:rPr>
                    <w:t xml:space="preserve">.  Vienas šeimų lankymo specialistas, dirbantis 1 etato krūviu, vienu metu gali teikti šeimų lankymo paslaugas vidutiniškai 25 šeimoms. Vidutinė vienos kontaktinės paslaugos trukmė – 1 valanda, nuotolinės – iki 30 min.:</w:t>
                  </w:r>
                </w:p>
                <w:sdt>
                  <w:sdtPr>
                    <w:alias w:val="19 pr. 19.1 pp."/>
                    <w:tag w:val="part_7699858aadf645b7ac61f8fbf1e53099"/>
                    <w:lock w:val="sdtLocked"/>
                    <w:richText/>
                  </w:sdtPr>
                  <w:sdtContent>
                    <w:p>
                      <w:pPr>
                        <w:ind w:firstLine="993"/>
                        <w:jc w:val="both"/>
                        <w:rPr>
                          <w:szCs w:val="24"/>
                        </w:rPr>
                      </w:pPr>
                      <w:sdt>
                        <w:sdtPr>
                          <w:alias w:val="Numeris"/>
                          <w:tag w:val="nr_7699858aadf645b7ac61f8fbf1e53099"/>
                          <w:lock w:val="sdtLocked"/>
                          <w:richText/>
                        </w:sdtPr>
                        <w:sdtContent>
                          <w:r>
                            <w:rPr>
                              <w:szCs w:val="24"/>
                            </w:rPr>
                            <w:t>19.1</w:t>
                          </w:r>
                        </w:sdtContent>
                      </w:sdt>
                      <w:r>
                        <w:rPr>
                          <w:szCs w:val="24"/>
                        </w:rPr>
                        <w:t>. nėštumo laikotarpiu pacientei suteikiama ne mažiai kaip 6 ir ne daugiau kaip 14 šeimų lankymo paslaugų;</w:t>
                      </w:r>
                    </w:p>
                  </w:sdtContent>
                </w:sdt>
                <w:sdt>
                  <w:sdtPr>
                    <w:alias w:val="19 pr. 19.2 pp."/>
                    <w:tag w:val="part_4d6d78c1aac34191aeab3a1a2c9344cf"/>
                    <w:lock w:val="sdtLocked"/>
                    <w:richText/>
                  </w:sdtPr>
                  <w:sdtContent>
                    <w:p>
                      <w:pPr>
                        <w:ind w:firstLine="993"/>
                        <w:jc w:val="both"/>
                        <w:rPr>
                          <w:szCs w:val="24"/>
                        </w:rPr>
                      </w:pPr>
                      <w:sdt>
                        <w:sdtPr>
                          <w:alias w:val="Numeris"/>
                          <w:tag w:val="nr_4d6d78c1aac34191aeab3a1a2c9344cf"/>
                          <w:lock w:val="sdtLocked"/>
                          <w:richText/>
                        </w:sdtPr>
                        <w:sdtContent>
                          <w:r>
                            <w:rPr>
                              <w:szCs w:val="24"/>
                            </w:rPr>
                            <w:t>19.2</w:t>
                          </w:r>
                        </w:sdtContent>
                      </w:sdt>
                      <w:r>
                        <w:rPr>
                          <w:szCs w:val="24"/>
                        </w:rPr>
                        <w:t>. nuo vaiko gimimo iki jam sueis 1 metai – ne daugiau kaip 28 paslaugos;</w:t>
                      </w:r>
                    </w:p>
                  </w:sdtContent>
                </w:sdt>
                <w:sdt>
                  <w:sdtPr>
                    <w:alias w:val="19 pr. 19.3 pp."/>
                    <w:tag w:val="part_9aa5c91edaad40bfbbeebfdbcd55dcb7"/>
                    <w:lock w:val="sdtLocked"/>
                    <w:richText/>
                  </w:sdtPr>
                  <w:sdtContent>
                    <w:p>
                      <w:pPr>
                        <w:ind w:firstLine="993"/>
                        <w:jc w:val="both"/>
                        <w:rPr>
                          <w:rFonts w:eastAsia="Calibri"/>
                          <w:szCs w:val="24"/>
                        </w:rPr>
                      </w:pPr>
                      <w:sdt>
                        <w:sdtPr>
                          <w:alias w:val="Numeris"/>
                          <w:tag w:val="nr_9aa5c91edaad40bfbbeebfdbcd55dcb7"/>
                          <w:lock w:val="sdtLocked"/>
                          <w:richText/>
                        </w:sdtPr>
                        <w:sdtContent>
                          <w:r>
                            <w:rPr>
                              <w:szCs w:val="24"/>
                            </w:rPr>
                            <w:t>19.3</w:t>
                          </w:r>
                        </w:sdtContent>
                      </w:sdt>
                      <w:r>
                        <w:rPr>
                          <w:szCs w:val="24"/>
                        </w:rPr>
                        <w:t>. nuo 1 metų iki vaikui sueis 2 metai – ne daugiau kaip 11 paslaugų.</w:t>
                      </w:r>
                    </w:p>
                  </w:sdtContent>
                </w:sdt>
              </w:sdtContent>
            </w:sdt>
            <w:sdt>
              <w:sdtPr>
                <w:alias w:val="19 pr. 20 p."/>
                <w:tag w:val="part_fa2527604182481ba2e4a007ab0aef04"/>
                <w:lock w:val="sdtLocked"/>
                <w:richText/>
              </w:sdtPr>
              <w:sdtContent>
                <w:p>
                  <w:pPr>
                    <w:ind w:firstLine="993"/>
                    <w:jc w:val="both"/>
                    <w:rPr>
                      <w:szCs w:val="24"/>
                    </w:rPr>
                  </w:pPr>
                  <w:sdt>
                    <w:sdtPr>
                      <w:alias w:val="Numeris"/>
                      <w:tag w:val="nr_fa2527604182481ba2e4a007ab0aef04"/>
                      <w:lock w:val="sdtLocked"/>
                      <w:richText/>
                    </w:sdtPr>
                    <w:sdtContent>
                      <w:r>
                        <w:rPr>
                          <w:szCs w:val="24"/>
                        </w:rPr>
                        <w:t>20</w:t>
                      </w:r>
                    </w:sdtContent>
                  </w:sdt>
                  <w:r>
                    <w:rPr>
                      <w:szCs w:val="24"/>
                    </w:rPr>
                    <w:t>. Šeimų lankymo specialistas apie lankomos pacientės ir (ar) jos vaiko sveikatos būklės pokyčius, dėl kurių jam gali būti reikalingos šeimos gydytojo komandos paslaugos, privalo informuoti pacientės šeimos gydytojo komandą bendradarbiavimo sutartyje nustatyta tvarka ir terminais.</w:t>
                  </w:r>
                </w:p>
              </w:sdtContent>
            </w:sdt>
            <w:sdt>
              <w:sdtPr>
                <w:alias w:val="19 pr. 21 p."/>
                <w:tag w:val="part_c40986617c974f19a1883ee9f0b02b04"/>
                <w:lock w:val="sdtLocked"/>
                <w:richText/>
              </w:sdtPr>
              <w:sdtContent>
                <w:p>
                  <w:pPr>
                    <w:tabs>
                      <w:tab w:val="left" w:pos="1418"/>
                      <w:tab w:val="left" w:pos="1843"/>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93"/>
                    <w:jc w:val="both"/>
                    <w:rPr>
                      <w:b/>
                      <w:bCs/>
                      <w:szCs w:val="24"/>
                    </w:rPr>
                  </w:pPr>
                  <w:sdt>
                    <w:sdtPr>
                      <w:alias w:val="Numeris"/>
                      <w:tag w:val="nr_c40986617c974f19a1883ee9f0b02b04"/>
                      <w:lock w:val="sdtLocked"/>
                      <w:richText/>
                    </w:sdtPr>
                    <w:sdtContent>
                      <w:r>
                        <w:rPr>
                          <w:bCs/>
                          <w:szCs w:val="24"/>
                          <w:lang w:eastAsia="lt-LT"/>
                        </w:rPr>
                        <w:t>21</w:t>
                      </w:r>
                    </w:sdtContent>
                  </w:sdt>
                  <w:r>
                    <w:rPr>
                      <w:bCs/>
                      <w:szCs w:val="24"/>
                      <w:lang w:eastAsia="lt-LT"/>
                    </w:rPr>
                    <w:t>.</w:t>
                    <w:tab/>
                  </w:r>
                  <w:r>
                    <w:rPr>
                      <w:szCs w:val="24"/>
                    </w:rPr>
                    <w:t>Jei šeimų lankymo specialistas pastebi pacientės būklės pokyčių, dėl kurių pacientui gali būti reikalingos psichikos sveikatos specialistų paslaugos, apie tai informuoja paciento šeimos gydytoją. Psichikos sveikatos priežiūros paslaugos organizuojamos teisės aktų nustatyta tvarka.</w:t>
                  </w:r>
                </w:p>
              </w:sdtContent>
            </w:sdt>
            <w:sdt>
              <w:sdtPr>
                <w:alias w:val="19 pr. 22 p."/>
                <w:tag w:val="part_29d39627550441abaab38d1a5bdccbb8"/>
                <w:lock w:val="sdtLocked"/>
                <w:richText/>
              </w:sdtPr>
              <w:sdtContent>
                <w:p>
                  <w:pPr>
                    <w:tabs>
                      <w:tab w:val="left" w:pos="1134"/>
                      <w:tab w:val="left" w:pos="1701"/>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93"/>
                    <w:jc w:val="both"/>
                    <w:rPr>
                      <w:szCs w:val="24"/>
                      <w:lang w:eastAsia="lt-LT"/>
                    </w:rPr>
                  </w:pPr>
                  <w:sdt>
                    <w:sdtPr>
                      <w:alias w:val="Numeris"/>
                      <w:tag w:val="nr_29d39627550441abaab38d1a5bdccbb8"/>
                      <w:lock w:val="sdtLocked"/>
                      <w:richText/>
                    </w:sdtPr>
                    <w:sdtContent>
                      <w:r>
                        <w:rPr>
                          <w:szCs w:val="24"/>
                          <w:lang w:eastAsia="lt-LT"/>
                        </w:rPr>
                        <w:t>22</w:t>
                      </w:r>
                    </w:sdtContent>
                  </w:sdt>
                  <w:r>
                    <w:rPr>
                      <w:szCs w:val="24"/>
                      <w:lang w:eastAsia="lt-LT"/>
                    </w:rPr>
                    <w:t xml:space="preserve">. Jei </w:t>
                  </w:r>
                  <w:r>
                    <w:rPr>
                      <w:szCs w:val="24"/>
                    </w:rPr>
                    <w:t xml:space="preserve">šeimų lankymo specialistas </w:t>
                  </w:r>
                  <w:r>
                    <w:rPr>
                      <w:szCs w:val="24"/>
                      <w:lang w:eastAsia="lt-LT"/>
                    </w:rPr>
                    <w:t xml:space="preserve">apsilankymo paciento namuose metu pastebi arba įtaria smurto artimoje aplinkoje požymius, apie tai informuoja valstybės įgaliotas institucijas teisės aktų nustatyta tvarka. </w:t>
                  </w:r>
                </w:p>
              </w:sdtContent>
            </w:sdt>
            <w:sdt>
              <w:sdtPr>
                <w:alias w:val="19 pr. 23 p."/>
                <w:tag w:val="part_cab1c1a862e84889872def9cab4ae2a7"/>
                <w:lock w:val="sdtLocked"/>
                <w:richText/>
              </w:sdtPr>
              <w:sdtContent>
                <w:p>
                  <w:pPr>
                    <w:tabs>
                      <w:tab w:val="left" w:pos="1134"/>
                      <w:tab w:val="left" w:pos="1701"/>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93"/>
                    <w:jc w:val="both"/>
                    <w:rPr>
                      <w:b/>
                      <w:bCs/>
                      <w:szCs w:val="24"/>
                    </w:rPr>
                  </w:pPr>
                  <w:sdt>
                    <w:sdtPr>
                      <w:alias w:val="Numeris"/>
                      <w:tag w:val="nr_cab1c1a862e84889872def9cab4ae2a7"/>
                      <w:lock w:val="sdtLocked"/>
                      <w:richText/>
                    </w:sdtPr>
                    <w:sdtContent>
                      <w:r>
                        <w:rPr>
                          <w:szCs w:val="24"/>
                          <w:lang w:eastAsia="lt-LT"/>
                        </w:rPr>
                        <w:t>23</w:t>
                      </w:r>
                    </w:sdtContent>
                  </w:sdt>
                  <w:r>
                    <w:rPr>
                      <w:szCs w:val="24"/>
                      <w:lang w:eastAsia="lt-LT"/>
                    </w:rPr>
                    <w:t xml:space="preserve">. Jei </w:t>
                  </w:r>
                  <w:r>
                    <w:rPr>
                      <w:szCs w:val="24"/>
                    </w:rPr>
                    <w:t xml:space="preserve">šeimų lankymo specialistas </w:t>
                  </w:r>
                  <w:r>
                    <w:rPr>
                      <w:szCs w:val="24"/>
                      <w:lang w:eastAsia="lt-LT"/>
                    </w:rPr>
                    <w:t>apsilankymo paciento namuose metu pastebi sveikatos būklės pokyčius, dėl kurių gali kilti skubiosios medicinos pagalbos poreikis, jis pradeda teikti ją pagal savo kompetenciją ir organizuoja greitosios medicinos pagalbos kvietimą arba pacientės (vaiko) transportavimą į skubiosios pagalbos skyrių.</w:t>
                  </w:r>
                </w:p>
              </w:sdtContent>
            </w:sdt>
            <w:sdt>
              <w:sdtPr>
                <w:alias w:val="19 pr. 24 p."/>
                <w:tag w:val="part_4d3e74c11c4e4deb8434b36452341eda"/>
                <w:lock w:val="sdtLocked"/>
                <w:richText/>
              </w:sdtPr>
              <w:sdtContent>
                <w:p>
                  <w:pPr>
                    <w:ind w:firstLine="993"/>
                    <w:jc w:val="both"/>
                    <w:rPr>
                      <w:szCs w:val="24"/>
                    </w:rPr>
                  </w:pPr>
                  <w:sdt>
                    <w:sdtPr>
                      <w:alias w:val="Numeris"/>
                      <w:tag w:val="nr_4d3e74c11c4e4deb8434b36452341eda"/>
                      <w:lock w:val="sdtLocked"/>
                      <w:richText/>
                    </w:sdtPr>
                    <w:sdtContent>
                      <w:r>
                        <w:rPr>
                          <w:szCs w:val="24"/>
                        </w:rPr>
                        <w:t>24</w:t>
                      </w:r>
                    </w:sdtContent>
                  </w:sdt>
                  <w:r>
                    <w:rPr>
                      <w:szCs w:val="24"/>
                    </w:rPr>
                    <w:t xml:space="preserve">.  Suteikus šeimų lankymo paslaugą užpildoma statistinė forma 025/a-LK „Asmens ambulatorinio gydymo statistinė kortelė“, patvirtinta Lietuvos Respublikos sveikatos apsaugos ministro 1998 m. lapkričio 26 d. įsakymu Nr. 687 „Dėl medicininės apskaitos dokumentų formų tvirtinimo“, įrašant informaciją apie suteiktą šeimų lankymo paslaugą į Privalomojo sveikatos draudimo informacinę sistemą SVEIDRA:</w:t>
                  </w:r>
                </w:p>
                <w:sdt>
                  <w:sdtPr>
                    <w:alias w:val="19 pr. 24.1 pp."/>
                    <w:tag w:val="part_801af641253d4f5ebcd7ae1f42485810"/>
                    <w:lock w:val="sdtLocked"/>
                    <w:richText/>
                  </w:sdtPr>
                  <w:sdtContent>
                    <w:p>
                      <w:pPr>
                        <w:ind w:firstLine="993"/>
                        <w:jc w:val="both"/>
                        <w:rPr>
                          <w:szCs w:val="24"/>
                        </w:rPr>
                      </w:pPr>
                      <w:sdt>
                        <w:sdtPr>
                          <w:alias w:val="Numeris"/>
                          <w:tag w:val="nr_801af641253d4f5ebcd7ae1f42485810"/>
                          <w:lock w:val="sdtLocked"/>
                          <w:richText/>
                        </w:sdtPr>
                        <w:sdtContent>
                          <w:r>
                            <w:rPr>
                              <w:szCs w:val="24"/>
                            </w:rPr>
                            <w:t>24.1</w:t>
                          </w:r>
                        </w:sdtContent>
                      </w:sdt>
                      <w:r>
                        <w:rPr>
                          <w:szCs w:val="24"/>
                        </w:rPr>
                        <w:t>. nėštumo metu suteikta paslauga įforminama moteriai;</w:t>
                      </w:r>
                    </w:p>
                  </w:sdtContent>
                </w:sdt>
                <w:sdt>
                  <w:sdtPr>
                    <w:alias w:val="19 pr. 24.2 pp."/>
                    <w:tag w:val="part_88133b9f86cd4549922b7aae19916dcb"/>
                    <w:lock w:val="sdtLocked"/>
                    <w:richText/>
                  </w:sdtPr>
                  <w:sdtContent>
                    <w:p>
                      <w:pPr>
                        <w:ind w:firstLine="993"/>
                        <w:jc w:val="both"/>
                        <w:rPr>
                          <w:b/>
                          <w:bCs/>
                          <w:szCs w:val="24"/>
                        </w:rPr>
                      </w:pPr>
                      <w:sdt>
                        <w:sdtPr>
                          <w:alias w:val="Numeris"/>
                          <w:tag w:val="nr_88133b9f86cd4549922b7aae19916dcb"/>
                          <w:lock w:val="sdtLocked"/>
                          <w:richText/>
                        </w:sdtPr>
                        <w:sdtContent>
                          <w:r>
                            <w:rPr>
                              <w:szCs w:val="24"/>
                            </w:rPr>
                            <w:t>24.2</w:t>
                          </w:r>
                        </w:sdtContent>
                      </w:sdt>
                      <w:r>
                        <w:rPr>
                          <w:szCs w:val="24"/>
                        </w:rPr>
                        <w:t xml:space="preserve">. po gimdymo suteikta paslauga įforminama vaikui. </w:t>
                      </w:r>
                    </w:p>
                  </w:sdtContent>
                </w:sdt>
              </w:sdtContent>
            </w:sdt>
            <w:sdt>
              <w:sdtPr>
                <w:alias w:val="19 pr. 25 p."/>
                <w:tag w:val="part_5b61fc0b7cc6403385520360c83e4fdf"/>
                <w:lock w:val="sdtLocked"/>
                <w:richText/>
              </w:sdtPr>
              <w:sdtContent>
                <w:p>
                  <w:pPr>
                    <w:ind w:firstLine="993"/>
                    <w:jc w:val="both"/>
                    <w:rPr>
                      <w:szCs w:val="24"/>
                    </w:rPr>
                  </w:pPr>
                  <w:sdt>
                    <w:sdtPr>
                      <w:alias w:val="Numeris"/>
                      <w:tag w:val="nr_5b61fc0b7cc6403385520360c83e4fdf"/>
                      <w:lock w:val="sdtLocked"/>
                      <w:richText/>
                    </w:sdtPr>
                    <w:sdtContent>
                      <w:r>
                        <w:rPr>
                          <w:szCs w:val="24"/>
                        </w:rPr>
                        <w:t>25</w:t>
                      </w:r>
                    </w:sdtContent>
                  </w:sdt>
                  <w:r>
                    <w:rPr>
                      <w:szCs w:val="24"/>
                    </w:rPr>
                    <w:t xml:space="preserve">. Paciento medicinos dokumentai, susiję su šeimų lankymo paslaugų teikimu, tvarkomi ESPBI IS, vadovaujantis Elektroninės sveikatos paslaugų ir bendradarbiavimo infrastruktūros informacinės sistemos naudojimo tvarkos aprašu, patvirtintu Lietuvos Respublikos sveikatos apsaugos ministro 2015 m. gegužės 26 d. įsakymu Nr. V-657 „Dėl Elektroninės sveikatos paslaugų ir bendradarbiavimo infrastruktūros informacinės sistemos naudojimo tvarkos aprašo patvirtinimo“. Informacija apie šeimų lankymo paslaugas, suteiktas gimus vaikui, pildoma vaiko ir (ar) motinos asmens sveikatos istorijoje (forma Nr. 025), priklausomai nuo suteiktos paslaugos turinio (pvz., jeigu daugiausia veiksmų paslaugos teikimo metu buvo atlikti motinai, jos medicinos dokumentuose detaliai aprašomi atlikti veiksmai, o vaiko medicinos dokumentuose atžymimas šeimų lankymo paslaugos teikimo faktas). Formos, klausimynai, anketos, skalės, kurios nėra tvarkomos ESPBI IS, pildomos ir saugomos ASPĮ vadovo nustatyta tvarka. </w:t>
                  </w:r>
                </w:p>
              </w:sdtContent>
            </w:sdt>
            <w:sdt>
              <w:sdtPr>
                <w:alias w:val="19 pr. 26 p."/>
                <w:tag w:val="part_df286558bb2347cea7b772f469e45154"/>
                <w:lock w:val="sdtLocked"/>
                <w:richText/>
              </w:sdtPr>
              <w:sdtContent>
                <w:p>
                  <w:pPr>
                    <w:tabs>
                      <w:tab w:val="left" w:pos="141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93"/>
                    <w:jc w:val="both"/>
                    <w:rPr>
                      <w:b/>
                      <w:bCs/>
                      <w:szCs w:val="24"/>
                    </w:rPr>
                  </w:pPr>
                  <w:sdt>
                    <w:sdtPr>
                      <w:alias w:val="Numeris"/>
                      <w:tag w:val="nr_df286558bb2347cea7b772f469e45154"/>
                      <w:lock w:val="sdtLocked"/>
                      <w:richText/>
                    </w:sdtPr>
                    <w:sdtContent>
                      <w:r>
                        <w:rPr>
                          <w:bCs/>
                          <w:szCs w:val="24"/>
                          <w:lang w:eastAsia="lt-LT"/>
                        </w:rPr>
                        <w:t>26</w:t>
                      </w:r>
                    </w:sdtContent>
                  </w:sdt>
                  <w:r>
                    <w:rPr>
                      <w:bCs/>
                      <w:szCs w:val="24"/>
                      <w:lang w:eastAsia="lt-LT"/>
                    </w:rPr>
                    <w:t>.</w:t>
                    <w:tab/>
                  </w:r>
                  <w:r>
                    <w:rPr>
                      <w:szCs w:val="24"/>
                    </w:rPr>
                    <w:t>Medicininės atliekos, susidarančios teikiant šeimų lankymo paslaugas, tvarkomos vadovaujantis Lietuvos Respublikos higienos norma HN 66:2013 „Medicininių atliekų tvarkymo saugos reikalavimai“, patvirtinta Lietuvos Respublikos sveikatos apsaugos ministro 2013 m. liepos 18 d. įsakymu Nr. V-706 „Dėl Lietuvos higienos normos HN 66:2013 „Medicininių atliekų tvarkymo saugos reikalavimai“ patvirtinimo“.</w:t>
                  </w:r>
                </w:p>
              </w:sdtContent>
            </w:sdt>
          </w:sdtContent>
        </w:sdt>
        <w:sdt>
          <w:sdtPr>
            <w:alias w:val="pabaiga"/>
            <w:tag w:val="part_abcb2f6c27574647a091c77ed13af140"/>
            <w:lock w:val="sdtLocked"/>
            <w:richText/>
          </w:sdtPr>
          <w:sdtContent>
            <w:p>
              <w:pPr>
                <w:tabs>
                  <w:tab w:val="left" w:pos="1276"/>
                </w:tabs>
                <w:jc w:val="center"/>
              </w:pPr>
              <w:r>
                <w:rPr>
                  <w:szCs w:val="24"/>
                </w:rPr>
                <w:t>_______________________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742710121811efbcbfb318996800a8">
            <w:r w:rsidRPr="00532B9F">
              <w:rPr>
                <w:rFonts w:ascii="Times New Roman" w:eastAsia="MS Mincho" w:hAnsi="Times New Roman"/>
                <w:sz w:val="20"/>
                <w:i/>
                <w:iCs/>
                <w:color w:val="0000FF" w:themeColor="hyperlink"/>
                <w:u w:val="single"/>
              </w:rPr>
              <w:t>V-530</w:t>
            </w:r>
          </w:fldSimple>
          <w:r>
            <w:rPr>
              <w:rFonts w:ascii="Times New Roman" w:eastAsia="MS Mincho" w:hAnsi="Times New Roman"/>
              <w:sz w:val="20"/>
              <w:i/>
              <w:iCs/>
            </w:rPr>
            <w:t>,
2024-05-13,
paskelbta TAR 2024-05-15, i. k. 2024-08858        </w:t>
          </w:r>
        </w:p>
        <w:p/>
        <w:p/>
        <w:p/>
        <w:p/>
        <w:p>
          <w:pPr>
            <w:pStyle w:val="PlainText"/>
            <w:rPr>
              <w:rFonts w:ascii="Times New Roman" w:eastAsia="MS Mincho" w:hAnsi="Times New Roman"/>
              <w:sz w:val="20"/>
              <w:b/>
              <w:iCs/>
            </w:rPr>
          </w:pPr>
          <w:r>
            <w:rPr>
              <w:rFonts w:ascii="Times New Roman" w:eastAsia="MS Mincho" w:hAnsi="Times New Roman"/>
              <w:sz w:val="20"/>
              <w:b/>
              <w:iCs/>
            </w:rPr>
            <w:t>Priedų pakeitimai:</w:t>
          </w:r>
        </w:p>
        <w:p/>
        <w:p>
          <w:pPr>
            <w:pStyle w:val="PlainText"/>
            <w:rPr>
              <w:rFonts w:ascii="Times New Roman" w:eastAsia="MS Mincho" w:hAnsi="Times New Roman"/>
              <w:sz w:val="20"/>
              <w:iCs/>
            </w:rPr>
          </w:pPr>
          <w:r>
            <w:rPr>
              <w:rFonts w:ascii="Times New Roman" w:eastAsia="MS Mincho" w:hAnsi="Times New Roman"/>
              <w:sz w:val="20"/>
              <w:iCs/>
            </w:rPr>
            <w:t>19 priedo 1 priedas (V-530)</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742710121811efbcbfb318996800a8">
            <w:r w:rsidRPr="00532B9F">
              <w:rPr>
                <w:rFonts w:ascii="Times New Roman" w:eastAsia="MS Mincho" w:hAnsi="Times New Roman"/>
                <w:sz w:val="20"/>
                <w:i/>
                <w:iCs/>
                <w:color w:val="0000FF" w:themeColor="hyperlink"/>
                <w:u w:val="single"/>
              </w:rPr>
              <w:t>V-530</w:t>
            </w:r>
          </w:fldSimple>
          <w:r>
            <w:rPr>
              <w:rFonts w:ascii="Times New Roman" w:eastAsia="MS Mincho" w:hAnsi="Times New Roman"/>
              <w:sz w:val="20"/>
              <w:i/>
              <w:iCs/>
            </w:rPr>
            <w:t>,
2024-05-13,
paskelbta TAR 2024-05-15, i. k. 2024-08858        </w:t>
          </w:r>
        </w:p>
        <w:p/>
        <w:p>
          <w:pPr>
            <w:pStyle w:val="PlainText"/>
            <w:rPr>
              <w:rFonts w:ascii="Times New Roman" w:eastAsia="MS Mincho" w:hAnsi="Times New Roman"/>
              <w:sz w:val="20"/>
              <w:iCs/>
            </w:rPr>
          </w:pPr>
          <w:r>
            <w:rPr>
              <w:rFonts w:ascii="Times New Roman" w:eastAsia="MS Mincho" w:hAnsi="Times New Roman"/>
              <w:sz w:val="20"/>
              <w:iCs/>
            </w:rPr>
            <w:t>19 priedo 2 priedas (V-530) </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742710121811efbcbfb318996800a8">
            <w:r w:rsidRPr="00532B9F">
              <w:rPr>
                <w:rFonts w:ascii="Times New Roman" w:eastAsia="MS Mincho" w:hAnsi="Times New Roman"/>
                <w:sz w:val="20"/>
                <w:i/>
                <w:iCs/>
                <w:color w:val="0000FF" w:themeColor="hyperlink"/>
                <w:u w:val="single"/>
              </w:rPr>
              <w:t>V-530</w:t>
            </w:r>
          </w:fldSimple>
          <w:r>
            <w:rPr>
              <w:rFonts w:ascii="Times New Roman" w:eastAsia="MS Mincho" w:hAnsi="Times New Roman"/>
              <w:sz w:val="20"/>
              <w:i/>
              <w:iCs/>
            </w:rPr>
            <w:t>,
2024-05-13,
paskelbta TAR 2024-05-15, i. k. 2024-08858        </w:t>
          </w:r>
        </w:p>
        <w:p/>
        <w:p>
          <w:pPr>
            <w:pStyle w:val="PlainText"/>
            <w:rPr>
              <w:rFonts w:ascii="Times New Roman" w:eastAsia="MS Mincho" w:hAnsi="Times New Roman"/>
              <w:sz w:val="20"/>
              <w:iCs/>
            </w:rPr>
          </w:pPr>
          <w:r>
            <w:rPr>
              <w:rFonts w:ascii="Times New Roman" w:eastAsia="MS Mincho" w:hAnsi="Times New Roman"/>
              <w:sz w:val="20"/>
              <w:iCs/>
            </w:rPr>
            <w:t>19 priedo 3 priedas (V-530) </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742710121811efbcbfb318996800a8">
            <w:r w:rsidRPr="00532B9F">
              <w:rPr>
                <w:rFonts w:ascii="Times New Roman" w:eastAsia="MS Mincho" w:hAnsi="Times New Roman"/>
                <w:sz w:val="20"/>
                <w:i/>
                <w:iCs/>
                <w:color w:val="0000FF" w:themeColor="hyperlink"/>
                <w:u w:val="single"/>
              </w:rPr>
              <w:t>V-530</w:t>
            </w:r>
          </w:fldSimple>
          <w:r>
            <w:rPr>
              <w:rFonts w:ascii="Times New Roman" w:eastAsia="MS Mincho" w:hAnsi="Times New Roman"/>
              <w:sz w:val="20"/>
              <w:i/>
              <w:iCs/>
            </w:rPr>
            <w:t>,
2024-05-13,
paskelbta TAR 2024-05-15, i. k. 2024-08858        </w:t>
          </w:r>
        </w:p>
        <w:p/>
        <w:p>
          <w:pPr>
            <w:pStyle w:val="PlainText"/>
            <w:rPr>
              <w:rFonts w:ascii="Times New Roman" w:eastAsia="MS Mincho" w:hAnsi="Times New Roman"/>
              <w:sz w:val="20"/>
              <w:iCs/>
            </w:rPr>
          </w:pPr>
          <w:r>
            <w:rPr>
              <w:rFonts w:ascii="Times New Roman" w:eastAsia="MS Mincho" w:hAnsi="Times New Roman"/>
              <w:sz w:val="20"/>
              <w:iCs/>
            </w:rPr>
            <w:t>19 priedo 4 priedas (V-530) </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742710121811efbcbfb318996800a8">
            <w:r w:rsidRPr="00532B9F">
              <w:rPr>
                <w:rFonts w:ascii="Times New Roman" w:eastAsia="MS Mincho" w:hAnsi="Times New Roman"/>
                <w:sz w:val="20"/>
                <w:i/>
                <w:iCs/>
                <w:color w:val="0000FF" w:themeColor="hyperlink"/>
                <w:u w:val="single"/>
              </w:rPr>
              <w:t>V-530</w:t>
            </w:r>
          </w:fldSimple>
          <w:r>
            <w:rPr>
              <w:rFonts w:ascii="Times New Roman" w:eastAsia="MS Mincho" w:hAnsi="Times New Roman"/>
              <w:sz w:val="20"/>
              <w:i/>
              <w:iCs/>
            </w:rPr>
            <w:t>,
2024-05-13,
paskelbta TAR 2024-05-15, i. k. 2024-08858        </w:t>
          </w:r>
        </w:p>
        <w:p/>
        <w:p>
          <w:pPr>
            <w:pStyle w:val="PlainText"/>
            <w:rPr>
              <w:rFonts w:ascii="Times New Roman" w:eastAsia="MS Mincho" w:hAnsi="Times New Roman"/>
              <w:sz w:val="20"/>
              <w:iCs/>
            </w:rPr>
          </w:pPr>
          <w:r>
            <w:rPr>
              <w:rFonts w:ascii="Times New Roman" w:eastAsia="MS Mincho" w:hAnsi="Times New Roman"/>
              <w:sz w:val="20"/>
              <w:iCs/>
            </w:rPr>
            <w:t>19 priedo 5 priedas (V-530) </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742710121811efbcbfb318996800a8">
            <w:r w:rsidRPr="00532B9F">
              <w:rPr>
                <w:rFonts w:ascii="Times New Roman" w:eastAsia="MS Mincho" w:hAnsi="Times New Roman"/>
                <w:sz w:val="20"/>
                <w:i/>
                <w:iCs/>
                <w:color w:val="0000FF" w:themeColor="hyperlink"/>
                <w:u w:val="single"/>
              </w:rPr>
              <w:t>V-530</w:t>
            </w:r>
          </w:fldSimple>
          <w:r>
            <w:rPr>
              <w:rFonts w:ascii="Times New Roman" w:eastAsia="MS Mincho" w:hAnsi="Times New Roman"/>
              <w:sz w:val="20"/>
              <w:i/>
              <w:iCs/>
            </w:rPr>
            <w:t>,
2024-05-13,
paskelbta TAR 2024-05-15, i. k. 2024-08858        </w:t>
          </w:r>
        </w:p>
        <w:p/>
        <w:p>
          <w:pPr>
            <w:pStyle w:val="PlainText"/>
            <w:rPr>
              <w:rFonts w:ascii="Times New Roman" w:eastAsia="MS Mincho" w:hAnsi="Times New Roman"/>
              <w:sz w:val="20"/>
              <w:iCs/>
            </w:rPr>
          </w:pPr>
          <w:r>
            <w:rPr>
              <w:rFonts w:ascii="Times New Roman" w:eastAsia="MS Mincho" w:hAnsi="Times New Roman"/>
              <w:sz w:val="20"/>
              <w:iCs/>
            </w:rPr>
            <w:t>19 priedo 6 priedas (V-530) </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742710121811efbcbfb318996800a8">
            <w:r w:rsidRPr="00532B9F">
              <w:rPr>
                <w:rFonts w:ascii="Times New Roman" w:eastAsia="MS Mincho" w:hAnsi="Times New Roman"/>
                <w:sz w:val="20"/>
                <w:i/>
                <w:iCs/>
                <w:color w:val="0000FF" w:themeColor="hyperlink"/>
                <w:u w:val="single"/>
              </w:rPr>
              <w:t>V-530</w:t>
            </w:r>
          </w:fldSimple>
          <w:r>
            <w:rPr>
              <w:rFonts w:ascii="Times New Roman" w:eastAsia="MS Mincho" w:hAnsi="Times New Roman"/>
              <w:sz w:val="20"/>
              <w:i/>
              <w:iCs/>
            </w:rPr>
            <w:t>,
2024-05-13,
paskelbta TAR 2024-05-15, i. k. 2024-08858        </w:t>
          </w:r>
        </w:p>
        <w:p/>
        <w:p>
          <w:pPr>
            <w:pStyle w:val="PlainText"/>
            <w:rPr>
              <w:rFonts w:ascii="Times New Roman" w:eastAsia="MS Mincho" w:hAnsi="Times New Roman"/>
              <w:sz w:val="20"/>
              <w:iCs/>
            </w:rPr>
          </w:pPr>
          <w:r>
            <w:rPr>
              <w:rFonts w:ascii="Times New Roman" w:eastAsia="MS Mincho" w:hAnsi="Times New Roman"/>
              <w:sz w:val="20"/>
              <w:iCs/>
            </w:rPr>
            <w:t>19 priedo 7 priedas (V-530)</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742710121811efbcbfb318996800a8">
            <w:r w:rsidRPr="00532B9F">
              <w:rPr>
                <w:rFonts w:ascii="Times New Roman" w:eastAsia="MS Mincho" w:hAnsi="Times New Roman"/>
                <w:sz w:val="20"/>
                <w:i/>
                <w:iCs/>
                <w:color w:val="0000FF" w:themeColor="hyperlink"/>
                <w:u w:val="single"/>
              </w:rPr>
              <w:t>V-530</w:t>
            </w:r>
          </w:fldSimple>
          <w:r>
            <w:rPr>
              <w:rFonts w:ascii="Times New Roman" w:eastAsia="MS Mincho" w:hAnsi="Times New Roman"/>
              <w:sz w:val="20"/>
              <w:i/>
              <w:iCs/>
            </w:rPr>
            <w:t>,
2024-05-13,
paskelbta TAR 2024-05-15, i. k. 2024-08858        </w:t>
          </w:r>
        </w:p>
        <w:p/>
        <w:p>
          <w:pPr>
            <w:pStyle w:val="PlainText"/>
            <w:rPr>
              <w:rFonts w:ascii="Times New Roman" w:eastAsia="MS Mincho" w:hAnsi="Times New Roman"/>
              <w:sz w:val="20"/>
              <w:iCs/>
            </w:rPr>
          </w:pPr>
          <w:r>
            <w:rPr>
              <w:rFonts w:ascii="Times New Roman" w:eastAsia="MS Mincho" w:hAnsi="Times New Roman"/>
              <w:sz w:val="20"/>
              <w:iCs/>
            </w:rPr>
            <w:t>19 priedo 8 priedas (V-530)</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742710121811efbcbfb318996800a8">
            <w:r w:rsidRPr="00532B9F">
              <w:rPr>
                <w:rFonts w:ascii="Times New Roman" w:eastAsia="MS Mincho" w:hAnsi="Times New Roman"/>
                <w:sz w:val="20"/>
                <w:i/>
                <w:iCs/>
                <w:color w:val="0000FF" w:themeColor="hyperlink"/>
                <w:u w:val="single"/>
              </w:rPr>
              <w:t>V-530</w:t>
            </w:r>
          </w:fldSimple>
          <w:r>
            <w:rPr>
              <w:rFonts w:ascii="Times New Roman" w:eastAsia="MS Mincho" w:hAnsi="Times New Roman"/>
              <w:sz w:val="20"/>
              <w:i/>
              <w:iCs/>
            </w:rPr>
            <w:t>,
2024-05-13,
paskelbta TAR 2024-05-15, i. k. 2024-08858        </w:t>
          </w:r>
        </w:p>
        <w:p/>
        <w:p>
          <w:pPr>
            <w:pStyle w:val="PlainText"/>
            <w:rPr>
              <w:rFonts w:ascii="Times New Roman" w:eastAsia="MS Mincho" w:hAnsi="Times New Roman"/>
              <w:sz w:val="20"/>
              <w:iCs/>
            </w:rPr>
          </w:pPr>
          <w:r>
            <w:rPr>
              <w:rFonts w:ascii="Times New Roman" w:eastAsia="MS Mincho" w:hAnsi="Times New Roman"/>
              <w:sz w:val="20"/>
              <w:iCs/>
            </w:rPr>
            <w:t>19 priedo 9 priedas (V-530)</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742710121811efbcbfb318996800a8">
            <w:r w:rsidRPr="00532B9F">
              <w:rPr>
                <w:rFonts w:ascii="Times New Roman" w:eastAsia="MS Mincho" w:hAnsi="Times New Roman"/>
                <w:sz w:val="20"/>
                <w:i/>
                <w:iCs/>
                <w:color w:val="0000FF" w:themeColor="hyperlink"/>
                <w:u w:val="single"/>
              </w:rPr>
              <w:t>V-530</w:t>
            </w:r>
          </w:fldSimple>
          <w:r>
            <w:rPr>
              <w:rFonts w:ascii="Times New Roman" w:eastAsia="MS Mincho" w:hAnsi="Times New Roman"/>
              <w:sz w:val="20"/>
              <w:i/>
              <w:iCs/>
            </w:rPr>
            <w:t>,
2024-05-13,
paskelbta TAR 2024-05-15, i. k. 2024-08858        </w:t>
          </w:r>
        </w:p>
        <w:p/>
        <w:p>
          <w:pPr>
            <w:pStyle w:val="PlainText"/>
            <w:rPr>
              <w:rFonts w:ascii="Times New Roman" w:eastAsia="MS Mincho" w:hAnsi="Times New Roman"/>
              <w:sz w:val="20"/>
              <w:iCs/>
            </w:rPr>
          </w:pPr>
          <w:r>
            <w:rPr>
              <w:rFonts w:ascii="Times New Roman" w:eastAsia="MS Mincho" w:hAnsi="Times New Roman"/>
              <w:sz w:val="20"/>
              <w:iCs/>
            </w:rPr>
            <w:t>19 priedo 10 priedas (V-530)</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742710121811efbcbfb318996800a8">
            <w:r w:rsidRPr="00532B9F">
              <w:rPr>
                <w:rFonts w:ascii="Times New Roman" w:eastAsia="MS Mincho" w:hAnsi="Times New Roman"/>
                <w:sz w:val="20"/>
                <w:i/>
                <w:iCs/>
                <w:color w:val="0000FF" w:themeColor="hyperlink"/>
                <w:u w:val="single"/>
              </w:rPr>
              <w:t>V-530</w:t>
            </w:r>
          </w:fldSimple>
          <w:r>
            <w:rPr>
              <w:rFonts w:ascii="Times New Roman" w:eastAsia="MS Mincho" w:hAnsi="Times New Roman"/>
              <w:sz w:val="20"/>
              <w:i/>
              <w:iCs/>
            </w:rPr>
            <w:t>,
2024-05-13,
paskelbta TAR 2024-05-15, i. k. 2024-08858        </w:t>
          </w:r>
        </w:p>
        <w:p/>
        <w:p>
          <w:pPr>
            <w:pStyle w:val="PlainText"/>
            <w:rPr>
              <w:rFonts w:ascii="Times New Roman" w:eastAsia="MS Mincho" w:hAnsi="Times New Roman"/>
              <w:sz w:val="20"/>
              <w:iCs/>
            </w:rPr>
          </w:pPr>
          <w:r>
            <w:rPr>
              <w:rFonts w:ascii="Times New Roman" w:eastAsia="MS Mincho" w:hAnsi="Times New Roman"/>
              <w:sz w:val="20"/>
              <w:iCs/>
            </w:rPr>
            <w:t>19 priedo 11 priedas (V-530)</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742710121811efbcbfb318996800a8">
            <w:r w:rsidRPr="00532B9F">
              <w:rPr>
                <w:rFonts w:ascii="Times New Roman" w:eastAsia="MS Mincho" w:hAnsi="Times New Roman"/>
                <w:sz w:val="20"/>
                <w:i/>
                <w:iCs/>
                <w:color w:val="0000FF" w:themeColor="hyperlink"/>
                <w:u w:val="single"/>
              </w:rPr>
              <w:t>V-530</w:t>
            </w:r>
          </w:fldSimple>
          <w:r>
            <w:rPr>
              <w:rFonts w:ascii="Times New Roman" w:eastAsia="MS Mincho" w:hAnsi="Times New Roman"/>
              <w:sz w:val="20"/>
              <w:i/>
              <w:iCs/>
            </w:rPr>
            <w:t>,
2024-05-13,
paskelbta TAR 2024-05-15, i. k. 2024-08858        </w:t>
          </w:r>
        </w:p>
        <w:p/>
        <w:p>
          <w:pPr>
            <w:pStyle w:val="PlainText"/>
            <w:rPr>
              <w:rFonts w:ascii="Times New Roman" w:eastAsia="MS Mincho" w:hAnsi="Times New Roman"/>
              <w:sz w:val="20"/>
              <w:iCs/>
            </w:rPr>
          </w:pPr>
          <w:r>
            <w:rPr>
              <w:rFonts w:ascii="Times New Roman" w:eastAsia="MS Mincho" w:hAnsi="Times New Roman"/>
              <w:sz w:val="20"/>
              <w:iCs/>
            </w:rPr>
            <w:t>19 priedo 12 priedas (V-530)</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742710121811efbcbfb318996800a8">
            <w:r w:rsidRPr="00532B9F">
              <w:rPr>
                <w:rFonts w:ascii="Times New Roman" w:eastAsia="MS Mincho" w:hAnsi="Times New Roman"/>
                <w:sz w:val="20"/>
                <w:i/>
                <w:iCs/>
                <w:color w:val="0000FF" w:themeColor="hyperlink"/>
                <w:u w:val="single"/>
              </w:rPr>
              <w:t>V-530</w:t>
            </w:r>
          </w:fldSimple>
          <w:r>
            <w:rPr>
              <w:rFonts w:ascii="Times New Roman" w:eastAsia="MS Mincho" w:hAnsi="Times New Roman"/>
              <w:sz w:val="20"/>
              <w:i/>
              <w:iCs/>
            </w:rPr>
            <w:t>,
2024-05-13,
paskelbta TAR 2024-05-15, i. k. 2024-08858        </w:t>
          </w:r>
        </w:p>
        <w:p/>
        <w:p>
          <w:pPr>
            <w:pStyle w:val="PlainText"/>
            <w:rPr>
              <w:rFonts w:ascii="Times New Roman" w:eastAsia="MS Mincho" w:hAnsi="Times New Roman"/>
              <w:sz w:val="20"/>
              <w:iCs/>
            </w:rPr>
          </w:pPr>
          <w:r>
            <w:rPr>
              <w:rFonts w:ascii="Times New Roman" w:eastAsia="MS Mincho" w:hAnsi="Times New Roman"/>
              <w:sz w:val="20"/>
              <w:iCs/>
            </w:rPr>
            <w:t>19 priedo 13 priedas (V-530)</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742710121811efbcbfb318996800a8">
            <w:r w:rsidRPr="00532B9F">
              <w:rPr>
                <w:rFonts w:ascii="Times New Roman" w:eastAsia="MS Mincho" w:hAnsi="Times New Roman"/>
                <w:sz w:val="20"/>
                <w:i/>
                <w:iCs/>
                <w:color w:val="0000FF" w:themeColor="hyperlink"/>
                <w:u w:val="single"/>
              </w:rPr>
              <w:t>V-530</w:t>
            </w:r>
          </w:fldSimple>
          <w:r>
            <w:rPr>
              <w:rFonts w:ascii="Times New Roman" w:eastAsia="MS Mincho" w:hAnsi="Times New Roman"/>
              <w:sz w:val="20"/>
              <w:i/>
              <w:iCs/>
            </w:rPr>
            <w:t>,
2024-05-13,
paskelbta TAR 2024-05-15, i. k. 2024-08858        </w:t>
          </w:r>
        </w:p>
        <w:p/>
        <w:p>
          <w:pPr>
            <w:pStyle w:val="PlainText"/>
            <w:rPr>
              <w:rFonts w:ascii="Times New Roman" w:eastAsia="MS Mincho" w:hAnsi="Times New Roman"/>
              <w:sz w:val="20"/>
              <w:iCs/>
            </w:rPr>
          </w:pPr>
          <w:r>
            <w:rPr>
              <w:rFonts w:ascii="Times New Roman" w:eastAsia="MS Mincho" w:hAnsi="Times New Roman"/>
              <w:sz w:val="20"/>
              <w:iCs/>
            </w:rPr>
            <w:t>19 priedo 14 priedas (V-530)</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742710121811efbcbfb318996800a8">
            <w:r w:rsidRPr="00532B9F">
              <w:rPr>
                <w:rFonts w:ascii="Times New Roman" w:eastAsia="MS Mincho" w:hAnsi="Times New Roman"/>
                <w:sz w:val="20"/>
                <w:i/>
                <w:iCs/>
                <w:color w:val="0000FF" w:themeColor="hyperlink"/>
                <w:u w:val="single"/>
              </w:rPr>
              <w:t>V-530</w:t>
            </w:r>
          </w:fldSimple>
          <w:r>
            <w:rPr>
              <w:rFonts w:ascii="Times New Roman" w:eastAsia="MS Mincho" w:hAnsi="Times New Roman"/>
              <w:sz w:val="20"/>
              <w:i/>
              <w:iCs/>
            </w:rPr>
            <w:t>,
2024-05-13,
paskelbta TAR 2024-05-15, i. k. 2024-08858        </w:t>
          </w:r>
        </w:p>
        <w:p/>
        <w:p>
          <w:pPr>
            <w:pStyle w:val="PlainText"/>
            <w:rPr>
              <w:rFonts w:ascii="Times New Roman" w:eastAsia="MS Mincho" w:hAnsi="Times New Roman"/>
              <w:sz w:val="20"/>
              <w:iCs/>
            </w:rPr>
          </w:pPr>
          <w:r>
            <w:rPr>
              <w:rFonts w:ascii="Times New Roman" w:eastAsia="MS Mincho" w:hAnsi="Times New Roman"/>
              <w:sz w:val="20"/>
              <w:iCs/>
            </w:rPr>
            <w:t>19 priedo 15 priedas (V-530)</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742710121811efbcbfb318996800a8">
            <w:r w:rsidRPr="00532B9F">
              <w:rPr>
                <w:rFonts w:ascii="Times New Roman" w:eastAsia="MS Mincho" w:hAnsi="Times New Roman"/>
                <w:sz w:val="20"/>
                <w:i/>
                <w:iCs/>
                <w:color w:val="0000FF" w:themeColor="hyperlink"/>
                <w:u w:val="single"/>
              </w:rPr>
              <w:t>V-530</w:t>
            </w:r>
          </w:fldSimple>
          <w:r>
            <w:rPr>
              <w:rFonts w:ascii="Times New Roman" w:eastAsia="MS Mincho" w:hAnsi="Times New Roman"/>
              <w:sz w:val="20"/>
              <w:i/>
              <w:iCs/>
            </w:rPr>
            <w:t>,
2024-05-13,
paskelbta TAR 2024-05-15, i. k. 2024-08858        </w:t>
          </w:r>
        </w:p>
        <w:p/>
        <w:p>
          <w:pPr>
            <w:pStyle w:val="PlainText"/>
            <w:rPr>
              <w:rFonts w:ascii="Times New Roman" w:eastAsia="MS Mincho" w:hAnsi="Times New Roman"/>
              <w:sz w:val="20"/>
              <w:iCs/>
            </w:rPr>
          </w:pPr>
          <w:r>
            <w:rPr>
              <w:rFonts w:ascii="Times New Roman" w:eastAsia="MS Mincho" w:hAnsi="Times New Roman"/>
              <w:sz w:val="20"/>
              <w:iCs/>
            </w:rPr>
            <w:t>19 priedo 16 priedas (V-530)</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742710121811efbcbfb318996800a8">
            <w:r w:rsidRPr="00532B9F">
              <w:rPr>
                <w:rFonts w:ascii="Times New Roman" w:eastAsia="MS Mincho" w:hAnsi="Times New Roman"/>
                <w:sz w:val="20"/>
                <w:i/>
                <w:iCs/>
                <w:color w:val="0000FF" w:themeColor="hyperlink"/>
                <w:u w:val="single"/>
              </w:rPr>
              <w:t>V-530</w:t>
            </w:r>
          </w:fldSimple>
          <w:r>
            <w:rPr>
              <w:rFonts w:ascii="Times New Roman" w:eastAsia="MS Mincho" w:hAnsi="Times New Roman"/>
              <w:sz w:val="20"/>
              <w:i/>
              <w:iCs/>
            </w:rPr>
            <w:t>,
2024-05-13,
paskelbta TAR 2024-05-15, i. k. 2024-08858        </w:t>
          </w:r>
        </w:p>
        <w:p/>
        <w:p>
          <w:pPr>
            <w:pStyle w:val="PlainText"/>
            <w:rPr>
              <w:rFonts w:ascii="Times New Roman" w:eastAsia="MS Mincho" w:hAnsi="Times New Roman"/>
              <w:sz w:val="20"/>
              <w:iCs/>
            </w:rPr>
          </w:pPr>
          <w:r>
            <w:rPr>
              <w:rFonts w:ascii="Times New Roman" w:eastAsia="MS Mincho" w:hAnsi="Times New Roman"/>
              <w:sz w:val="20"/>
              <w:iCs/>
            </w:rPr>
            <w:t>19 priedo 17 priedas (V-530)</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742710121811efbcbfb318996800a8">
            <w:r w:rsidRPr="00532B9F">
              <w:rPr>
                <w:rFonts w:ascii="Times New Roman" w:eastAsia="MS Mincho" w:hAnsi="Times New Roman"/>
                <w:sz w:val="20"/>
                <w:i/>
                <w:iCs/>
                <w:color w:val="0000FF" w:themeColor="hyperlink"/>
                <w:u w:val="single"/>
              </w:rPr>
              <w:t>V-530</w:t>
            </w:r>
          </w:fldSimple>
          <w:r>
            <w:rPr>
              <w:rFonts w:ascii="Times New Roman" w:eastAsia="MS Mincho" w:hAnsi="Times New Roman"/>
              <w:sz w:val="20"/>
              <w:i/>
              <w:iCs/>
            </w:rPr>
            <w:t>,
2024-05-13,
paskelbta TAR 2024-05-15, i. k. 2024-08858        </w:t>
          </w:r>
        </w:p>
        <w:p/>
        <w:p>
          <w:pPr>
            <w:pStyle w:val="PlainText"/>
            <w:rPr>
              <w:rFonts w:ascii="Times New Roman" w:eastAsia="MS Mincho" w:hAnsi="Times New Roman"/>
              <w:sz w:val="20"/>
              <w:iCs/>
            </w:rPr>
          </w:pPr>
          <w:r>
            <w:rPr>
              <w:rFonts w:ascii="Times New Roman" w:eastAsia="MS Mincho" w:hAnsi="Times New Roman"/>
              <w:sz w:val="20"/>
              <w:iCs/>
            </w:rPr>
            <w:t>19 priedo 18 priedas (V-530)</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742710121811efbcbfb318996800a8">
            <w:r w:rsidRPr="00532B9F">
              <w:rPr>
                <w:rFonts w:ascii="Times New Roman" w:eastAsia="MS Mincho" w:hAnsi="Times New Roman"/>
                <w:sz w:val="20"/>
                <w:i/>
                <w:iCs/>
                <w:color w:val="0000FF" w:themeColor="hyperlink"/>
                <w:u w:val="single"/>
              </w:rPr>
              <w:t>V-530</w:t>
            </w:r>
          </w:fldSimple>
          <w:r>
            <w:rPr>
              <w:rFonts w:ascii="Times New Roman" w:eastAsia="MS Mincho" w:hAnsi="Times New Roman"/>
              <w:sz w:val="20"/>
              <w:i/>
              <w:iCs/>
            </w:rPr>
            <w:t>,
2024-05-13,
paskelbta TAR 2024-05-15, i. k. 2024-08858        </w:t>
          </w:r>
        </w:p>
        <w:p/>
        <w:p>
          <w:pPr>
            <w:pStyle w:val="PlainText"/>
            <w:rPr>
              <w:rFonts w:ascii="Times New Roman" w:eastAsia="MS Mincho" w:hAnsi="Times New Roman"/>
              <w:sz w:val="20"/>
              <w:iCs/>
            </w:rPr>
          </w:pPr>
          <w:r>
            <w:rPr>
              <w:rFonts w:ascii="Times New Roman" w:eastAsia="MS Mincho" w:hAnsi="Times New Roman"/>
              <w:sz w:val="20"/>
              <w:iCs/>
            </w:rPr>
            <w:t>19 priedo 19 priedas (V-530)</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742710121811efbcbfb318996800a8">
            <w:r w:rsidRPr="00532B9F">
              <w:rPr>
                <w:rFonts w:ascii="Times New Roman" w:eastAsia="MS Mincho" w:hAnsi="Times New Roman"/>
                <w:sz w:val="20"/>
                <w:i/>
                <w:iCs/>
                <w:color w:val="0000FF" w:themeColor="hyperlink"/>
                <w:u w:val="single"/>
              </w:rPr>
              <w:t>V-530</w:t>
            </w:r>
          </w:fldSimple>
          <w:r>
            <w:rPr>
              <w:rFonts w:ascii="Times New Roman" w:eastAsia="MS Mincho" w:hAnsi="Times New Roman"/>
              <w:sz w:val="20"/>
              <w:i/>
              <w:iCs/>
            </w:rPr>
            <w:t>,
2024-05-13,
paskelbta TAR 2024-05-15, i. k. 2024-08858        </w:t>
          </w:r>
        </w:p>
        <w:p/>
        <w:p>
          <w:pPr>
            <w:pStyle w:val="PlainText"/>
            <w:rPr>
              <w:rFonts w:ascii="Times New Roman" w:eastAsia="MS Mincho" w:hAnsi="Times New Roman"/>
              <w:sz w:val="20"/>
              <w:iCs/>
            </w:rPr>
          </w:pPr>
          <w:r>
            <w:rPr>
              <w:rFonts w:ascii="Times New Roman" w:eastAsia="MS Mincho" w:hAnsi="Times New Roman"/>
              <w:sz w:val="20"/>
              <w:iCs/>
            </w:rPr>
            <w:t>19 priedo 20 priedas (V-530)</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742710121811efbcbfb318996800a8">
            <w:r w:rsidRPr="00532B9F">
              <w:rPr>
                <w:rFonts w:ascii="Times New Roman" w:eastAsia="MS Mincho" w:hAnsi="Times New Roman"/>
                <w:sz w:val="20"/>
                <w:i/>
                <w:iCs/>
                <w:color w:val="0000FF" w:themeColor="hyperlink"/>
                <w:u w:val="single"/>
              </w:rPr>
              <w:t>V-530</w:t>
            </w:r>
          </w:fldSimple>
          <w:r>
            <w:rPr>
              <w:rFonts w:ascii="Times New Roman" w:eastAsia="MS Mincho" w:hAnsi="Times New Roman"/>
              <w:sz w:val="20"/>
              <w:i/>
              <w:iCs/>
            </w:rPr>
            <w:t>,
2024-05-13,
paskelbta TAR 2024-05-15, i. k. 2024-08858        </w:t>
          </w:r>
        </w:p>
        <w:p/>
        <w:p>
          <w:pPr>
            <w:pStyle w:val="PlainText"/>
            <w:rPr>
              <w:rFonts w:ascii="Times New Roman" w:eastAsia="MS Mincho" w:hAnsi="Times New Roman"/>
              <w:sz w:val="20"/>
              <w:iCs/>
            </w:rPr>
          </w:pPr>
          <w:r>
            <w:rPr>
              <w:rFonts w:ascii="Times New Roman" w:eastAsia="MS Mincho" w:hAnsi="Times New Roman"/>
              <w:sz w:val="20"/>
              <w:iCs/>
            </w:rPr>
            <w:t>19 priedo 21 priedas (V-530)</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742710121811efbcbfb318996800a8">
            <w:r w:rsidRPr="00532B9F">
              <w:rPr>
                <w:rFonts w:ascii="Times New Roman" w:eastAsia="MS Mincho" w:hAnsi="Times New Roman"/>
                <w:sz w:val="20"/>
                <w:i/>
                <w:iCs/>
                <w:color w:val="0000FF" w:themeColor="hyperlink"/>
                <w:u w:val="single"/>
              </w:rPr>
              <w:t>V-530</w:t>
            </w:r>
          </w:fldSimple>
          <w:r>
            <w:rPr>
              <w:rFonts w:ascii="Times New Roman" w:eastAsia="MS Mincho" w:hAnsi="Times New Roman"/>
              <w:sz w:val="20"/>
              <w:i/>
              <w:iCs/>
            </w:rPr>
            <w:t>,
2024-05-13,
paskelbta TAR 2024-05-15, i. k. 2024-08858        </w:t>
          </w:r>
        </w:p>
        <w:p/>
        <w:p>
          <w:pPr>
            <w:pStyle w:val="PlainText"/>
            <w:rPr>
              <w:rFonts w:ascii="Times New Roman" w:eastAsia="MS Mincho" w:hAnsi="Times New Roman"/>
              <w:sz w:val="20"/>
              <w:iCs/>
            </w:rPr>
          </w:pPr>
          <w:r>
            <w:rPr>
              <w:rFonts w:ascii="Times New Roman" w:eastAsia="MS Mincho" w:hAnsi="Times New Roman"/>
              <w:sz w:val="20"/>
              <w:iCs/>
            </w:rPr>
            <w:t>19 priedo 22 priedas (V-530)</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742710121811efbcbfb318996800a8">
            <w:r w:rsidRPr="00532B9F">
              <w:rPr>
                <w:rFonts w:ascii="Times New Roman" w:eastAsia="MS Mincho" w:hAnsi="Times New Roman"/>
                <w:sz w:val="20"/>
                <w:i/>
                <w:iCs/>
                <w:color w:val="0000FF" w:themeColor="hyperlink"/>
                <w:u w:val="single"/>
              </w:rPr>
              <w:t>V-530</w:t>
            </w:r>
          </w:fldSimple>
          <w:r>
            <w:rPr>
              <w:rFonts w:ascii="Times New Roman" w:eastAsia="MS Mincho" w:hAnsi="Times New Roman"/>
              <w:sz w:val="20"/>
              <w:i/>
              <w:iCs/>
            </w:rPr>
            <w:t>,
2024-05-13,
paskelbta TAR 2024-05-15, i. k. 2024-08858        </w:t>
          </w:r>
        </w:p>
        <w:p/>
        <w:p>
          <w:pPr>
            <w:pStyle w:val="PlainText"/>
            <w:rPr>
              <w:rFonts w:ascii="Times New Roman" w:eastAsia="MS Mincho" w:hAnsi="Times New Roman"/>
              <w:sz w:val="20"/>
              <w:iCs/>
            </w:rPr>
          </w:pPr>
          <w:r>
            <w:rPr>
              <w:rFonts w:ascii="Times New Roman" w:eastAsia="MS Mincho" w:hAnsi="Times New Roman"/>
              <w:sz w:val="20"/>
              <w:iCs/>
            </w:rPr>
            <w:t>19 priedo 23 priedas (V-530) </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742710121811efbcbfb318996800a8">
            <w:r w:rsidRPr="00532B9F">
              <w:rPr>
                <w:rFonts w:ascii="Times New Roman" w:eastAsia="MS Mincho" w:hAnsi="Times New Roman"/>
                <w:sz w:val="20"/>
                <w:i/>
                <w:iCs/>
                <w:color w:val="0000FF" w:themeColor="hyperlink"/>
                <w:u w:val="single"/>
              </w:rPr>
              <w:t>V-530</w:t>
            </w:r>
          </w:fldSimple>
          <w:r>
            <w:rPr>
              <w:rFonts w:ascii="Times New Roman" w:eastAsia="MS Mincho" w:hAnsi="Times New Roman"/>
              <w:sz w:val="20"/>
              <w:i/>
              <w:iCs/>
            </w:rPr>
            <w:t>,
2024-05-13,
paskelbta TAR 2024-05-15, i. k. 2024-08858        </w:t>
          </w:r>
        </w:p>
        <w:p/>
        <w:p>
          <w:pPr>
            <w:pStyle w:val="PlainText"/>
            <w:rPr>
              <w:rFonts w:ascii="Times New Roman" w:eastAsia="MS Mincho" w:hAnsi="Times New Roman"/>
              <w:sz w:val="20"/>
              <w:iCs/>
            </w:rPr>
          </w:pPr>
          <w:r>
            <w:rPr>
              <w:rFonts w:ascii="Times New Roman" w:eastAsia="MS Mincho" w:hAnsi="Times New Roman"/>
              <w:sz w:val="20"/>
              <w:iCs/>
            </w:rPr>
            <w:t>19 priedo 24 priedas (V-530) </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742710121811efbcbfb318996800a8">
            <w:r w:rsidRPr="00532B9F">
              <w:rPr>
                <w:rFonts w:ascii="Times New Roman" w:eastAsia="MS Mincho" w:hAnsi="Times New Roman"/>
                <w:sz w:val="20"/>
                <w:i/>
                <w:iCs/>
                <w:color w:val="0000FF" w:themeColor="hyperlink"/>
                <w:u w:val="single"/>
              </w:rPr>
              <w:t>V-530</w:t>
            </w:r>
          </w:fldSimple>
          <w:r>
            <w:rPr>
              <w:rFonts w:ascii="Times New Roman" w:eastAsia="MS Mincho" w:hAnsi="Times New Roman"/>
              <w:sz w:val="20"/>
              <w:i/>
              <w:iCs/>
            </w:rPr>
            <w:t>,
2024-05-13,
paskelbta TAR 2024-05-15, i. k. 2024-08858        </w:t>
          </w:r>
        </w:p>
        <w:p/>
        <w:p>
          <w:pPr>
            <w:pStyle w:val="PlainText"/>
            <w:rPr>
              <w:rFonts w:ascii="Times New Roman" w:eastAsia="MS Mincho" w:hAnsi="Times New Roman"/>
              <w:sz w:val="20"/>
              <w:iCs/>
            </w:rPr>
          </w:pPr>
          <w:r>
            <w:rPr>
              <w:rFonts w:ascii="Times New Roman" w:eastAsia="MS Mincho" w:hAnsi="Times New Roman"/>
              <w:sz w:val="20"/>
              <w:iCs/>
            </w:rPr>
            <w:t>19 priedo 25 priedas (V-530) </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742710121811efbcbfb318996800a8">
            <w:r w:rsidRPr="00532B9F">
              <w:rPr>
                <w:rFonts w:ascii="Times New Roman" w:eastAsia="MS Mincho" w:hAnsi="Times New Roman"/>
                <w:sz w:val="20"/>
                <w:i/>
                <w:iCs/>
                <w:color w:val="0000FF" w:themeColor="hyperlink"/>
                <w:u w:val="single"/>
              </w:rPr>
              <w:t>V-530</w:t>
            </w:r>
          </w:fldSimple>
          <w:r>
            <w:rPr>
              <w:rFonts w:ascii="Times New Roman" w:eastAsia="MS Mincho" w:hAnsi="Times New Roman"/>
              <w:sz w:val="20"/>
              <w:i/>
              <w:iCs/>
            </w:rPr>
            <w:t>,
2024-05-13,
paskelbta TAR 2024-05-15, i. k. 2024-08858        </w:t>
          </w:r>
        </w:p>
        <w:p/>
        <w:p>
          <w:pPr>
            <w:pStyle w:val="PlainText"/>
            <w:rPr>
              <w:rFonts w:ascii="Times New Roman" w:eastAsia="MS Mincho" w:hAnsi="Times New Roman"/>
              <w:sz w:val="20"/>
              <w:iCs/>
            </w:rPr>
          </w:pPr>
          <w:r>
            <w:rPr>
              <w:rFonts w:ascii="Times New Roman" w:eastAsia="MS Mincho" w:hAnsi="Times New Roman"/>
              <w:sz w:val="20"/>
              <w:iCs/>
            </w:rPr>
            <w:t>19 priedo 26 priedas (V-530) </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742710121811efbcbfb318996800a8">
            <w:r w:rsidRPr="00532B9F">
              <w:rPr>
                <w:rFonts w:ascii="Times New Roman" w:eastAsia="MS Mincho" w:hAnsi="Times New Roman"/>
                <w:sz w:val="20"/>
                <w:i/>
                <w:iCs/>
                <w:color w:val="0000FF" w:themeColor="hyperlink"/>
                <w:u w:val="single"/>
              </w:rPr>
              <w:t>V-530</w:t>
            </w:r>
          </w:fldSimple>
          <w:r>
            <w:rPr>
              <w:rFonts w:ascii="Times New Roman" w:eastAsia="MS Mincho" w:hAnsi="Times New Roman"/>
              <w:sz w:val="20"/>
              <w:i/>
              <w:iCs/>
            </w:rPr>
            <w:t>,
2024-05-13,
paskelbta TAR 2024-05-15, i. k. 2024-08858        </w:t>
          </w:r>
        </w:p>
        <w:p/>
        <w:p>
          <w:pPr>
            <w:pStyle w:val="PlainText"/>
            <w:rPr>
              <w:rFonts w:ascii="Times New Roman" w:eastAsia="MS Mincho" w:hAnsi="Times New Roman"/>
              <w:sz w:val="20"/>
              <w:iCs/>
            </w:rPr>
          </w:pPr>
          <w:r>
            <w:rPr>
              <w:rFonts w:ascii="Times New Roman" w:eastAsia="MS Mincho" w:hAnsi="Times New Roman"/>
              <w:sz w:val="20"/>
              <w:iCs/>
            </w:rPr>
            <w:t>19 priedo 27 priedas (V-530) </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742710121811efbcbfb318996800a8">
            <w:r w:rsidRPr="00532B9F">
              <w:rPr>
                <w:rFonts w:ascii="Times New Roman" w:eastAsia="MS Mincho" w:hAnsi="Times New Roman"/>
                <w:sz w:val="20"/>
                <w:i/>
                <w:iCs/>
                <w:color w:val="0000FF" w:themeColor="hyperlink"/>
                <w:u w:val="single"/>
              </w:rPr>
              <w:t>V-530</w:t>
            </w:r>
          </w:fldSimple>
          <w:r>
            <w:rPr>
              <w:rFonts w:ascii="Times New Roman" w:eastAsia="MS Mincho" w:hAnsi="Times New Roman"/>
              <w:sz w:val="20"/>
              <w:i/>
              <w:iCs/>
            </w:rPr>
            <w:t>,
2024-05-13,
paskelbta TAR 2024-05-15, i. k. 2024-08858        </w:t>
          </w:r>
        </w:p>
        <w:p/>
        <w:p>
          <w:pPr>
            <w:pStyle w:val="PlainText"/>
            <w:rPr>
              <w:rFonts w:ascii="Times New Roman" w:eastAsia="MS Mincho" w:hAnsi="Times New Roman"/>
              <w:sz w:val="20"/>
              <w:iCs/>
            </w:rPr>
          </w:pPr>
          <w:r>
            <w:rPr>
              <w:rFonts w:ascii="Times New Roman" w:eastAsia="MS Mincho" w:hAnsi="Times New Roman"/>
              <w:sz w:val="20"/>
              <w:iCs/>
            </w:rPr>
            <w:t>19 priedo 28 priedas (V-530) </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742710121811efbcbfb318996800a8">
            <w:r w:rsidRPr="00532B9F">
              <w:rPr>
                <w:rFonts w:ascii="Times New Roman" w:eastAsia="MS Mincho" w:hAnsi="Times New Roman"/>
                <w:sz w:val="20"/>
                <w:i/>
                <w:iCs/>
                <w:color w:val="0000FF" w:themeColor="hyperlink"/>
                <w:u w:val="single"/>
              </w:rPr>
              <w:t>V-530</w:t>
            </w:r>
          </w:fldSimple>
          <w:r>
            <w:rPr>
              <w:rFonts w:ascii="Times New Roman" w:eastAsia="MS Mincho" w:hAnsi="Times New Roman"/>
              <w:sz w:val="20"/>
              <w:i/>
              <w:iCs/>
            </w:rPr>
            <w:t>,
2024-05-13,
paskelbta TAR 2024-05-15, i. k. 2024-08858        </w:t>
          </w:r>
        </w:p>
        <w:p/>
        <w:p>
          <w:pPr>
            <w:pStyle w:val="PlainText"/>
            <w:rPr>
              <w:rFonts w:ascii="Times New Roman" w:eastAsia="MS Mincho" w:hAnsi="Times New Roman"/>
              <w:sz w:val="20"/>
              <w:iCs/>
            </w:rPr>
          </w:pPr>
          <w:r>
            <w:rPr>
              <w:rFonts w:ascii="Times New Roman" w:eastAsia="MS Mincho" w:hAnsi="Times New Roman"/>
              <w:sz w:val="20"/>
              <w:iCs/>
            </w:rPr>
            <w:t>19 priedo 29 priedas (V-530) </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742710121811efbcbfb318996800a8">
            <w:r w:rsidRPr="00532B9F">
              <w:rPr>
                <w:rFonts w:ascii="Times New Roman" w:eastAsia="MS Mincho" w:hAnsi="Times New Roman"/>
                <w:sz w:val="20"/>
                <w:i/>
                <w:iCs/>
                <w:color w:val="0000FF" w:themeColor="hyperlink"/>
                <w:u w:val="single"/>
              </w:rPr>
              <w:t>V-530</w:t>
            </w:r>
          </w:fldSimple>
          <w:r>
            <w:rPr>
              <w:rFonts w:ascii="Times New Roman" w:eastAsia="MS Mincho" w:hAnsi="Times New Roman"/>
              <w:sz w:val="20"/>
              <w:i/>
              <w:iCs/>
            </w:rPr>
            <w:t>,
2024-05-13,
paskelbta TAR 2024-05-15, i. k. 2024-08858        </w:t>
          </w:r>
        </w:p>
        <w:p/>
        <w:p>
          <w:pPr>
            <w:pStyle w:val="PlainText"/>
            <w:rPr>
              <w:rFonts w:ascii="Times New Roman" w:eastAsia="MS Mincho" w:hAnsi="Times New Roman"/>
              <w:sz w:val="20"/>
              <w:iCs/>
            </w:rPr>
          </w:pPr>
          <w:r>
            <w:rPr>
              <w:rFonts w:ascii="Times New Roman" w:eastAsia="MS Mincho" w:hAnsi="Times New Roman"/>
              <w:sz w:val="20"/>
              <w:iCs/>
            </w:rPr>
            <w:t>19 priedo 30 priedas (V-530) </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742710121811efbcbfb318996800a8">
            <w:r w:rsidRPr="00532B9F">
              <w:rPr>
                <w:rFonts w:ascii="Times New Roman" w:eastAsia="MS Mincho" w:hAnsi="Times New Roman"/>
                <w:sz w:val="20"/>
                <w:i/>
                <w:iCs/>
                <w:color w:val="0000FF" w:themeColor="hyperlink"/>
                <w:u w:val="single"/>
              </w:rPr>
              <w:t>V-530</w:t>
            </w:r>
          </w:fldSimple>
          <w:r>
            <w:rPr>
              <w:rFonts w:ascii="Times New Roman" w:eastAsia="MS Mincho" w:hAnsi="Times New Roman"/>
              <w:sz w:val="20"/>
              <w:i/>
              <w:iCs/>
            </w:rPr>
            <w:t>,
2024-05-13,
paskelbta TAR 2024-05-15, i. k. 2024-08858        </w:t>
          </w:r>
        </w:p>
        <w:p/>
        <w:p>
          <w:pPr>
            <w:pStyle w:val="PlainText"/>
            <w:rPr>
              <w:rFonts w:ascii="Times New Roman" w:eastAsia="MS Mincho" w:hAnsi="Times New Roman"/>
              <w:sz w:val="20"/>
              <w:iCs/>
            </w:rPr>
          </w:pPr>
          <w:r>
            <w:rPr>
              <w:rFonts w:ascii="Times New Roman" w:eastAsia="MS Mincho" w:hAnsi="Times New Roman"/>
              <w:sz w:val="20"/>
              <w:iCs/>
            </w:rPr>
            <w:t>19 priedo 31 priedas (V-530) </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742710121811efbcbfb318996800a8">
            <w:r w:rsidRPr="00532B9F">
              <w:rPr>
                <w:rFonts w:ascii="Times New Roman" w:eastAsia="MS Mincho" w:hAnsi="Times New Roman"/>
                <w:sz w:val="20"/>
                <w:i/>
                <w:iCs/>
                <w:color w:val="0000FF" w:themeColor="hyperlink"/>
                <w:u w:val="single"/>
              </w:rPr>
              <w:t>V-530</w:t>
            </w:r>
          </w:fldSimple>
          <w:r>
            <w:rPr>
              <w:rFonts w:ascii="Times New Roman" w:eastAsia="MS Mincho" w:hAnsi="Times New Roman"/>
              <w:sz w:val="20"/>
              <w:i/>
              <w:iCs/>
            </w:rPr>
            <w:t>,
2024-05-13,
paskelbta TAR 2024-05-15, i. k. 2024-08858        </w:t>
          </w:r>
        </w:p>
        <w:p/>
        <w:p>
          <w:pPr>
            <w:pStyle w:val="PlainText"/>
            <w:rPr>
              <w:rFonts w:ascii="Times New Roman" w:eastAsia="MS Mincho" w:hAnsi="Times New Roman"/>
              <w:sz w:val="20"/>
              <w:iCs/>
            </w:rPr>
          </w:pPr>
          <w:r>
            <w:rPr>
              <w:rFonts w:ascii="Times New Roman" w:eastAsia="MS Mincho" w:hAnsi="Times New Roman"/>
              <w:sz w:val="20"/>
              <w:iCs/>
            </w:rPr>
            <w:t>19 priedo 32 priedas (V-530) </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742710121811efbcbfb318996800a8">
            <w:r w:rsidRPr="00532B9F">
              <w:rPr>
                <w:rFonts w:ascii="Times New Roman" w:eastAsia="MS Mincho" w:hAnsi="Times New Roman"/>
                <w:sz w:val="20"/>
                <w:i/>
                <w:iCs/>
                <w:color w:val="0000FF" w:themeColor="hyperlink"/>
                <w:u w:val="single"/>
              </w:rPr>
              <w:t>V-530</w:t>
            </w:r>
          </w:fldSimple>
          <w:r>
            <w:rPr>
              <w:rFonts w:ascii="Times New Roman" w:eastAsia="MS Mincho" w:hAnsi="Times New Roman"/>
              <w:sz w:val="20"/>
              <w:i/>
              <w:iCs/>
            </w:rPr>
            <w:t>,
2024-05-13,
paskelbta TAR 2024-05-15, i. k. 2024-08858        </w:t>
          </w:r>
        </w:p>
        <w:p/>
        <w:p>
          <w:pPr>
            <w:pStyle w:val="PlainText"/>
            <w:rPr>
              <w:rFonts w:ascii="Times New Roman" w:eastAsia="MS Mincho" w:hAnsi="Times New Roman"/>
              <w:sz w:val="20"/>
              <w:iCs/>
            </w:rPr>
          </w:pPr>
          <w:r>
            <w:rPr>
              <w:rFonts w:ascii="Times New Roman" w:eastAsia="MS Mincho" w:hAnsi="Times New Roman"/>
              <w:sz w:val="20"/>
              <w:iCs/>
            </w:rPr>
            <w:t>19 priedo 33 priedas (V-530) </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742710121811efbcbfb318996800a8">
            <w:r w:rsidRPr="00532B9F">
              <w:rPr>
                <w:rFonts w:ascii="Times New Roman" w:eastAsia="MS Mincho" w:hAnsi="Times New Roman"/>
                <w:sz w:val="20"/>
                <w:i/>
                <w:iCs/>
                <w:color w:val="0000FF" w:themeColor="hyperlink"/>
                <w:u w:val="single"/>
              </w:rPr>
              <w:t>V-530</w:t>
            </w:r>
          </w:fldSimple>
          <w:r>
            <w:rPr>
              <w:rFonts w:ascii="Times New Roman" w:eastAsia="MS Mincho" w:hAnsi="Times New Roman"/>
              <w:sz w:val="20"/>
              <w:i/>
              <w:iCs/>
            </w:rPr>
            <w:t>,
2024-05-13,
paskelbta TAR 2024-05-15, i. k. 2024-08858        </w:t>
          </w:r>
        </w:p>
        <w:p/>
        <w:p>
          <w:pPr>
            <w:pStyle w:val="PlainText"/>
            <w:rPr>
              <w:rFonts w:ascii="Times New Roman" w:eastAsia="MS Mincho" w:hAnsi="Times New Roman"/>
              <w:sz w:val="20"/>
              <w:iCs/>
            </w:rPr>
          </w:pPr>
          <w:r>
            <w:rPr>
              <w:rFonts w:ascii="Times New Roman" w:eastAsia="MS Mincho" w:hAnsi="Times New Roman"/>
              <w:sz w:val="20"/>
              <w:iCs/>
            </w:rPr>
            <w:t>19 priedo 34 priedas (V-530) </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742710121811efbcbfb318996800a8">
            <w:r w:rsidRPr="00532B9F">
              <w:rPr>
                <w:rFonts w:ascii="Times New Roman" w:eastAsia="MS Mincho" w:hAnsi="Times New Roman"/>
                <w:sz w:val="20"/>
                <w:i/>
                <w:iCs/>
                <w:color w:val="0000FF" w:themeColor="hyperlink"/>
                <w:u w:val="single"/>
              </w:rPr>
              <w:t>V-530</w:t>
            </w:r>
          </w:fldSimple>
          <w:r>
            <w:rPr>
              <w:rFonts w:ascii="Times New Roman" w:eastAsia="MS Mincho" w:hAnsi="Times New Roman"/>
              <w:sz w:val="20"/>
              <w:i/>
              <w:iCs/>
            </w:rPr>
            <w:t>,
2024-05-13,
paskelbta TAR 2024-05-15, i. k. 2024-08858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C8AAE31A7848">
            <w:r w:rsidRPr="00532B9F">
              <w:rPr>
                <w:rFonts w:ascii="Times New Roman" w:eastAsia="MS Mincho" w:hAnsi="Times New Roman"/>
                <w:sz w:val="20"/>
                <w:iCs/>
                <w:color w:val="0000FF" w:themeColor="hyperlink"/>
                <w:u w:val="single"/>
              </w:rPr>
              <w:t>342</w:t>
            </w:r>
          </w:fldSimple>
          <w:r>
            <w:rPr>
              <w:rFonts w:ascii="Times New Roman" w:eastAsia="MS Mincho" w:hAnsi="Times New Roman"/>
              <w:sz w:val="20"/>
              <w:iCs/>
            </w:rPr>
            <w:t>,
2000-06-21,
Žin., 2000, Nr.
52-1509 (2000-06-28), i. k. 1002250ISAK00000342                </w:t>
          </w:r>
        </w:p>
        <w:p>
          <w:pPr>
            <w:jc w:val="both"/>
            <w:rPr>
              <w:rFonts w:ascii="Times New Roman" w:hAnsi="Times New Roman"/>
            </w:rPr>
          </w:pPr>
          <w:r>
            <w:rPr>
              <w:rFonts w:ascii="Times New Roman" w:hAnsi="Times New Roman"/>
              <w:sz w:val="20"/>
            </w:rPr>
            <w:t>Dėl sveikatos apsaugos ministro 2000 05 31 įsakymo Nr. 301 "Dėl profilaktinių sveikatos tikrinimų sveikatos priežiūros įstaigose" dalinio sustabdymo ir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53558C9A7E15">
            <w:r w:rsidRPr="00532B9F">
              <w:rPr>
                <w:rFonts w:ascii="Times New Roman" w:eastAsia="MS Mincho" w:hAnsi="Times New Roman"/>
                <w:sz w:val="20"/>
                <w:iCs/>
                <w:color w:val="0000FF" w:themeColor="hyperlink"/>
                <w:u w:val="single"/>
              </w:rPr>
              <w:t>305</w:t>
            </w:r>
          </w:fldSimple>
          <w:r>
            <w:rPr>
              <w:rFonts w:ascii="Times New Roman" w:eastAsia="MS Mincho" w:hAnsi="Times New Roman"/>
              <w:sz w:val="20"/>
              <w:iCs/>
            </w:rPr>
            <w:t>,
2001-05-28,
Žin., 2001, Nr.
47-1643 (2001-06-01), i. k. 1012250ISAK00000305                </w:t>
          </w:r>
        </w:p>
        <w:p>
          <w:pPr>
            <w:jc w:val="both"/>
            <w:rPr>
              <w:rFonts w:ascii="Times New Roman" w:hAnsi="Times New Roman"/>
            </w:rPr>
          </w:pPr>
          <w:r>
            <w:rPr>
              <w:rFonts w:ascii="Times New Roman" w:hAnsi="Times New Roman"/>
              <w:sz w:val="20"/>
            </w:rPr>
            <w:t>Dėl Lietuvos Respublikos sveikatos apsaugos ministro 2000 05 31 įsakymo Nr.301 "Dėl profilaktinių sveikatos tikrinimų sveikatos priežiūros įstaigose" 11 priedo "Laivyno darbuotojų sveikatos tikrinimo tvarka" dalinio pakeitimo ir papildymo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F8DA492D2283">
            <w:r w:rsidRPr="00532B9F">
              <w:rPr>
                <w:rFonts w:ascii="Times New Roman" w:eastAsia="MS Mincho" w:hAnsi="Times New Roman"/>
                <w:sz w:val="20"/>
                <w:iCs/>
                <w:color w:val="0000FF" w:themeColor="hyperlink"/>
                <w:u w:val="single"/>
              </w:rPr>
              <w:t>381</w:t>
            </w:r>
          </w:fldSimple>
          <w:r>
            <w:rPr>
              <w:rFonts w:ascii="Times New Roman" w:eastAsia="MS Mincho" w:hAnsi="Times New Roman"/>
              <w:sz w:val="20"/>
              <w:iCs/>
            </w:rPr>
            <w:t>,
2001-07-12,
Žin., 2001, Nr.
63-2294 (2001-07-19), i. k. 1012250ISAK00000381                </w:t>
          </w:r>
        </w:p>
        <w:p>
          <w:pPr>
            <w:jc w:val="both"/>
            <w:rPr>
              <w:rFonts w:ascii="Times New Roman" w:hAnsi="Times New Roman"/>
            </w:rPr>
          </w:pPr>
          <w:r>
            <w:rPr>
              <w:rFonts w:ascii="Times New Roman" w:hAnsi="Times New Roman"/>
              <w:sz w:val="20"/>
            </w:rPr>
            <w:t>Dėl sveikatos apsaugos ministro 2000-05-31 įsakymo Nr. 301 "Dėl profilaktinių sveikatos tikrinimų sveikatos priežiūros įstaigose" 13 priedo I dalies "Tikrinimo tvarka" 3 punkto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790487535B09">
            <w:r w:rsidRPr="00532B9F">
              <w:rPr>
                <w:rFonts w:ascii="Times New Roman" w:eastAsia="MS Mincho" w:hAnsi="Times New Roman"/>
                <w:sz w:val="20"/>
                <w:iCs/>
                <w:color w:val="0000FF" w:themeColor="hyperlink"/>
                <w:u w:val="single"/>
              </w:rPr>
              <w:t>16</w:t>
            </w:r>
          </w:fldSimple>
          <w:r>
            <w:rPr>
              <w:rFonts w:ascii="Times New Roman" w:eastAsia="MS Mincho" w:hAnsi="Times New Roman"/>
              <w:sz w:val="20"/>
              <w:iCs/>
            </w:rPr>
            <w:t>,
2002-01-14,
Žin., 2002, Nr.
9-328 (2002-01-26), i. k. 1022250ISAK00000016                </w:t>
          </w:r>
        </w:p>
        <w:p>
          <w:pPr>
            <w:jc w:val="both"/>
            <w:rPr>
              <w:rFonts w:ascii="Times New Roman" w:hAnsi="Times New Roman"/>
            </w:rPr>
          </w:pPr>
          <w:r>
            <w:rPr>
              <w:rFonts w:ascii="Times New Roman" w:hAnsi="Times New Roman"/>
              <w:sz w:val="20"/>
            </w:rPr>
            <w:t>Dėl sveikatos apsaugos ministro 2000 m. gegužės 31 d. įsakymo Nr. 301 "Dėl Profilaktinių sveikatos tikrinimų sveikatos priežiūros įstaigose 13 priedo I dalies "Tikrinimo tvarka" 3 punkto dalinio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835F6913824A">
            <w:r w:rsidRPr="00532B9F">
              <w:rPr>
                <w:rFonts w:ascii="Times New Roman" w:eastAsia="MS Mincho" w:hAnsi="Times New Roman"/>
                <w:sz w:val="20"/>
                <w:iCs/>
                <w:color w:val="0000FF" w:themeColor="hyperlink"/>
                <w:u w:val="single"/>
              </w:rPr>
              <w:t>198</w:t>
            </w:r>
          </w:fldSimple>
          <w:r>
            <w:rPr>
              <w:rFonts w:ascii="Times New Roman" w:eastAsia="MS Mincho" w:hAnsi="Times New Roman"/>
              <w:sz w:val="20"/>
              <w:iCs/>
            </w:rPr>
            <w:t>,
2002-05-03,
Žin., 2002, Nr.
47-1822 (2002-05-10), i. k. 1022250ISAK00000198                </w:t>
          </w:r>
        </w:p>
        <w:p>
          <w:pPr>
            <w:jc w:val="both"/>
            <w:rPr>
              <w:rFonts w:ascii="Times New Roman" w:hAnsi="Times New Roman"/>
            </w:rPr>
          </w:pPr>
          <w:r>
            <w:rPr>
              <w:rFonts w:ascii="Times New Roman" w:hAnsi="Times New Roman"/>
              <w:sz w:val="20"/>
            </w:rPr>
            <w:t>Dėl sveikatos apsaugos ministro 2000 m.gegužės 31 d. įsakymo Nr. 301 "Dėl profilaktinių sveikatos tikrinimų sveikatos priežiūros įstaigose" dalinio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0FF49B1BF8F5">
            <w:r w:rsidRPr="00532B9F">
              <w:rPr>
                <w:rFonts w:ascii="Times New Roman" w:eastAsia="MS Mincho" w:hAnsi="Times New Roman"/>
                <w:sz w:val="20"/>
                <w:iCs/>
                <w:color w:val="0000FF" w:themeColor="hyperlink"/>
                <w:u w:val="single"/>
              </w:rPr>
              <w:t>V-540</w:t>
            </w:r>
          </w:fldSimple>
          <w:r>
            <w:rPr>
              <w:rFonts w:ascii="Times New Roman" w:eastAsia="MS Mincho" w:hAnsi="Times New Roman"/>
              <w:sz w:val="20"/>
              <w:iCs/>
            </w:rPr>
            <w:t>,
2003-09-18,
Žin., 2003, Nr.
92-4164 (2003-10-01), i. k. 1032250ISAK000V-540                </w:t>
          </w:r>
        </w:p>
        <w:p>
          <w:pPr>
            <w:jc w:val="both"/>
            <w:rPr>
              <w:rFonts w:ascii="Times New Roman" w:hAnsi="Times New Roman"/>
            </w:rPr>
          </w:pPr>
          <w:r>
            <w:rPr>
              <w:rFonts w:ascii="Times New Roman" w:hAnsi="Times New Roman"/>
              <w:sz w:val="20"/>
            </w:rPr>
            <w:t>Dėl sveikatos apsaugos ministro 2000 m. gegužės 31 d. įsakymo Nr. 301 "Dėl profilaktinių sveikatos priežiūros tikrinimų sveikatos priežiūros įstaigose" 14 priedo pripažinimo netekusiu galios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9E4955D5C12C">
            <w:r w:rsidRPr="00532B9F">
              <w:rPr>
                <w:rFonts w:ascii="Times New Roman" w:eastAsia="MS Mincho" w:hAnsi="Times New Roman"/>
                <w:sz w:val="20"/>
                <w:iCs/>
                <w:color w:val="0000FF" w:themeColor="hyperlink"/>
                <w:u w:val="single"/>
              </w:rPr>
              <w:t>V-79</w:t>
            </w:r>
          </w:fldSimple>
          <w:r>
            <w:rPr>
              <w:rFonts w:ascii="Times New Roman" w:eastAsia="MS Mincho" w:hAnsi="Times New Roman"/>
              <w:sz w:val="20"/>
              <w:iCs/>
            </w:rPr>
            <w:t>,
2004-02-20,
Žin., 2004, Nr.
32-1030 (2004-02-28), i. k. 1042250ISAK0000V-79                </w:t>
          </w:r>
        </w:p>
        <w:p>
          <w:pPr>
            <w:jc w:val="both"/>
            <w:rPr>
              <w:rFonts w:ascii="Times New Roman" w:hAnsi="Times New Roman"/>
            </w:rPr>
          </w:pPr>
          <w:r>
            <w:rPr>
              <w:rFonts w:ascii="Times New Roman" w:hAnsi="Times New Roman"/>
              <w:sz w:val="20"/>
            </w:rPr>
            <w:t>Dėl Lietuvos Respublikos sveikatos apsaugos ministro įsakymų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13668E5C8160">
            <w:r w:rsidRPr="00532B9F">
              <w:rPr>
                <w:rFonts w:ascii="Times New Roman" w:eastAsia="MS Mincho" w:hAnsi="Times New Roman"/>
                <w:sz w:val="20"/>
                <w:iCs/>
                <w:color w:val="0000FF" w:themeColor="hyperlink"/>
                <w:u w:val="single"/>
              </w:rPr>
              <w:t>V-310</w:t>
            </w:r>
          </w:fldSimple>
          <w:r>
            <w:rPr>
              <w:rFonts w:ascii="Times New Roman" w:eastAsia="MS Mincho" w:hAnsi="Times New Roman"/>
              <w:sz w:val="20"/>
              <w:iCs/>
            </w:rPr>
            <w:t>,
2005-04-27,
Žin., 2005, Nr.
55-1896 (2005-04-30), i. k. 1052250ISAK000V-310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9A2A80746DED">
            <w:r w:rsidRPr="00532B9F">
              <w:rPr>
                <w:rFonts w:ascii="Times New Roman" w:eastAsia="MS Mincho" w:hAnsi="Times New Roman"/>
                <w:sz w:val="20"/>
                <w:iCs/>
                <w:color w:val="0000FF" w:themeColor="hyperlink"/>
                <w:u w:val="single"/>
              </w:rPr>
              <w:t>V-815</w:t>
            </w:r>
          </w:fldSimple>
          <w:r>
            <w:rPr>
              <w:rFonts w:ascii="Times New Roman" w:eastAsia="MS Mincho" w:hAnsi="Times New Roman"/>
              <w:sz w:val="20"/>
              <w:iCs/>
            </w:rPr>
            <w:t>,
2005-10-27,
Žin., 2005, Nr.
128-4637 (2005-10-29), i. k. 1052250ISAK000V-815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6E09DC05FD21">
            <w:r w:rsidRPr="00532B9F">
              <w:rPr>
                <w:rFonts w:ascii="Times New Roman" w:eastAsia="MS Mincho" w:hAnsi="Times New Roman"/>
                <w:sz w:val="20"/>
                <w:iCs/>
                <w:color w:val="0000FF" w:themeColor="hyperlink"/>
                <w:u w:val="single"/>
              </w:rPr>
              <w:t>V-323</w:t>
            </w:r>
          </w:fldSimple>
          <w:r>
            <w:rPr>
              <w:rFonts w:ascii="Times New Roman" w:eastAsia="MS Mincho" w:hAnsi="Times New Roman"/>
              <w:sz w:val="20"/>
              <w:iCs/>
            </w:rPr>
            <w:t>,
2006-04-27,
Žin., 2006, Nr.
48-1728 (2006-04-29), i. k. 1062250ISAK000V-323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CBFD5728271A">
            <w:r w:rsidRPr="00532B9F">
              <w:rPr>
                <w:rFonts w:ascii="Times New Roman" w:eastAsia="MS Mincho" w:hAnsi="Times New Roman"/>
                <w:sz w:val="20"/>
                <w:iCs/>
                <w:color w:val="0000FF" w:themeColor="hyperlink"/>
                <w:u w:val="single"/>
              </w:rPr>
              <w:t>V-319</w:t>
            </w:r>
          </w:fldSimple>
          <w:r>
            <w:rPr>
              <w:rFonts w:ascii="Times New Roman" w:eastAsia="MS Mincho" w:hAnsi="Times New Roman"/>
              <w:sz w:val="20"/>
              <w:iCs/>
            </w:rPr>
            <w:t>,
2007-05-03,
Žin., 2007, Nr.
50-1956 (2007-05-10), i. k. 1072250ISAK000V-319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5CC85250B769">
            <w:r w:rsidRPr="00532B9F">
              <w:rPr>
                <w:rFonts w:ascii="Times New Roman" w:eastAsia="MS Mincho" w:hAnsi="Times New Roman"/>
                <w:sz w:val="20"/>
                <w:iCs/>
                <w:color w:val="0000FF" w:themeColor="hyperlink"/>
                <w:u w:val="single"/>
              </w:rPr>
              <w:t>V-423</w:t>
            </w:r>
          </w:fldSimple>
          <w:r>
            <w:rPr>
              <w:rFonts w:ascii="Times New Roman" w:eastAsia="MS Mincho" w:hAnsi="Times New Roman"/>
              <w:sz w:val="20"/>
              <w:iCs/>
            </w:rPr>
            <w:t>,
2008-05-09,
Žin., 2008, Nr.
54-2016 (2008-05-13), i. k. 1082250ISAK000V-423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F7E759DF5DFE">
            <w:r w:rsidRPr="00532B9F">
              <w:rPr>
                <w:rFonts w:ascii="Times New Roman" w:eastAsia="MS Mincho" w:hAnsi="Times New Roman"/>
                <w:sz w:val="20"/>
                <w:iCs/>
                <w:color w:val="0000FF" w:themeColor="hyperlink"/>
                <w:u w:val="single"/>
              </w:rPr>
              <w:t>V-649</w:t>
            </w:r>
          </w:fldSimple>
          <w:r>
            <w:rPr>
              <w:rFonts w:ascii="Times New Roman" w:eastAsia="MS Mincho" w:hAnsi="Times New Roman"/>
              <w:sz w:val="20"/>
              <w:iCs/>
            </w:rPr>
            <w:t>,
2008-06-28,
Žin., 2008, Nr.
76-3030 (2008-07-05), i. k. 1082250ISAK000V-649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D5693EEE35C8">
            <w:r w:rsidRPr="00532B9F">
              <w:rPr>
                <w:rFonts w:ascii="Times New Roman" w:eastAsia="MS Mincho" w:hAnsi="Times New Roman"/>
                <w:sz w:val="20"/>
                <w:iCs/>
                <w:color w:val="0000FF" w:themeColor="hyperlink"/>
                <w:u w:val="single"/>
              </w:rPr>
              <w:t>V-973</w:t>
            </w:r>
          </w:fldSimple>
          <w:r>
            <w:rPr>
              <w:rFonts w:ascii="Times New Roman" w:eastAsia="MS Mincho" w:hAnsi="Times New Roman"/>
              <w:sz w:val="20"/>
              <w:iCs/>
            </w:rPr>
            <w:t>,
2008-10-10,
Žin., 2008, Nr.
121-4626 (2008-10-21), i. k. 1082250ISAK000V-973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723F49D02CD8">
            <w:r w:rsidRPr="00532B9F">
              <w:rPr>
                <w:rFonts w:ascii="Times New Roman" w:eastAsia="MS Mincho" w:hAnsi="Times New Roman"/>
                <w:sz w:val="20"/>
                <w:iCs/>
                <w:color w:val="0000FF" w:themeColor="hyperlink"/>
                <w:u w:val="single"/>
              </w:rPr>
              <w:t>V-178</w:t>
            </w:r>
          </w:fldSimple>
          <w:r>
            <w:rPr>
              <w:rFonts w:ascii="Times New Roman" w:eastAsia="MS Mincho" w:hAnsi="Times New Roman"/>
              <w:sz w:val="20"/>
              <w:iCs/>
            </w:rPr>
            <w:t>,
2009-03-13,
Žin., 2009, Nr.
39-1480 (2009-04-07), i. k. 1092250ISAK000V-178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B82D19C6A6B6">
            <w:r w:rsidRPr="00532B9F">
              <w:rPr>
                <w:rFonts w:ascii="Times New Roman" w:eastAsia="MS Mincho" w:hAnsi="Times New Roman"/>
                <w:sz w:val="20"/>
                <w:iCs/>
                <w:color w:val="0000FF" w:themeColor="hyperlink"/>
                <w:u w:val="single"/>
              </w:rPr>
              <w:t>V-1062</w:t>
            </w:r>
          </w:fldSimple>
          <w:r>
            <w:rPr>
              <w:rFonts w:ascii="Times New Roman" w:eastAsia="MS Mincho" w:hAnsi="Times New Roman"/>
              <w:sz w:val="20"/>
              <w:iCs/>
            </w:rPr>
            <w:t>,
2009-12-23,
Žin., 2010, Nr.
1-45 (2010-01-05), i. k. 1092250ISAK00V-1062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7CD069E8FA43">
            <w:r w:rsidRPr="00532B9F">
              <w:rPr>
                <w:rFonts w:ascii="Times New Roman" w:eastAsia="MS Mincho" w:hAnsi="Times New Roman"/>
                <w:sz w:val="20"/>
                <w:iCs/>
                <w:color w:val="0000FF" w:themeColor="hyperlink"/>
                <w:u w:val="single"/>
              </w:rPr>
              <w:t>V-1072</w:t>
            </w:r>
          </w:fldSimple>
          <w:r>
            <w:rPr>
              <w:rFonts w:ascii="Times New Roman" w:eastAsia="MS Mincho" w:hAnsi="Times New Roman"/>
              <w:sz w:val="20"/>
              <w:iCs/>
            </w:rPr>
            <w:t>,
2009-12-29,
Žin., 2010, Nr.
4-163 (2010-01-12), i. k. 1092250ISAK00V-1072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DB1CEBF9C76E">
            <w:r w:rsidRPr="00532B9F">
              <w:rPr>
                <w:rFonts w:ascii="Times New Roman" w:eastAsia="MS Mincho" w:hAnsi="Times New Roman"/>
                <w:sz w:val="20"/>
                <w:iCs/>
                <w:color w:val="0000FF" w:themeColor="hyperlink"/>
                <w:u w:val="single"/>
              </w:rPr>
              <w:t>V-175</w:t>
            </w:r>
          </w:fldSimple>
          <w:r>
            <w:rPr>
              <w:rFonts w:ascii="Times New Roman" w:eastAsia="MS Mincho" w:hAnsi="Times New Roman"/>
              <w:sz w:val="20"/>
              <w:iCs/>
            </w:rPr>
            <w:t>,
2010-03-03,
Žin., 2010, Nr.
27-1235 (2010-03-06), i. k. 1102250ISAK000V-175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FBACCBFCF39B">
            <w:r w:rsidRPr="00532B9F">
              <w:rPr>
                <w:rFonts w:ascii="Times New Roman" w:eastAsia="MS Mincho" w:hAnsi="Times New Roman"/>
                <w:sz w:val="20"/>
                <w:iCs/>
                <w:color w:val="0000FF" w:themeColor="hyperlink"/>
                <w:u w:val="single"/>
              </w:rPr>
              <w:t>V-586</w:t>
            </w:r>
          </w:fldSimple>
          <w:r>
            <w:rPr>
              <w:rFonts w:ascii="Times New Roman" w:eastAsia="MS Mincho" w:hAnsi="Times New Roman"/>
              <w:sz w:val="20"/>
              <w:iCs/>
            </w:rPr>
            <w:t>,
2010-06-18,
Žin., 2010, Nr.
74-3769 (2010-06-26), i. k. 1102250ISAK000V-586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464DA17088A1">
            <w:r w:rsidRPr="00532B9F">
              <w:rPr>
                <w:rFonts w:ascii="Times New Roman" w:eastAsia="MS Mincho" w:hAnsi="Times New Roman"/>
                <w:sz w:val="20"/>
                <w:iCs/>
                <w:color w:val="0000FF" w:themeColor="hyperlink"/>
                <w:u w:val="single"/>
              </w:rPr>
              <w:t>V-802</w:t>
            </w:r>
          </w:fldSimple>
          <w:r>
            <w:rPr>
              <w:rFonts w:ascii="Times New Roman" w:eastAsia="MS Mincho" w:hAnsi="Times New Roman"/>
              <w:sz w:val="20"/>
              <w:iCs/>
            </w:rPr>
            <w:t>,
2010-09-20,
Žin., 2010, Nr.
113-5802 (2010-09-25), i. k. 1102250ISAK000V-802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FBF277448F3E">
            <w:r w:rsidRPr="00532B9F">
              <w:rPr>
                <w:rFonts w:ascii="Times New Roman" w:eastAsia="MS Mincho" w:hAnsi="Times New Roman"/>
                <w:sz w:val="20"/>
                <w:iCs/>
                <w:color w:val="0000FF" w:themeColor="hyperlink"/>
                <w:u w:val="single"/>
              </w:rPr>
              <w:t>V-101</w:t>
            </w:r>
          </w:fldSimple>
          <w:r>
            <w:rPr>
              <w:rFonts w:ascii="Times New Roman" w:eastAsia="MS Mincho" w:hAnsi="Times New Roman"/>
              <w:sz w:val="20"/>
              <w:iCs/>
            </w:rPr>
            <w:t>,
2011-02-03,
Žin., 2011, Nr.
17-816 (2011-02-10), i. k. 1112250ISAK000V-101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4A050BC6517F">
            <w:r w:rsidRPr="00532B9F">
              <w:rPr>
                <w:rFonts w:ascii="Times New Roman" w:eastAsia="MS Mincho" w:hAnsi="Times New Roman"/>
                <w:sz w:val="20"/>
                <w:iCs/>
                <w:color w:val="0000FF" w:themeColor="hyperlink"/>
                <w:u w:val="single"/>
              </w:rPr>
              <w:t>V-184</w:t>
            </w:r>
          </w:fldSimple>
          <w:r>
            <w:rPr>
              <w:rFonts w:ascii="Times New Roman" w:eastAsia="MS Mincho" w:hAnsi="Times New Roman"/>
              <w:sz w:val="20"/>
              <w:iCs/>
            </w:rPr>
            <w:t>,
2011-02-28,
Žin., 2011, Nr.
29-1370 (2011-03-08), i. k. 1112250ISAK000V-184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F86BCB4E424F">
            <w:r w:rsidRPr="00532B9F">
              <w:rPr>
                <w:rFonts w:ascii="Times New Roman" w:eastAsia="MS Mincho" w:hAnsi="Times New Roman"/>
                <w:sz w:val="20"/>
                <w:iCs/>
                <w:color w:val="0000FF" w:themeColor="hyperlink"/>
                <w:u w:val="single"/>
              </w:rPr>
              <w:t>V-441</w:t>
            </w:r>
          </w:fldSimple>
          <w:r>
            <w:rPr>
              <w:rFonts w:ascii="Times New Roman" w:eastAsia="MS Mincho" w:hAnsi="Times New Roman"/>
              <w:sz w:val="20"/>
              <w:iCs/>
            </w:rPr>
            <w:t>,
2011-05-06,
Žin., 2011, Nr.
57-2724 (2011-05-12), i. k. 1112250ISAK000V-441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papildymo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4AF677B2B031">
            <w:r w:rsidRPr="00532B9F">
              <w:rPr>
                <w:rFonts w:ascii="Times New Roman" w:eastAsia="MS Mincho" w:hAnsi="Times New Roman"/>
                <w:sz w:val="20"/>
                <w:iCs/>
                <w:color w:val="0000FF" w:themeColor="hyperlink"/>
                <w:u w:val="single"/>
              </w:rPr>
              <w:t>V-481</w:t>
            </w:r>
          </w:fldSimple>
          <w:r>
            <w:rPr>
              <w:rFonts w:ascii="Times New Roman" w:eastAsia="MS Mincho" w:hAnsi="Times New Roman"/>
              <w:sz w:val="20"/>
              <w:iCs/>
            </w:rPr>
            <w:t>,
2011-05-19,
Žin., 2011, Nr.
63-3002 (2011-05-26), i. k. 1112250ISAK000V-481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395BE7E412D5">
            <w:r w:rsidRPr="00532B9F">
              <w:rPr>
                <w:rFonts w:ascii="Times New Roman" w:eastAsia="MS Mincho" w:hAnsi="Times New Roman"/>
                <w:sz w:val="20"/>
                <w:iCs/>
                <w:color w:val="0000FF" w:themeColor="hyperlink"/>
                <w:u w:val="single"/>
              </w:rPr>
              <w:t>V-547</w:t>
            </w:r>
          </w:fldSimple>
          <w:r>
            <w:rPr>
              <w:rFonts w:ascii="Times New Roman" w:eastAsia="MS Mincho" w:hAnsi="Times New Roman"/>
              <w:sz w:val="20"/>
              <w:iCs/>
            </w:rPr>
            <w:t>,
2011-05-27,
Žin., 2011, Nr.
67-3186 (2011-06-02), i. k. 1112250ISAK000V-547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6fd07d0a53f11e3aeb49a67165e3ad3">
            <w:r w:rsidRPr="00532B9F">
              <w:rPr>
                <w:rFonts w:ascii="Times New Roman" w:eastAsia="MS Mincho" w:hAnsi="Times New Roman"/>
                <w:sz w:val="20"/>
                <w:iCs/>
                <w:color w:val="0000FF" w:themeColor="hyperlink"/>
                <w:u w:val="single"/>
              </w:rPr>
              <w:t>V-320</w:t>
            </w:r>
          </w:fldSimple>
          <w:r>
            <w:rPr>
              <w:rFonts w:ascii="Times New Roman" w:eastAsia="MS Mincho" w:hAnsi="Times New Roman"/>
              <w:sz w:val="20"/>
              <w:iCs/>
            </w:rPr>
            <w:t>,
2014-03-05,
paskelbta TAR 2014-03-06, i. k. 2014-02740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ca090a090b811e4bb408baba2bdddf3">
            <w:r w:rsidRPr="00532B9F">
              <w:rPr>
                <w:rFonts w:ascii="Times New Roman" w:eastAsia="MS Mincho" w:hAnsi="Times New Roman"/>
                <w:sz w:val="20"/>
                <w:iCs/>
                <w:color w:val="0000FF" w:themeColor="hyperlink"/>
                <w:u w:val="single"/>
              </w:rPr>
              <w:t>V-1393</w:t>
            </w:r>
          </w:fldSimple>
          <w:r>
            <w:rPr>
              <w:rFonts w:ascii="Times New Roman" w:eastAsia="MS Mincho" w:hAnsi="Times New Roman"/>
              <w:sz w:val="20"/>
              <w:iCs/>
            </w:rPr>
            <w:t>,
2014-12-22,
paskelbta TAR 2014-12-31, i. k. 2014-21128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f2adef0aaeb11e48ebccd46991dfff9">
            <w:r w:rsidRPr="00532B9F">
              <w:rPr>
                <w:rFonts w:ascii="Times New Roman" w:eastAsia="MS Mincho" w:hAnsi="Times New Roman"/>
                <w:sz w:val="20"/>
                <w:iCs/>
                <w:color w:val="0000FF" w:themeColor="hyperlink"/>
                <w:u w:val="single"/>
              </w:rPr>
              <w:t>V-73</w:t>
            </w:r>
          </w:fldSimple>
          <w:r>
            <w:rPr>
              <w:rFonts w:ascii="Times New Roman" w:eastAsia="MS Mincho" w:hAnsi="Times New Roman"/>
              <w:sz w:val="20"/>
              <w:iCs/>
            </w:rPr>
            <w:t>,
2015-01-29,
paskelbta TAR 2015-02-02, i. k. 2015-01489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3b7aa50bcfd11e4afdc866ec67ebcf3">
            <w:r w:rsidRPr="00532B9F">
              <w:rPr>
                <w:rFonts w:ascii="Times New Roman" w:eastAsia="MS Mincho" w:hAnsi="Times New Roman"/>
                <w:sz w:val="20"/>
                <w:iCs/>
                <w:color w:val="0000FF" w:themeColor="hyperlink"/>
                <w:u w:val="single"/>
              </w:rPr>
              <w:t>V-224</w:t>
            </w:r>
          </w:fldSimple>
          <w:r>
            <w:rPr>
              <w:rFonts w:ascii="Times New Roman" w:eastAsia="MS Mincho" w:hAnsi="Times New Roman"/>
              <w:sz w:val="20"/>
              <w:iCs/>
            </w:rPr>
            <w:t>,
2015-02-18,
paskelbta TAR 2015-02-26, i. k. 2015-02965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ad17f70d3c111e4bcd1a882e9a189f1">
            <w:r w:rsidRPr="00532B9F">
              <w:rPr>
                <w:rFonts w:ascii="Times New Roman" w:eastAsia="MS Mincho" w:hAnsi="Times New Roman"/>
                <w:sz w:val="20"/>
                <w:iCs/>
                <w:color w:val="0000FF" w:themeColor="hyperlink"/>
                <w:u w:val="single"/>
              </w:rPr>
              <w:t>V-383</w:t>
            </w:r>
          </w:fldSimple>
          <w:r>
            <w:rPr>
              <w:rFonts w:ascii="Times New Roman" w:eastAsia="MS Mincho" w:hAnsi="Times New Roman"/>
              <w:sz w:val="20"/>
              <w:iCs/>
            </w:rPr>
            <w:t>,
2015-03-23,
paskelbta TAR 2015-03-26, i. k. 2015-04324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52a9f300dd811e5920c94700bb1958e">
            <w:r w:rsidRPr="00532B9F">
              <w:rPr>
                <w:rFonts w:ascii="Times New Roman" w:eastAsia="MS Mincho" w:hAnsi="Times New Roman"/>
                <w:sz w:val="20"/>
                <w:iCs/>
                <w:color w:val="0000FF" w:themeColor="hyperlink"/>
                <w:u w:val="single"/>
              </w:rPr>
              <w:t>V-714</w:t>
            </w:r>
          </w:fldSimple>
          <w:r>
            <w:rPr>
              <w:rFonts w:ascii="Times New Roman" w:eastAsia="MS Mincho" w:hAnsi="Times New Roman"/>
              <w:sz w:val="20"/>
              <w:iCs/>
            </w:rPr>
            <w:t>,
2015-06-08,
paskelbta TAR 2015-06-08, i. k. 2015-09000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687770029ee11e5a2d7e5e47b869348">
            <w:r w:rsidRPr="00532B9F">
              <w:rPr>
                <w:rFonts w:ascii="Times New Roman" w:eastAsia="MS Mincho" w:hAnsi="Times New Roman"/>
                <w:sz w:val="20"/>
                <w:iCs/>
                <w:color w:val="0000FF" w:themeColor="hyperlink"/>
                <w:u w:val="single"/>
              </w:rPr>
              <w:t>V-862</w:t>
            </w:r>
          </w:fldSimple>
          <w:r>
            <w:rPr>
              <w:rFonts w:ascii="Times New Roman" w:eastAsia="MS Mincho" w:hAnsi="Times New Roman"/>
              <w:sz w:val="20"/>
              <w:iCs/>
            </w:rPr>
            <w:t>,
2015-07-10,
paskelbta TAR 2015-07-14, i. k. 2015-11317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40b3b8044e611e58568ed613eb39a73">
            <w:r w:rsidRPr="00532B9F">
              <w:rPr>
                <w:rFonts w:ascii="Times New Roman" w:eastAsia="MS Mincho" w:hAnsi="Times New Roman"/>
                <w:sz w:val="20"/>
                <w:iCs/>
                <w:color w:val="0000FF" w:themeColor="hyperlink"/>
                <w:u w:val="single"/>
              </w:rPr>
              <w:t>V-943</w:t>
            </w:r>
          </w:fldSimple>
          <w:r>
            <w:rPr>
              <w:rFonts w:ascii="Times New Roman" w:eastAsia="MS Mincho" w:hAnsi="Times New Roman"/>
              <w:sz w:val="20"/>
              <w:iCs/>
            </w:rPr>
            <w:t>,
2015-08-11,
paskelbta TAR 2015-08-17, i. k. 2015-12372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3a1f2e047c611e5a38cd6cdb94b0c51">
            <w:r w:rsidRPr="00532B9F">
              <w:rPr>
                <w:rFonts w:ascii="Times New Roman" w:eastAsia="MS Mincho" w:hAnsi="Times New Roman"/>
                <w:sz w:val="20"/>
                <w:iCs/>
                <w:color w:val="0000FF" w:themeColor="hyperlink"/>
                <w:u w:val="single"/>
              </w:rPr>
              <w:t>V-974</w:t>
            </w:r>
          </w:fldSimple>
          <w:r>
            <w:rPr>
              <w:rFonts w:ascii="Times New Roman" w:eastAsia="MS Mincho" w:hAnsi="Times New Roman"/>
              <w:sz w:val="20"/>
              <w:iCs/>
            </w:rPr>
            <w:t>,
2015-08-18,
paskelbta TAR 2015-08-21, i. k. 2015-12478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57c9c90465d11e5a38cd6cdb94b0c51">
            <w:r w:rsidRPr="00532B9F">
              <w:rPr>
                <w:rFonts w:ascii="Times New Roman" w:eastAsia="MS Mincho" w:hAnsi="Times New Roman"/>
                <w:sz w:val="20"/>
                <w:iCs/>
                <w:color w:val="0000FF" w:themeColor="hyperlink"/>
                <w:u w:val="single"/>
              </w:rPr>
              <w:t>V-990</w:t>
            </w:r>
          </w:fldSimple>
          <w:r>
            <w:rPr>
              <w:rFonts w:ascii="Times New Roman" w:eastAsia="MS Mincho" w:hAnsi="Times New Roman"/>
              <w:sz w:val="20"/>
              <w:iCs/>
            </w:rPr>
            <w:t>,
2015-08-18,
paskelbta TAR 2015-08-19, i. k. 2015-12418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37533c0af7f11e5b12fbb7dc920ee2c">
            <w:r w:rsidRPr="00532B9F">
              <w:rPr>
                <w:rFonts w:ascii="Times New Roman" w:eastAsia="MS Mincho" w:hAnsi="Times New Roman"/>
                <w:sz w:val="20"/>
                <w:iCs/>
                <w:color w:val="0000FF" w:themeColor="hyperlink"/>
                <w:u w:val="single"/>
              </w:rPr>
              <w:t>V-1500</w:t>
            </w:r>
          </w:fldSimple>
          <w:r>
            <w:rPr>
              <w:rFonts w:ascii="Times New Roman" w:eastAsia="MS Mincho" w:hAnsi="Times New Roman"/>
              <w:sz w:val="20"/>
              <w:iCs/>
            </w:rPr>
            <w:t>,
2015-12-23,
paskelbta TAR 2015-12-31, i. k. 2015-21184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f70b810aee111e5b12fbb7dc920ee2c">
            <w:r w:rsidRPr="00532B9F">
              <w:rPr>
                <w:rFonts w:ascii="Times New Roman" w:eastAsia="MS Mincho" w:hAnsi="Times New Roman"/>
                <w:sz w:val="20"/>
                <w:iCs/>
                <w:color w:val="0000FF" w:themeColor="hyperlink"/>
                <w:u w:val="single"/>
              </w:rPr>
              <w:t>V-1521</w:t>
            </w:r>
          </w:fldSimple>
          <w:r>
            <w:rPr>
              <w:rFonts w:ascii="Times New Roman" w:eastAsia="MS Mincho" w:hAnsi="Times New Roman"/>
              <w:sz w:val="20"/>
              <w:iCs/>
            </w:rPr>
            <w:t>,
2015-12-29,
paskelbta TAR 2015-12-30, i. k. 2015-20985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2a3f320b48611e598c4c7724bda031b">
            <w:r w:rsidRPr="00532B9F">
              <w:rPr>
                <w:rFonts w:ascii="Times New Roman" w:eastAsia="MS Mincho" w:hAnsi="Times New Roman"/>
                <w:sz w:val="20"/>
                <w:iCs/>
                <w:color w:val="0000FF" w:themeColor="hyperlink"/>
                <w:u w:val="single"/>
              </w:rPr>
              <w:t>V-1604</w:t>
            </w:r>
          </w:fldSimple>
          <w:r>
            <w:rPr>
              <w:rFonts w:ascii="Times New Roman" w:eastAsia="MS Mincho" w:hAnsi="Times New Roman"/>
              <w:sz w:val="20"/>
              <w:iCs/>
            </w:rPr>
            <w:t>,
2015-12-31,
paskelbta TAR 2016-01-07, i. k. 2016-00381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752abb0378c11e69101aaab2992cbcd">
            <w:r w:rsidRPr="00532B9F">
              <w:rPr>
                <w:rFonts w:ascii="Times New Roman" w:eastAsia="MS Mincho" w:hAnsi="Times New Roman"/>
                <w:sz w:val="20"/>
                <w:iCs/>
                <w:color w:val="0000FF" w:themeColor="hyperlink"/>
                <w:u w:val="single"/>
              </w:rPr>
              <w:t>V-804</w:t>
            </w:r>
          </w:fldSimple>
          <w:r>
            <w:rPr>
              <w:rFonts w:ascii="Times New Roman" w:eastAsia="MS Mincho" w:hAnsi="Times New Roman"/>
              <w:sz w:val="20"/>
              <w:iCs/>
            </w:rPr>
            <w:t>,
2016-06-14,
paskelbta TAR 2016-06-21, i. k. 2016-17335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d61ee00d19011e68d79c2033f194657">
            <w:r w:rsidRPr="00532B9F">
              <w:rPr>
                <w:rFonts w:ascii="Times New Roman" w:eastAsia="MS Mincho" w:hAnsi="Times New Roman"/>
                <w:sz w:val="20"/>
                <w:iCs/>
                <w:color w:val="0000FF" w:themeColor="hyperlink"/>
                <w:u w:val="single"/>
              </w:rPr>
              <w:t>V-1</w:t>
            </w:r>
          </w:fldSimple>
          <w:r>
            <w:rPr>
              <w:rFonts w:ascii="Times New Roman" w:eastAsia="MS Mincho" w:hAnsi="Times New Roman"/>
              <w:sz w:val="20"/>
              <w:iCs/>
            </w:rPr>
            <w:t>,
2017-01-02,
paskelbta TAR 2017-01-03, i. k. 2017-00405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87a1c2015da11e79800e8266c1e5d1b">
            <w:r w:rsidRPr="00532B9F">
              <w:rPr>
                <w:rFonts w:ascii="Times New Roman" w:eastAsia="MS Mincho" w:hAnsi="Times New Roman"/>
                <w:sz w:val="20"/>
                <w:iCs/>
                <w:color w:val="0000FF" w:themeColor="hyperlink"/>
                <w:u w:val="single"/>
              </w:rPr>
              <w:t>V-354</w:t>
            </w:r>
          </w:fldSimple>
          <w:r>
            <w:rPr>
              <w:rFonts w:ascii="Times New Roman" w:eastAsia="MS Mincho" w:hAnsi="Times New Roman"/>
              <w:sz w:val="20"/>
              <w:iCs/>
            </w:rPr>
            <w:t>,
2017-03-27,
paskelbta TAR 2017-03-31, i. k. 2017-05281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943b540529011e7846ef01bfffb9b64">
            <w:r w:rsidRPr="00532B9F">
              <w:rPr>
                <w:rFonts w:ascii="Times New Roman" w:eastAsia="MS Mincho" w:hAnsi="Times New Roman"/>
                <w:sz w:val="20"/>
                <w:iCs/>
                <w:color w:val="0000FF" w:themeColor="hyperlink"/>
                <w:u w:val="single"/>
              </w:rPr>
              <w:t>V-715</w:t>
            </w:r>
          </w:fldSimple>
          <w:r>
            <w:rPr>
              <w:rFonts w:ascii="Times New Roman" w:eastAsia="MS Mincho" w:hAnsi="Times New Roman"/>
              <w:sz w:val="20"/>
              <w:iCs/>
            </w:rPr>
            <w:t>,
2017-06-14,
paskelbta TAR 2017-06-19, i. k. 2017-10169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45be9f0398911e881f2ba995b003ed2">
            <w:r w:rsidRPr="00532B9F">
              <w:rPr>
                <w:rFonts w:ascii="Times New Roman" w:eastAsia="MS Mincho" w:hAnsi="Times New Roman"/>
                <w:sz w:val="20"/>
                <w:iCs/>
                <w:color w:val="0000FF" w:themeColor="hyperlink"/>
                <w:u w:val="single"/>
              </w:rPr>
              <w:t>V-381</w:t>
            </w:r>
          </w:fldSimple>
          <w:r>
            <w:rPr>
              <w:rFonts w:ascii="Times New Roman" w:eastAsia="MS Mincho" w:hAnsi="Times New Roman"/>
              <w:sz w:val="20"/>
              <w:iCs/>
            </w:rPr>
            <w:t>,
2018-04-06,
paskelbta TAR 2018-04-09, i. k. 2018-05598                </w:t>
          </w:r>
        </w:p>
        <w:p>
          <w:pPr>
            <w:jc w:val="both"/>
            <w:rPr>
              <w:rFonts w:ascii="Times New Roman" w:hAnsi="Times New Roman"/>
            </w:rPr>
          </w:pPr>
          <w:r>
            <w:rPr>
              <w:rFonts w:ascii="Times New Roman" w:hAnsi="Times New Roman"/>
              <w:sz w:val="20"/>
            </w:rPr>
            <w:t>Dėl Lietuvos Respublikos sveikatos apsaugos ministro 2000 m. gegužės 31 d. įsakymu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2427960447e11e8ad2f97b2a095557a">
            <w:r w:rsidRPr="00532B9F">
              <w:rPr>
                <w:rFonts w:ascii="Times New Roman" w:eastAsia="MS Mincho" w:hAnsi="Times New Roman"/>
                <w:sz w:val="20"/>
                <w:iCs/>
                <w:color w:val="0000FF" w:themeColor="hyperlink"/>
                <w:u w:val="single"/>
              </w:rPr>
              <w:t>V-458</w:t>
            </w:r>
          </w:fldSimple>
          <w:r>
            <w:rPr>
              <w:rFonts w:ascii="Times New Roman" w:eastAsia="MS Mincho" w:hAnsi="Times New Roman"/>
              <w:sz w:val="20"/>
              <w:iCs/>
            </w:rPr>
            <w:t>,
2018-04-19,
paskelbta TAR 2018-04-20, i. k. 2018-06362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03834b0b03d11e88f64a5ecc703f89b">
            <w:r w:rsidRPr="00532B9F">
              <w:rPr>
                <w:rFonts w:ascii="Times New Roman" w:eastAsia="MS Mincho" w:hAnsi="Times New Roman"/>
                <w:sz w:val="20"/>
                <w:iCs/>
                <w:color w:val="0000FF" w:themeColor="hyperlink"/>
                <w:u w:val="single"/>
              </w:rPr>
              <w:t>V-976</w:t>
            </w:r>
          </w:fldSimple>
          <w:r>
            <w:rPr>
              <w:rFonts w:ascii="Times New Roman" w:eastAsia="MS Mincho" w:hAnsi="Times New Roman"/>
              <w:sz w:val="20"/>
              <w:iCs/>
            </w:rPr>
            <w:t>,
2018-09-04,
paskelbta TAR 2018-09-04, i. k. 2018-13962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88105e0b72011e88f64a5ecc703f89b">
            <w:r w:rsidRPr="00532B9F">
              <w:rPr>
                <w:rFonts w:ascii="Times New Roman" w:eastAsia="MS Mincho" w:hAnsi="Times New Roman"/>
                <w:sz w:val="20"/>
                <w:iCs/>
                <w:color w:val="0000FF" w:themeColor="hyperlink"/>
                <w:u w:val="single"/>
              </w:rPr>
              <w:t>V-1000</w:t>
            </w:r>
          </w:fldSimple>
          <w:r>
            <w:rPr>
              <w:rFonts w:ascii="Times New Roman" w:eastAsia="MS Mincho" w:hAnsi="Times New Roman"/>
              <w:sz w:val="20"/>
              <w:iCs/>
            </w:rPr>
            <w:t>,
2018-09-11,
paskelbta TAR 2018-09-13, i. k. 2018-14464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506cda0e0df11e89acab3ff12d77081">
            <w:r w:rsidRPr="00532B9F">
              <w:rPr>
                <w:rFonts w:ascii="Times New Roman" w:eastAsia="MS Mincho" w:hAnsi="Times New Roman"/>
                <w:sz w:val="20"/>
                <w:iCs/>
                <w:color w:val="0000FF" w:themeColor="hyperlink"/>
                <w:u w:val="single"/>
              </w:rPr>
              <w:t>V-1210</w:t>
            </w:r>
          </w:fldSimple>
          <w:r>
            <w:rPr>
              <w:rFonts w:ascii="Times New Roman" w:eastAsia="MS Mincho" w:hAnsi="Times New Roman"/>
              <w:sz w:val="20"/>
              <w:iCs/>
            </w:rPr>
            <w:t>,
2018-11-02,
paskelbta TAR 2018-11-05, i. k. 2018-17813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fbf82d0127b11e9b2b6e7cdb14007b4">
            <w:r w:rsidRPr="00532B9F">
              <w:rPr>
                <w:rFonts w:ascii="Times New Roman" w:eastAsia="MS Mincho" w:hAnsi="Times New Roman"/>
                <w:sz w:val="20"/>
                <w:iCs/>
                <w:color w:val="0000FF" w:themeColor="hyperlink"/>
                <w:u w:val="single"/>
              </w:rPr>
              <w:t>V-12</w:t>
            </w:r>
          </w:fldSimple>
          <w:r>
            <w:rPr>
              <w:rFonts w:ascii="Times New Roman" w:eastAsia="MS Mincho" w:hAnsi="Times New Roman"/>
              <w:sz w:val="20"/>
              <w:iCs/>
            </w:rPr>
            <w:t>,
2019-01-03,
paskelbta TAR 2019-01-07, i. k. 2019-00194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03cf8f0601411e98b599e654d7d03a0">
            <w:r w:rsidRPr="00532B9F">
              <w:rPr>
                <w:rFonts w:ascii="Times New Roman" w:eastAsia="MS Mincho" w:hAnsi="Times New Roman"/>
                <w:sz w:val="20"/>
                <w:iCs/>
                <w:color w:val="0000FF" w:themeColor="hyperlink"/>
                <w:u w:val="single"/>
              </w:rPr>
              <w:t>V-422</w:t>
            </w:r>
          </w:fldSimple>
          <w:r>
            <w:rPr>
              <w:rFonts w:ascii="Times New Roman" w:eastAsia="MS Mincho" w:hAnsi="Times New Roman"/>
              <w:sz w:val="20"/>
              <w:iCs/>
            </w:rPr>
            <w:t>,
2019-04-15,
paskelbta TAR 2019-04-16, i. k. 2019-06202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3595bc076f111e9b81587fcbd5a76f6">
            <w:r w:rsidRPr="00532B9F">
              <w:rPr>
                <w:rFonts w:ascii="Times New Roman" w:eastAsia="MS Mincho" w:hAnsi="Times New Roman"/>
                <w:sz w:val="20"/>
                <w:iCs/>
                <w:color w:val="0000FF" w:themeColor="hyperlink"/>
                <w:u w:val="single"/>
              </w:rPr>
              <w:t>V-566</w:t>
            </w:r>
          </w:fldSimple>
          <w:r>
            <w:rPr>
              <w:rFonts w:ascii="Times New Roman" w:eastAsia="MS Mincho" w:hAnsi="Times New Roman"/>
              <w:sz w:val="20"/>
              <w:iCs/>
            </w:rPr>
            <w:t>,
2019-05-14,
paskelbta TAR 2019-05-15, i. k. 2019-07703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c383fb0a9f911e9964cdd77475976b0">
            <w:r w:rsidRPr="00532B9F">
              <w:rPr>
                <w:rFonts w:ascii="Times New Roman" w:eastAsia="MS Mincho" w:hAnsi="Times New Roman"/>
                <w:sz w:val="20"/>
                <w:iCs/>
                <w:color w:val="0000FF" w:themeColor="hyperlink"/>
                <w:u w:val="single"/>
              </w:rPr>
              <w:t>V-844</w:t>
            </w:r>
          </w:fldSimple>
          <w:r>
            <w:rPr>
              <w:rFonts w:ascii="Times New Roman" w:eastAsia="MS Mincho" w:hAnsi="Times New Roman"/>
              <w:sz w:val="20"/>
              <w:iCs/>
            </w:rPr>
            <w:t>,
2019-07-18,
paskelbta TAR 2019-07-19, i. k. 2019-11907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2331b102b1511eabe008ea93139d588">
            <w:r w:rsidRPr="00532B9F">
              <w:rPr>
                <w:rFonts w:ascii="Times New Roman" w:eastAsia="MS Mincho" w:hAnsi="Times New Roman"/>
                <w:sz w:val="20"/>
                <w:iCs/>
                <w:color w:val="0000FF" w:themeColor="hyperlink"/>
                <w:u w:val="single"/>
              </w:rPr>
              <w:t>V-1512</w:t>
            </w:r>
          </w:fldSimple>
          <w:r>
            <w:rPr>
              <w:rFonts w:ascii="Times New Roman" w:eastAsia="MS Mincho" w:hAnsi="Times New Roman"/>
              <w:sz w:val="20"/>
              <w:iCs/>
            </w:rPr>
            <w:t>,
2019-12-30,
paskelbta TAR 2019-12-31, i. k. 2019-21686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3e619f0322711eabe008ea93139d588">
            <w:r w:rsidRPr="00532B9F">
              <w:rPr>
                <w:rFonts w:ascii="Times New Roman" w:eastAsia="MS Mincho" w:hAnsi="Times New Roman"/>
                <w:sz w:val="20"/>
                <w:iCs/>
                <w:color w:val="0000FF" w:themeColor="hyperlink"/>
                <w:u w:val="single"/>
              </w:rPr>
              <w:t>V-20</w:t>
            </w:r>
          </w:fldSimple>
          <w:r>
            <w:rPr>
              <w:rFonts w:ascii="Times New Roman" w:eastAsia="MS Mincho" w:hAnsi="Times New Roman"/>
              <w:sz w:val="20"/>
              <w:iCs/>
            </w:rPr>
            <w:t>,
2020-01-07,
paskelbta TAR 2020-01-09, i. k. 2020-00251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babfed02ba411eabe008ea93139d588">
            <w:r w:rsidRPr="00532B9F">
              <w:rPr>
                <w:rFonts w:ascii="Times New Roman" w:eastAsia="MS Mincho" w:hAnsi="Times New Roman"/>
                <w:sz w:val="20"/>
                <w:iCs/>
                <w:color w:val="0000FF" w:themeColor="hyperlink"/>
                <w:u w:val="single"/>
              </w:rPr>
              <w:t>V-1535</w:t>
            </w:r>
          </w:fldSimple>
          <w:r>
            <w:rPr>
              <w:rFonts w:ascii="Times New Roman" w:eastAsia="MS Mincho" w:hAnsi="Times New Roman"/>
              <w:sz w:val="20"/>
              <w:iCs/>
            </w:rPr>
            <w:t>,
2019-12-30,
paskelbta TAR 2019-12-31, i. k. 2019-21774                </w:t>
          </w:r>
        </w:p>
        <w:p>
          <w:pPr>
            <w:jc w:val="both"/>
            <w:rPr>
              <w:rFonts w:ascii="Times New Roman" w:hAnsi="Times New Roman"/>
            </w:rPr>
          </w:pPr>
          <w:r>
            <w:rPr>
              <w:rFonts w:ascii="Times New Roman" w:hAnsi="Times New Roman"/>
              <w:sz w:val="20"/>
            </w:rPr>
            <w:t>Dėl Lietuvos Respublikos sveikatos apsaugos ministro 2019 m. gegužės 14 d. įsakymo Nr. V-566 "Dėl Lietuvos Respublikos sveikatos apsaugos ministro 2000 m. gegužės 31 d. įsakymo Nr. 301 „Dėl profilaktinių sveikatos tikrinimų sveikatos priežiūros įstaigose“ pakeitimo“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dfc9970c0f011ea9815f635b9c0dcef">
            <w:r w:rsidRPr="00532B9F">
              <w:rPr>
                <w:rFonts w:ascii="Times New Roman" w:eastAsia="MS Mincho" w:hAnsi="Times New Roman"/>
                <w:sz w:val="20"/>
                <w:iCs/>
                <w:color w:val="0000FF" w:themeColor="hyperlink"/>
                <w:u w:val="single"/>
              </w:rPr>
              <w:t>V-1615</w:t>
            </w:r>
          </w:fldSimple>
          <w:r>
            <w:rPr>
              <w:rFonts w:ascii="Times New Roman" w:eastAsia="MS Mincho" w:hAnsi="Times New Roman"/>
              <w:sz w:val="20"/>
              <w:iCs/>
            </w:rPr>
            <w:t>,
2020-07-07,
paskelbta TAR 2020-07-08, i. k. 2020-15197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b5f42a0ee9f11eaa12ad7c04a383ca0">
            <w:r w:rsidRPr="00532B9F">
              <w:rPr>
                <w:rFonts w:ascii="Times New Roman" w:eastAsia="MS Mincho" w:hAnsi="Times New Roman"/>
                <w:sz w:val="20"/>
                <w:iCs/>
                <w:color w:val="0000FF" w:themeColor="hyperlink"/>
                <w:u w:val="single"/>
              </w:rPr>
              <w:t>V-1978</w:t>
            </w:r>
          </w:fldSimple>
          <w:r>
            <w:rPr>
              <w:rFonts w:ascii="Times New Roman" w:eastAsia="MS Mincho" w:hAnsi="Times New Roman"/>
              <w:sz w:val="20"/>
              <w:iCs/>
            </w:rPr>
            <w:t>,
2020-09-04,
paskelbta TAR 2020-09-04, i. k. 2020-18795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3f3a0a0015a11ebb74de75171d26d52">
            <w:r w:rsidRPr="00532B9F">
              <w:rPr>
                <w:rFonts w:ascii="Times New Roman" w:eastAsia="MS Mincho" w:hAnsi="Times New Roman"/>
                <w:sz w:val="20"/>
                <w:iCs/>
                <w:color w:val="0000FF" w:themeColor="hyperlink"/>
                <w:u w:val="single"/>
              </w:rPr>
              <w:t>V-2130</w:t>
            </w:r>
          </w:fldSimple>
          <w:r>
            <w:rPr>
              <w:rFonts w:ascii="Times New Roman" w:eastAsia="MS Mincho" w:hAnsi="Times New Roman"/>
              <w:sz w:val="20"/>
              <w:iCs/>
            </w:rPr>
            <w:t>,
2020-09-28,
paskelbta TAR 2020-09-28, i. k. 2020-20108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a867da0079e11ebb74de75171d26d52">
            <w:r w:rsidRPr="00532B9F">
              <w:rPr>
                <w:rFonts w:ascii="Times New Roman" w:eastAsia="MS Mincho" w:hAnsi="Times New Roman"/>
                <w:sz w:val="20"/>
                <w:iCs/>
                <w:color w:val="0000FF" w:themeColor="hyperlink"/>
                <w:u w:val="single"/>
              </w:rPr>
              <w:t>V-2191</w:t>
            </w:r>
          </w:fldSimple>
          <w:r>
            <w:rPr>
              <w:rFonts w:ascii="Times New Roman" w:eastAsia="MS Mincho" w:hAnsi="Times New Roman"/>
              <w:sz w:val="20"/>
              <w:iCs/>
            </w:rPr>
            <w:t>,
2020-10-06,
paskelbta TAR 2020-10-06, i. k. 2020-20813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6786370499811eb8d9fe110e148c770">
            <w:r w:rsidRPr="00532B9F">
              <w:rPr>
                <w:rFonts w:ascii="Times New Roman" w:eastAsia="MS Mincho" w:hAnsi="Times New Roman"/>
                <w:sz w:val="20"/>
                <w:iCs/>
                <w:color w:val="0000FF" w:themeColor="hyperlink"/>
                <w:u w:val="single"/>
              </w:rPr>
              <w:t>V-3037</w:t>
            </w:r>
          </w:fldSimple>
          <w:r>
            <w:rPr>
              <w:rFonts w:ascii="Times New Roman" w:eastAsia="MS Mincho" w:hAnsi="Times New Roman"/>
              <w:sz w:val="20"/>
              <w:iCs/>
            </w:rPr>
            <w:t>,
2020-12-28,
paskelbta TAR 2020-12-29, i. k. 2020-28848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4401b00a81711ebbcbbc2971cdac3cb">
            <w:r w:rsidRPr="00532B9F">
              <w:rPr>
                <w:rFonts w:ascii="Times New Roman" w:eastAsia="MS Mincho" w:hAnsi="Times New Roman"/>
                <w:sz w:val="20"/>
                <w:iCs/>
                <w:color w:val="0000FF" w:themeColor="hyperlink"/>
                <w:u w:val="single"/>
              </w:rPr>
              <w:t>V-967</w:t>
            </w:r>
          </w:fldSimple>
          <w:r>
            <w:rPr>
              <w:rFonts w:ascii="Times New Roman" w:eastAsia="MS Mincho" w:hAnsi="Times New Roman"/>
              <w:sz w:val="20"/>
              <w:iCs/>
            </w:rPr>
            <w:t>,
2021-04-28,
paskelbta TAR 2021-04-28, i. k. 2021-08887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d6f3b7046d011ec992fe4cdfceb5666">
            <w:r w:rsidRPr="00532B9F">
              <w:rPr>
                <w:rFonts w:ascii="Times New Roman" w:eastAsia="MS Mincho" w:hAnsi="Times New Roman"/>
                <w:sz w:val="20"/>
                <w:iCs/>
                <w:color w:val="0000FF" w:themeColor="hyperlink"/>
                <w:u w:val="single"/>
              </w:rPr>
              <w:t>V-2596</w:t>
            </w:r>
          </w:fldSimple>
          <w:r>
            <w:rPr>
              <w:rFonts w:ascii="Times New Roman" w:eastAsia="MS Mincho" w:hAnsi="Times New Roman"/>
              <w:sz w:val="20"/>
              <w:iCs/>
            </w:rPr>
            <w:t>,
2021-11-16,
paskelbta TAR 2021-11-16, i. k. 2021-23674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9161250a64511ed8df094f359a60216">
            <w:r w:rsidRPr="00532B9F">
              <w:rPr>
                <w:rFonts w:ascii="Times New Roman" w:eastAsia="MS Mincho" w:hAnsi="Times New Roman"/>
                <w:sz w:val="20"/>
                <w:iCs/>
                <w:color w:val="0000FF" w:themeColor="hyperlink"/>
                <w:u w:val="single"/>
              </w:rPr>
              <w:t>V-175</w:t>
            </w:r>
          </w:fldSimple>
          <w:r>
            <w:rPr>
              <w:rFonts w:ascii="Times New Roman" w:eastAsia="MS Mincho" w:hAnsi="Times New Roman"/>
              <w:sz w:val="20"/>
              <w:iCs/>
            </w:rPr>
            <w:t>,
2023-02-06,
paskelbta TAR 2023-02-06, i. k. 2023-02219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0f81cd0e33011ed9978886e85107ab2">
            <w:r w:rsidRPr="00532B9F">
              <w:rPr>
                <w:rFonts w:ascii="Times New Roman" w:eastAsia="MS Mincho" w:hAnsi="Times New Roman"/>
                <w:sz w:val="20"/>
                <w:iCs/>
                <w:color w:val="0000FF" w:themeColor="hyperlink"/>
                <w:u w:val="single"/>
              </w:rPr>
              <w:t>V-506</w:t>
            </w:r>
          </w:fldSimple>
          <w:r>
            <w:rPr>
              <w:rFonts w:ascii="Times New Roman" w:eastAsia="MS Mincho" w:hAnsi="Times New Roman"/>
              <w:sz w:val="20"/>
              <w:iCs/>
            </w:rPr>
            <w:t>,
2023-04-25,
paskelbta TAR 2023-04-25, i. k. 2023-07901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7fe2fc0837e11eea5a28c81c82193a8">
            <w:r w:rsidRPr="00532B9F">
              <w:rPr>
                <w:rFonts w:ascii="Times New Roman" w:eastAsia="MS Mincho" w:hAnsi="Times New Roman"/>
                <w:sz w:val="20"/>
                <w:iCs/>
                <w:color w:val="0000FF" w:themeColor="hyperlink"/>
                <w:u w:val="single"/>
              </w:rPr>
              <w:t>V-1178</w:t>
            </w:r>
          </w:fldSimple>
          <w:r>
            <w:rPr>
              <w:rFonts w:ascii="Times New Roman" w:eastAsia="MS Mincho" w:hAnsi="Times New Roman"/>
              <w:sz w:val="20"/>
              <w:iCs/>
            </w:rPr>
            <w:t>,
2023-11-15,
paskelbta TAR 2023-11-15, i. k. 2023-21992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05ed8c092cc11eea5a28c81c82193a8">
            <w:r w:rsidRPr="00532B9F">
              <w:rPr>
                <w:rFonts w:ascii="Times New Roman" w:eastAsia="MS Mincho" w:hAnsi="Times New Roman"/>
                <w:sz w:val="20"/>
                <w:iCs/>
                <w:color w:val="0000FF" w:themeColor="hyperlink"/>
                <w:u w:val="single"/>
              </w:rPr>
              <w:t>V-1259</w:t>
            </w:r>
          </w:fldSimple>
          <w:r>
            <w:rPr>
              <w:rFonts w:ascii="Times New Roman" w:eastAsia="MS Mincho" w:hAnsi="Times New Roman"/>
              <w:sz w:val="20"/>
              <w:iCs/>
            </w:rPr>
            <w:t>,
2023-12-04,
paskelbta TAR 2023-12-04, i. k. 2023-23483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aeeec50b68911eea5a28c81c82193a8">
            <w:r w:rsidRPr="00532B9F">
              <w:rPr>
                <w:rFonts w:ascii="Times New Roman" w:eastAsia="MS Mincho" w:hAnsi="Times New Roman"/>
                <w:sz w:val="20"/>
                <w:iCs/>
                <w:color w:val="0000FF" w:themeColor="hyperlink"/>
                <w:u w:val="single"/>
              </w:rPr>
              <w:t>V-62</w:t>
            </w:r>
          </w:fldSimple>
          <w:r>
            <w:rPr>
              <w:rFonts w:ascii="Times New Roman" w:eastAsia="MS Mincho" w:hAnsi="Times New Roman"/>
              <w:sz w:val="20"/>
              <w:iCs/>
            </w:rPr>
            <w:t>,
2024-01-19,
paskelbta TAR 2024-01-19, i. k. 2024-00826                </w:t>
          </w:r>
        </w:p>
        <w:p>
          <w:pPr>
            <w:jc w:val="both"/>
            <w:rPr>
              <w:rFonts w:ascii="Times New Roman" w:hAnsi="Times New Roman"/>
            </w:rPr>
          </w:pPr>
          <w:r>
            <w:rPr>
              <w:rFonts w:ascii="Times New Roman" w:hAnsi="Times New Roman"/>
              <w:sz w:val="20"/>
            </w:rPr>
            <w:t>Dėl Lietuvos Respublikos sveikatos apsaugos ministro 2023 m. lapkričio 15 d. įsakymo Nr. V-1178 ,,Dėl Lietuvos Respublikos sveikatos apsaugos ministro 2000 m. gegužės 31 d. įsakymo Nr. 301 „Dėl profilaktinių sveikatos tikrinimų sveikatos priežiūros įstaigose“ pakeitimo“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3742710121811efbcbfb318996800a8">
            <w:r w:rsidRPr="00532B9F">
              <w:rPr>
                <w:rFonts w:ascii="Times New Roman" w:eastAsia="MS Mincho" w:hAnsi="Times New Roman"/>
                <w:sz w:val="20"/>
                <w:iCs/>
                <w:color w:val="0000FF" w:themeColor="hyperlink"/>
                <w:u w:val="single"/>
              </w:rPr>
              <w:t>V-530</w:t>
            </w:r>
          </w:fldSimple>
          <w:r>
            <w:rPr>
              <w:rFonts w:ascii="Times New Roman" w:eastAsia="MS Mincho" w:hAnsi="Times New Roman"/>
              <w:sz w:val="20"/>
              <w:iCs/>
            </w:rPr>
            <w:t>,
2024-05-13,
paskelbta TAR 2024-05-15, i. k. 2024-08858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3c1d914846111efabdbb4a1fc8b0b63">
            <w:r w:rsidRPr="00532B9F">
              <w:rPr>
                <w:rFonts w:ascii="Times New Roman" w:eastAsia="MS Mincho" w:hAnsi="Times New Roman"/>
                <w:sz w:val="20"/>
                <w:iCs/>
                <w:color w:val="0000FF" w:themeColor="hyperlink"/>
                <w:u w:val="single"/>
              </w:rPr>
              <w:t>V-966</w:t>
            </w:r>
          </w:fldSimple>
          <w:r>
            <w:rPr>
              <w:rFonts w:ascii="Times New Roman" w:eastAsia="MS Mincho" w:hAnsi="Times New Roman"/>
              <w:sz w:val="20"/>
              <w:iCs/>
            </w:rPr>
            <w:t>,
2024-10-07,
paskelbta TAR 2024-10-07, i. k. 2024-17546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default" r:id="rId1"/>
      <w:headerReference w:type="first" r:id="rId2"/>
      <w:pgSz w:w="11907" w:h="16839"/>
      <w:pgMar w:top="1134"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TimesLT">
    <w:altName w:val="Times New Roman"/>
    <w:charset w:val="BA"/>
    <w:family w:val="roman"/>
    <w:pitch w:val="variable"/>
    <w:sig w:usb0="00000001" w:usb1="00000000" w:usb2="00000000" w:usb3="00000000" w:csb0="0000009F" w:csb1="00000000"/>
  </w:font>
  <w:font w:name="Wingdings">
    <w:panose1 w:val="05000000000000000000"/>
    <w:charset w:val="02"/>
    <w:family w:val="auto"/>
    <w:pitch w:val="variable"/>
    <w:sig w:usb0="00000000" w:usb1="10000000" w:usb2="00000000" w:usb3="00000000" w:csb0="80000000" w:csb1="00000000"/>
  </w:font>
  <w:font w:name="MS Mincho">
    <w:altName w:val="Yu Gothic UI"/>
    <w:panose1 w:val="02020609040205080304"/>
    <w:charset w:val="80"/>
    <w:family w:val="modern"/>
    <w:pitch w:val="fixed"/>
    <w:sig w:usb0="E00002FF" w:usb1="6AC7FDFB" w:usb2="00000012" w:usb3="00000000" w:csb0="0002009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BA"/>
    <w:family w:val="modern"/>
    <w:pitch w:val="fixed"/>
    <w:sig w:usb0="E0002EFF" w:usb1="C0007843" w:usb2="00000009" w:usb3="00000000" w:csb0="000001FF" w:csb1="00000000"/>
  </w:font>
  <w:font w:name="Times">
    <w:panose1 w:val="02020603050405020304"/>
    <w:charset w:val="00"/>
    <w:family w:val="roman"/>
    <w:pitch w:val="variable"/>
    <w:sig w:usb0="E0002EFF" w:usb1="C000785B" w:usb2="00000009" w:usb3="00000000" w:csb0="000001FF" w:csb1="00000000"/>
  </w:font>
  <w:font w:name="CIDFont+F4">
    <w:altName w:val="Yu Gothic UI"/>
    <w:panose1 w:val="00000000000000000000"/>
    <w:charset w:val="80"/>
    <w:family w:val="auto"/>
    <w:notTrueType/>
    <w:pitch w:val="default"/>
    <w:sig w:usb0="00000005" w:usb1="08070000" w:usb2="00000010" w:usb3="00000000" w:csb0="00020080" w:csb1="00000000"/>
  </w:font>
  <w:font w:name="CIDFont+F3">
    <w:altName w:val="Yu Gothic UI"/>
    <w:panose1 w:val="00000000000000000000"/>
    <w:charset w:val="80"/>
    <w:family w:val="auto"/>
    <w:notTrueType/>
    <w:pitch w:val="default"/>
    <w:sig w:usb0="00000001" w:usb1="08070000" w:usb2="00000010" w:usb3="00000000" w:csb0="00020000" w:csb1="00000000"/>
  </w:font>
  <w:font w:name="Trebuchet MS">
    <w:panose1 w:val="020B0603020202020204"/>
    <w:charset w:val="BA"/>
    <w:family w:val="swiss"/>
    <w:pitch w:val="variable"/>
    <w:sig w:usb0="00000687" w:usb1="00000000" w:usb2="00000000" w:usb3="00000000" w:csb0="0000009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ind w:right="360"/>
    </w:pPr>
  </w:p>
</w:ftr>
</file>

<file path=word/footer1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2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2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2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2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2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2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2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2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2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2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2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2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2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2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2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2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2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2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2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rPr>
    </w:pPr>
  </w:p>
</w:ftr>
</file>

<file path=word/footer2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rPr>
    </w:pPr>
  </w:p>
</w:ftr>
</file>

<file path=word/footer2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rPr>
    </w:pPr>
  </w:p>
</w:ftr>
</file>

<file path=word/footer2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rPr>
    </w:pPr>
  </w:p>
</w:ftr>
</file>

<file path=word/footer2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rPr>
    </w:pPr>
  </w:p>
</w:ftr>
</file>

<file path=word/footer2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2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2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2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2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3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ind w:right="360"/>
    </w:pPr>
  </w:p>
</w:ftr>
</file>

<file path=word/footer3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ind w:right="360"/>
    </w:pPr>
  </w:p>
</w:ftr>
</file>

<file path=word/footer3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ind w:right="360"/>
    </w:pPr>
  </w:p>
</w:ftr>
</file>

<file path=word/footer3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3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3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3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lang w:val="en-GB"/>
      </w:rPr>
    </w:pPr>
  </w:p>
</w:hdr>
</file>

<file path=word/header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28</w:t>
    </w:r>
    <w:r>
      <w:rPr>
        <w:lang w:val="en-GB"/>
      </w:rPr>
      <w:fldChar w:fldCharType="end"/>
    </w:r>
  </w:p>
  <w:p>
    <w:pPr>
      <w:tabs>
        <w:tab w:val="center" w:pos="4153"/>
        <w:tab w:val="right" w:pos="8306"/>
      </w:tabs>
      <w:rPr>
        <w:lang w:val="en-GB"/>
      </w:rPr>
    </w:pPr>
  </w:p>
</w:hdr>
</file>

<file path=word/header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1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1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5</w:t>
    </w:r>
    <w:r>
      <w:fldChar w:fldCharType="end"/>
    </w:r>
  </w:p>
  <w:p>
    <w:pPr>
      <w:tabs>
        <w:tab w:val="center" w:pos="4153"/>
        <w:tab w:val="right" w:pos="8306"/>
      </w:tabs>
      <w:rPr>
        <w:szCs w:val="24"/>
      </w:rPr>
    </w:pPr>
  </w:p>
</w:hdr>
</file>

<file path=word/header1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hdr>
</file>

<file path=word/header1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szCs w:val="24"/>
      </w:rPr>
    </w:pPr>
  </w:p>
</w:hdr>
</file>

<file path=word/header1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hdr>
</file>

<file path=word/header1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7</w:t>
    </w:r>
    <w:r>
      <w:fldChar w:fldCharType="end"/>
    </w:r>
  </w:p>
  <w:p>
    <w:pPr>
      <w:tabs>
        <w:tab w:val="center" w:pos="4153"/>
        <w:tab w:val="right" w:pos="8306"/>
      </w:tabs>
      <w:rPr>
        <w:szCs w:val="24"/>
      </w:rPr>
    </w:pPr>
  </w:p>
</w:hdr>
</file>

<file path=word/header1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hdr>
</file>

<file path=word/header1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szCs w:val="24"/>
      </w:rPr>
    </w:pPr>
  </w:p>
</w:hdr>
</file>

<file path=word/header1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hdr>
</file>

<file path=word/header1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szCs w:val="24"/>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53</w:t>
    </w:r>
    <w:r>
      <w:rPr>
        <w:lang w:val="en-GB"/>
      </w:rPr>
      <w:fldChar w:fldCharType="end"/>
    </w:r>
  </w:p>
  <w:p>
    <w:pPr>
      <w:tabs>
        <w:tab w:val="center" w:pos="4153"/>
        <w:tab w:val="right" w:pos="8306"/>
      </w:tabs>
      <w:rPr>
        <w:lang w:val="en-GB"/>
      </w:rPr>
    </w:pPr>
  </w:p>
</w:hdr>
</file>

<file path=word/header1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hdr>
</file>

<file path=word/header1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szCs w:val="24"/>
      </w:rPr>
    </w:pPr>
  </w:p>
</w:hdr>
</file>

<file path=word/header1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hdr>
</file>

<file path=word/header1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szCs w:val="24"/>
      </w:rPr>
    </w:pPr>
  </w:p>
</w:hdr>
</file>

<file path=word/header1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hdr>
</file>

<file path=word/header1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szCs w:val="24"/>
      </w:rPr>
    </w:pPr>
  </w:p>
</w:hdr>
</file>

<file path=word/header1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1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8</w:t>
    </w:r>
    <w:r>
      <w:fldChar w:fldCharType="end"/>
    </w:r>
  </w:p>
  <w:p>
    <w:pPr>
      <w:tabs>
        <w:tab w:val="center" w:pos="4153"/>
        <w:tab w:val="right" w:pos="8306"/>
      </w:tabs>
      <w:rPr>
        <w:szCs w:val="24"/>
      </w:rPr>
    </w:pPr>
  </w:p>
</w:hdr>
</file>

<file path=word/header1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hdr>
</file>

<file path=word/header1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szCs w:val="24"/>
      </w:rPr>
    </w:pPr>
  </w:p>
</w:hdr>
</file>

<file path=word/header1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hdr>
</file>

<file path=word/header1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szCs w:val="24"/>
      </w:rPr>
    </w:pPr>
  </w:p>
</w:hdr>
</file>

<file path=word/header1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28</w:t>
    </w:r>
    <w:r>
      <w:fldChar w:fldCharType="end"/>
    </w:r>
  </w:p>
  <w:p>
    <w:pPr>
      <w:tabs>
        <w:tab w:val="center" w:pos="4153"/>
        <w:tab w:val="right" w:pos="8306"/>
      </w:tabs>
      <w:rPr>
        <w:lang w:eastAsia="lt-LT"/>
      </w:rPr>
    </w:pPr>
  </w:p>
</w:hdr>
</file>

<file path=word/header1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8</w:t>
    </w:r>
    <w:r>
      <w:fldChar w:fldCharType="end"/>
    </w:r>
  </w:p>
  <w:p>
    <w:pPr>
      <w:tabs>
        <w:tab w:val="center" w:pos="4153"/>
        <w:tab w:val="right" w:pos="8306"/>
      </w:tabs>
      <w:rPr>
        <w:szCs w:val="24"/>
      </w:rPr>
    </w:pPr>
  </w:p>
</w:hdr>
</file>

<file path=word/header1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szCs w:val="24"/>
      </w:rPr>
    </w:pPr>
  </w:p>
</w:hdr>
</file>

<file path=word/header1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1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21</w:t>
    </w:r>
    <w:r>
      <w:fldChar w:fldCharType="end"/>
    </w:r>
  </w:p>
  <w:p>
    <w:pPr>
      <w:tabs>
        <w:tab w:val="center" w:pos="4153"/>
        <w:tab w:val="right" w:pos="8306"/>
      </w:tabs>
      <w:rPr>
        <w:lang w:val="en-GB"/>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16</w:t>
    </w:r>
    <w:r>
      <w:fldChar w:fldCharType="end"/>
    </w:r>
  </w:p>
  <w:p>
    <w:pPr>
      <w:tabs>
        <w:tab w:val="center" w:pos="4153"/>
        <w:tab w:val="right" w:pos="8306"/>
      </w:tabs>
      <w:rPr>
        <w:lang w:val="en-GB"/>
      </w:rPr>
    </w:pPr>
  </w:p>
</w:hdr>
</file>

<file path=word/header1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21</w:t>
    </w:r>
    <w:r>
      <w:fldChar w:fldCharType="end"/>
    </w:r>
  </w:p>
  <w:p>
    <w:pPr>
      <w:tabs>
        <w:tab w:val="center" w:pos="4153"/>
        <w:tab w:val="right" w:pos="8306"/>
      </w:tabs>
      <w:rPr>
        <w:lang w:val="en-GB"/>
      </w:rPr>
    </w:pPr>
  </w:p>
</w:hdr>
</file>

<file path=word/header1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25</w:t>
    </w:r>
    <w:r>
      <w:fldChar w:fldCharType="end"/>
    </w:r>
  </w:p>
  <w:p>
    <w:pPr>
      <w:tabs>
        <w:tab w:val="center" w:pos="4153"/>
        <w:tab w:val="right" w:pos="8306"/>
      </w:tabs>
      <w:rPr>
        <w:lang w:val="en-GB"/>
      </w:rPr>
    </w:pPr>
  </w:p>
</w:hdr>
</file>

<file path=word/header1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15</w:t>
    </w:r>
    <w:r>
      <w:fldChar w:fldCharType="end"/>
    </w:r>
  </w:p>
  <w:p>
    <w:pPr>
      <w:tabs>
        <w:tab w:val="center" w:pos="4153"/>
        <w:tab w:val="right" w:pos="8306"/>
      </w:tabs>
      <w:rPr>
        <w:lang w:val="en-GB"/>
      </w:rPr>
    </w:pPr>
  </w:p>
</w:hdr>
</file>

<file path=word/header1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17</w:t>
    </w:r>
    <w:r>
      <w:fldChar w:fldCharType="end"/>
    </w:r>
  </w:p>
  <w:p>
    <w:pPr>
      <w:tabs>
        <w:tab w:val="center" w:pos="4153"/>
        <w:tab w:val="right" w:pos="8306"/>
      </w:tabs>
      <w:rPr>
        <w:lang w:val="en-GB"/>
      </w:rPr>
    </w:pPr>
  </w:p>
</w:hdr>
</file>

<file path=word/header1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26</w:t>
    </w:r>
    <w:r>
      <w:fldChar w:fldCharType="end"/>
    </w:r>
  </w:p>
  <w:p>
    <w:pPr>
      <w:tabs>
        <w:tab w:val="center" w:pos="4153"/>
        <w:tab w:val="right" w:pos="8306"/>
      </w:tabs>
      <w:rPr>
        <w:lang w:val="en-GB"/>
      </w:rPr>
    </w:pPr>
  </w:p>
</w:hdr>
</file>

<file path=word/header1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1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1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20</w:t>
    </w:r>
    <w:r>
      <w:fldChar w:fldCharType="end"/>
    </w:r>
  </w:p>
  <w:p>
    <w:pPr>
      <w:tabs>
        <w:tab w:val="center" w:pos="4153"/>
        <w:tab w:val="right" w:pos="8306"/>
      </w:tabs>
      <w:rPr>
        <w:lang w:val="en-GB"/>
      </w:rPr>
    </w:pPr>
  </w:p>
</w:hdr>
</file>

<file path=word/header1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1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19</w:t>
    </w:r>
    <w:r>
      <w:fldChar w:fldCharType="end"/>
    </w:r>
  </w:p>
  <w:p>
    <w:pPr>
      <w:tabs>
        <w:tab w:val="center" w:pos="4153"/>
        <w:tab w:val="right" w:pos="8306"/>
      </w:tabs>
      <w:rPr>
        <w:lang w:val="en-GB"/>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35</w:t>
    </w:r>
    <w:r>
      <w:rPr>
        <w:lang w:val="en-GB"/>
      </w:rPr>
      <w:fldChar w:fldCharType="end"/>
    </w:r>
  </w:p>
  <w:p>
    <w:pPr>
      <w:tabs>
        <w:tab w:val="center" w:pos="4153"/>
        <w:tab w:val="right" w:pos="8306"/>
      </w:tabs>
      <w:rPr>
        <w:lang w:val="en-GB"/>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2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24</w:t>
    </w:r>
    <w:r>
      <w:fldChar w:fldCharType="end"/>
    </w:r>
  </w:p>
  <w:p>
    <w:pPr>
      <w:tabs>
        <w:tab w:val="center" w:pos="4153"/>
        <w:tab w:val="right" w:pos="8306"/>
      </w:tabs>
      <w:rPr>
        <w:lang w:val="en-GB"/>
      </w:rPr>
    </w:pPr>
  </w:p>
</w:hdr>
</file>

<file path=word/header2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2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szCs w:val="24"/>
      </w:rPr>
    </w:pPr>
    <w:r>
      <w:rPr>
        <w:szCs w:val="24"/>
      </w:rPr>
      <w:fldChar w:fldCharType="begin"/>
    </w:r>
    <w:r>
      <w:rPr>
        <w:szCs w:val="24"/>
      </w:rPr>
      <w:instrText>PAGE   \* MERGEFORMAT</w:instrText>
    </w:r>
    <w:r>
      <w:rPr>
        <w:szCs w:val="24"/>
      </w:rPr>
      <w:fldChar w:fldCharType="separate"/>
    </w:r>
    <w:r>
      <w:rPr>
        <w:szCs w:val="24"/>
      </w:rPr>
      <w:t>2</w:t>
    </w:r>
    <w:r>
      <w:rPr>
        <w:szCs w:val="24"/>
      </w:rPr>
      <w:fldChar w:fldCharType="end"/>
    </w:r>
  </w:p>
  <w:p>
    <w:pPr>
      <w:tabs>
        <w:tab w:val="center" w:pos="4153"/>
        <w:tab w:val="right" w:pos="8306"/>
      </w:tabs>
      <w:jc w:val="center"/>
      <w:rPr>
        <w:szCs w:val="24"/>
      </w:rPr>
    </w:pPr>
  </w:p>
</w:hdr>
</file>

<file path=word/header2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32</w:t>
    </w:r>
    <w:r>
      <w:fldChar w:fldCharType="end"/>
    </w:r>
  </w:p>
  <w:p>
    <w:pPr>
      <w:tabs>
        <w:tab w:val="center" w:pos="4153"/>
        <w:tab w:val="right" w:pos="8306"/>
      </w:tabs>
      <w:rPr>
        <w:lang w:val="en-GB"/>
      </w:rPr>
    </w:pPr>
  </w:p>
</w:hdr>
</file>

<file path=word/header2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20</w:t>
    </w:r>
    <w:r>
      <w:fldChar w:fldCharType="end"/>
    </w:r>
  </w:p>
  <w:p>
    <w:pPr>
      <w:tabs>
        <w:tab w:val="center" w:pos="4153"/>
        <w:tab w:val="right" w:pos="8306"/>
      </w:tabs>
      <w:rPr>
        <w:lang w:val="en-GB"/>
      </w:rPr>
    </w:pPr>
  </w:p>
</w:hdr>
</file>

<file path=word/header2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2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2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32</w:t>
    </w:r>
    <w:r>
      <w:fldChar w:fldCharType="end"/>
    </w:r>
  </w:p>
  <w:p>
    <w:pPr>
      <w:tabs>
        <w:tab w:val="center" w:pos="4153"/>
        <w:tab w:val="right" w:pos="8306"/>
      </w:tabs>
      <w:rPr>
        <w:lang w:val="en-GB"/>
      </w:rPr>
    </w:pPr>
  </w:p>
</w:hdr>
</file>

<file path=word/header2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2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lang w:val="en-GB"/>
      </w:rPr>
    </w:pPr>
  </w:p>
</w:hdr>
</file>

<file path=word/header2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5</w:t>
    </w:r>
    <w:r>
      <w:fldChar w:fldCharType="end"/>
    </w:r>
  </w:p>
  <w:p>
    <w:pPr>
      <w:tabs>
        <w:tab w:val="center" w:pos="4153"/>
        <w:tab w:val="right" w:pos="8306"/>
      </w:tabs>
      <w:rPr>
        <w:lang w:val="en-GB"/>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28</w:t>
    </w:r>
    <w:r>
      <w:fldChar w:fldCharType="end"/>
    </w:r>
  </w:p>
  <w:p>
    <w:pPr>
      <w:tabs>
        <w:tab w:val="center" w:pos="4153"/>
        <w:tab w:val="right" w:pos="8306"/>
      </w:tabs>
      <w:rPr>
        <w:lang w:val="en-GB"/>
      </w:rPr>
    </w:pPr>
  </w:p>
</w:hdr>
</file>

<file path=word/header2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22</w:t>
    </w:r>
    <w:r>
      <w:fldChar w:fldCharType="end"/>
    </w:r>
  </w:p>
  <w:p>
    <w:pPr>
      <w:tabs>
        <w:tab w:val="center" w:pos="4153"/>
        <w:tab w:val="right" w:pos="8306"/>
      </w:tabs>
      <w:rPr>
        <w:lang w:val="en-GB"/>
      </w:rPr>
    </w:pPr>
  </w:p>
</w:hdr>
</file>

<file path=word/header2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2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69</w:t>
    </w:r>
    <w:r>
      <w:rPr>
        <w:lang w:val="en-GB"/>
      </w:rPr>
      <w:fldChar w:fldCharType="end"/>
    </w:r>
  </w:p>
  <w:p>
    <w:pPr>
      <w:tabs>
        <w:tab w:val="center" w:pos="4153"/>
        <w:tab w:val="right" w:pos="8306"/>
      </w:tabs>
      <w:rPr>
        <w:lang w:val="en-GB"/>
      </w:rPr>
    </w:pPr>
  </w:p>
</w:hdr>
</file>

<file path=word/header2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lang w:val="en-GB"/>
      </w:rPr>
    </w:pPr>
  </w:p>
</w:hdr>
</file>

<file path=word/header2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22</w:t>
    </w:r>
    <w:r>
      <w:fldChar w:fldCharType="end"/>
    </w:r>
  </w:p>
  <w:p>
    <w:pPr>
      <w:tabs>
        <w:tab w:val="center" w:pos="4153"/>
        <w:tab w:val="right" w:pos="8306"/>
      </w:tabs>
      <w:rPr>
        <w:lang w:val="en-GB"/>
      </w:rPr>
    </w:pPr>
  </w:p>
</w:hdr>
</file>

<file path=word/header2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lang w:val="en-GB"/>
      </w:rPr>
    </w:pPr>
  </w:p>
</w:hdr>
</file>

<file path=word/header2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36</w:t>
    </w:r>
    <w:r>
      <w:fldChar w:fldCharType="end"/>
    </w:r>
  </w:p>
  <w:p>
    <w:pPr>
      <w:tabs>
        <w:tab w:val="center" w:pos="4153"/>
        <w:tab w:val="right" w:pos="8306"/>
      </w:tabs>
      <w:rPr>
        <w:lang w:val="en-GB"/>
      </w:rPr>
    </w:pPr>
  </w:p>
</w:hdr>
</file>

<file path=word/header2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34</w:t>
    </w:r>
    <w:r>
      <w:fldChar w:fldCharType="end"/>
    </w:r>
  </w:p>
  <w:p>
    <w:pPr>
      <w:tabs>
        <w:tab w:val="center" w:pos="4153"/>
        <w:tab w:val="right" w:pos="8306"/>
      </w:tabs>
      <w:rPr>
        <w:lang w:val="en-GB"/>
      </w:rPr>
    </w:pPr>
  </w:p>
</w:hdr>
</file>

<file path=word/header2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2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22</w:t>
    </w:r>
    <w:r>
      <w:fldChar w:fldCharType="end"/>
    </w:r>
  </w:p>
  <w:p>
    <w:pPr>
      <w:tabs>
        <w:tab w:val="center" w:pos="4153"/>
        <w:tab w:val="right" w:pos="8306"/>
      </w:tabs>
      <w:rPr>
        <w:lang w:val="en-GB"/>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2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2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2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2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2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2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2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2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141</w:t>
    </w:r>
    <w:r>
      <w:rPr>
        <w:lang w:val="en-GB"/>
      </w:rPr>
      <w:fldChar w:fldCharType="end"/>
    </w:r>
  </w:p>
  <w:p>
    <w:pPr>
      <w:tabs>
        <w:tab w:val="center" w:pos="4153"/>
        <w:tab w:val="right" w:pos="8306"/>
      </w:tabs>
      <w:rPr>
        <w:lang w:val="en-GB"/>
      </w:rPr>
    </w:pPr>
  </w:p>
</w:hdr>
</file>

<file path=word/header2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2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2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2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2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9</w:t>
    </w:r>
    <w:r>
      <w:fldChar w:fldCharType="end"/>
    </w:r>
  </w:p>
  <w:p>
    <w:pPr>
      <w:tabs>
        <w:tab w:val="center" w:pos="4153"/>
        <w:tab w:val="right" w:pos="8306"/>
      </w:tabs>
      <w:rPr>
        <w:lang w:val="en-GB"/>
      </w:rPr>
    </w:pPr>
  </w:p>
</w:hdr>
</file>

<file path=word/header2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2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2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16</w:t>
    </w:r>
    <w:r>
      <w:fldChar w:fldCharType="end"/>
    </w:r>
  </w:p>
  <w:p>
    <w:pPr>
      <w:tabs>
        <w:tab w:val="center" w:pos="4153"/>
        <w:tab w:val="right" w:pos="8306"/>
      </w:tabs>
      <w:rPr>
        <w:lang w:val="en-GB"/>
      </w:rPr>
    </w:pPr>
  </w:p>
</w:hdr>
</file>

<file path=word/header2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2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rPr>
        <w:lang w:val="en-GB"/>
      </w:rPr>
    </w:pPr>
  </w:p>
</w:hdr>
</file>

<file path=word/header2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2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rPr>
    </w:pPr>
  </w:p>
</w:hdr>
</file>

<file path=word/header2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sz w:val="22"/>
        <w:szCs w:val="22"/>
      </w:rPr>
    </w:pPr>
  </w:p>
  <w:p>
    <w:pPr>
      <w:tabs>
        <w:tab w:val="center" w:pos="4819"/>
        <w:tab w:val="right" w:pos="9638"/>
      </w:tabs>
      <w:rPr>
        <w:sz w:val="22"/>
        <w:szCs w:val="22"/>
      </w:rPr>
    </w:pPr>
  </w:p>
</w:hdr>
</file>

<file path=word/header2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rPr>
    </w:pPr>
  </w:p>
</w:hdr>
</file>

<file path=word/header2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rPr>
    </w:pPr>
  </w:p>
</w:hdr>
</file>

<file path=word/header2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tabs>
        <w:tab w:val="center" w:pos="4819"/>
        <w:tab w:val="right" w:pos="9638"/>
      </w:tabs>
      <w:rPr>
        <w:sz w:val="22"/>
        <w:szCs w:val="22"/>
      </w:rPr>
    </w:pPr>
  </w:p>
</w:hdr>
</file>

<file path=word/header2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rPr>
    </w:pPr>
  </w:p>
</w:hdr>
</file>

<file path=word/header2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hdr>
</file>

<file path=word/header2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819"/>
        <w:tab w:val="right" w:pos="9638"/>
      </w:tabs>
      <w:rPr>
        <w:sz w:val="22"/>
        <w:szCs w:val="22"/>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hdr>
</file>

<file path=word/header2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62</w:t>
    </w:r>
    <w:r>
      <w:rPr>
        <w:lang w:val="en-GB"/>
      </w:rPr>
      <w:fldChar w:fldCharType="end"/>
    </w:r>
  </w:p>
  <w:p>
    <w:pPr>
      <w:tabs>
        <w:tab w:val="center" w:pos="4153"/>
        <w:tab w:val="right" w:pos="8306"/>
      </w:tabs>
      <w:rPr>
        <w:lang w:val="en-GB"/>
      </w:rPr>
    </w:pPr>
  </w:p>
</w:hdr>
</file>

<file path=word/header2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67</w:t>
    </w:r>
    <w:r>
      <w:rPr>
        <w:lang w:val="en-GB"/>
      </w:rPr>
      <w:fldChar w:fldCharType="end"/>
    </w:r>
  </w:p>
  <w:p>
    <w:pPr>
      <w:tabs>
        <w:tab w:val="center" w:pos="4153"/>
        <w:tab w:val="right" w:pos="8306"/>
      </w:tabs>
      <w:rPr>
        <w:lang w:val="en-GB"/>
      </w:rPr>
    </w:pPr>
  </w:p>
</w:hdr>
</file>

<file path=word/header2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62</w:t>
    </w:r>
    <w:r>
      <w:rPr>
        <w:lang w:val="en-GB"/>
      </w:rPr>
      <w:fldChar w:fldCharType="end"/>
    </w:r>
  </w:p>
  <w:p>
    <w:pPr>
      <w:tabs>
        <w:tab w:val="center" w:pos="4153"/>
        <w:tab w:val="right" w:pos="8306"/>
      </w:tabs>
      <w:rPr>
        <w:lang w:val="en-GB"/>
      </w:rPr>
    </w:pPr>
  </w:p>
</w:hdr>
</file>

<file path=word/header2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96</w:t>
    </w:r>
    <w:r>
      <w:rPr>
        <w:lang w:val="en-GB"/>
      </w:rPr>
      <w:fldChar w:fldCharType="end"/>
    </w:r>
  </w:p>
  <w:p>
    <w:pPr>
      <w:tabs>
        <w:tab w:val="center" w:pos="4153"/>
        <w:tab w:val="right" w:pos="8306"/>
      </w:tabs>
      <w:rPr>
        <w:lang w:val="en-GB"/>
      </w:rPr>
    </w:pPr>
  </w:p>
</w:hdr>
</file>

<file path=word/header3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68</w:t>
    </w:r>
    <w:r>
      <w:rPr>
        <w:lang w:val="en-GB"/>
      </w:rPr>
      <w:fldChar w:fldCharType="end"/>
    </w:r>
  </w:p>
  <w:p>
    <w:pPr>
      <w:tabs>
        <w:tab w:val="center" w:pos="4153"/>
        <w:tab w:val="right" w:pos="8306"/>
      </w:tabs>
      <w:rPr>
        <w:lang w:val="en-GB"/>
      </w:rPr>
    </w:pPr>
  </w:p>
</w:hdr>
</file>

<file path=word/header3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69</w:t>
    </w:r>
    <w:r>
      <w:rPr>
        <w:lang w:val="en-GB"/>
      </w:rPr>
      <w:fldChar w:fldCharType="end"/>
    </w:r>
  </w:p>
  <w:p>
    <w:pPr>
      <w:tabs>
        <w:tab w:val="center" w:pos="4153"/>
        <w:tab w:val="right" w:pos="8306"/>
      </w:tabs>
      <w:rPr>
        <w:lang w:val="en-GB"/>
      </w:rPr>
    </w:pPr>
  </w:p>
</w:hdr>
</file>

<file path=word/header3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67</w:t>
    </w:r>
    <w:r>
      <w:rPr>
        <w:lang w:val="en-GB"/>
      </w:rPr>
      <w:fldChar w:fldCharType="end"/>
    </w:r>
  </w:p>
  <w:p>
    <w:pPr>
      <w:tabs>
        <w:tab w:val="center" w:pos="4153"/>
        <w:tab w:val="right" w:pos="8306"/>
      </w:tabs>
      <w:rPr>
        <w:lang w:val="en-GB"/>
      </w:rPr>
    </w:pPr>
  </w:p>
</w:hdr>
</file>

<file path=word/header3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66</w:t>
    </w:r>
    <w:r>
      <w:rPr>
        <w:lang w:val="en-GB"/>
      </w:rPr>
      <w:fldChar w:fldCharType="end"/>
    </w:r>
  </w:p>
  <w:p>
    <w:pPr>
      <w:tabs>
        <w:tab w:val="center" w:pos="4153"/>
        <w:tab w:val="right" w:pos="8306"/>
      </w:tabs>
      <w:rPr>
        <w:lang w:val="en-GB"/>
      </w:rPr>
    </w:pPr>
  </w:p>
</w:hdr>
</file>

<file path=word/header3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67</w:t>
    </w:r>
    <w:r>
      <w:rPr>
        <w:lang w:val="en-GB"/>
      </w:rPr>
      <w:fldChar w:fldCharType="end"/>
    </w:r>
  </w:p>
  <w:p>
    <w:pPr>
      <w:tabs>
        <w:tab w:val="center" w:pos="4153"/>
        <w:tab w:val="right" w:pos="8306"/>
      </w:tabs>
      <w:rPr>
        <w:lang w:val="en-GB"/>
      </w:rPr>
    </w:pPr>
  </w:p>
</w:hdr>
</file>

<file path=word/header3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szCs w:val="24"/>
      </w:rPr>
    </w:pPr>
    <w:r>
      <w:rPr>
        <w:szCs w:val="24"/>
      </w:rPr>
      <w:fldChar w:fldCharType="begin"/>
    </w:r>
    <w:r>
      <w:rPr>
        <w:szCs w:val="24"/>
      </w:rPr>
      <w:instrText>PAGE   \* MERGEFORMAT</w:instrText>
    </w:r>
    <w:r>
      <w:rPr>
        <w:szCs w:val="24"/>
      </w:rPr>
      <w:fldChar w:fldCharType="separate"/>
    </w:r>
    <w:r>
      <w:rPr>
        <w:szCs w:val="24"/>
      </w:rPr>
      <w:t>2</w:t>
    </w:r>
    <w:r>
      <w:rPr>
        <w:szCs w:val="24"/>
      </w:rPr>
      <w:fldChar w:fldCharType="end"/>
    </w:r>
  </w:p>
  <w:p>
    <w:pPr>
      <w:tabs>
        <w:tab w:val="center" w:pos="4153"/>
        <w:tab w:val="right" w:pos="8306"/>
      </w:tabs>
      <w:jc w:val="center"/>
      <w:rPr>
        <w:szCs w:val="24"/>
      </w:rPr>
    </w:pPr>
  </w:p>
</w:hdr>
</file>

<file path=word/header3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3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szCs w:val="24"/>
      </w:rPr>
    </w:pPr>
    <w:r>
      <w:rPr>
        <w:szCs w:val="24"/>
      </w:rPr>
      <w:fldChar w:fldCharType="begin"/>
    </w:r>
    <w:r>
      <w:rPr>
        <w:szCs w:val="24"/>
      </w:rPr>
      <w:instrText>PAGE   \* MERGEFORMAT</w:instrText>
    </w:r>
    <w:r>
      <w:rPr>
        <w:szCs w:val="24"/>
      </w:rPr>
      <w:fldChar w:fldCharType="separate"/>
    </w:r>
    <w:r>
      <w:rPr>
        <w:szCs w:val="24"/>
      </w:rPr>
      <w:t>2</w:t>
    </w:r>
    <w:r>
      <w:rPr>
        <w:szCs w:val="24"/>
      </w:rPr>
      <w:fldChar w:fldCharType="end"/>
    </w:r>
  </w:p>
  <w:p>
    <w:pPr>
      <w:tabs>
        <w:tab w:val="center" w:pos="4153"/>
        <w:tab w:val="right" w:pos="8306"/>
      </w:tabs>
      <w:jc w:val="center"/>
      <w:rPr>
        <w:szCs w:val="24"/>
      </w:rPr>
    </w:pPr>
  </w:p>
</w:hdr>
</file>

<file path=word/header3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3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 w:val="22"/>
        <w:szCs w:val="22"/>
      </w:rPr>
    </w:pPr>
    <w:r>
      <w:rPr>
        <w:sz w:val="22"/>
        <w:szCs w:val="22"/>
      </w:rPr>
      <w:fldChar w:fldCharType="begin"/>
    </w:r>
    <w:r>
      <w:rPr>
        <w:sz w:val="22"/>
        <w:szCs w:val="22"/>
      </w:rPr>
      <w:instrText>PAGE   \* MERGEFORMAT</w:instrText>
    </w:r>
    <w:r>
      <w:rPr>
        <w:sz w:val="22"/>
        <w:szCs w:val="22"/>
      </w:rPr>
      <w:fldChar w:fldCharType="separate"/>
    </w:r>
    <w:r>
      <w:rPr>
        <w:sz w:val="22"/>
        <w:szCs w:val="22"/>
      </w:rPr>
      <w:t>9</w:t>
    </w:r>
    <w:r>
      <w:rPr>
        <w:sz w:val="22"/>
        <w:szCs w:val="22"/>
      </w:rPr>
      <w:fldChar w:fldCharType="end"/>
    </w:r>
  </w:p>
  <w:p>
    <w:pPr>
      <w:tabs>
        <w:tab w:val="center" w:pos="4819"/>
        <w:tab w:val="right" w:pos="9638"/>
      </w:tabs>
      <w:rPr>
        <w:sz w:val="22"/>
        <w:szCs w:val="22"/>
      </w:rPr>
    </w:pPr>
  </w:p>
</w:hdr>
</file>

<file path=word/header3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hdr>
</file>

<file path=word/header3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3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eastAsia="lt-LT"/>
      </w:rPr>
    </w:pPr>
    <w:r>
      <w:rPr>
        <w:lang w:eastAsia="lt-LT"/>
      </w:rPr>
      <w:t>6</w:t>
    </w:r>
  </w:p>
  <w:p>
    <w:pPr>
      <w:tabs>
        <w:tab w:val="center" w:pos="4153"/>
        <w:tab w:val="right" w:pos="8306"/>
      </w:tabs>
      <w:rPr>
        <w:lang w:eastAsia="lt-LT"/>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208</w:t>
    </w:r>
    <w:r>
      <w:rPr>
        <w:lang w:val="en-GB"/>
      </w:rPr>
      <w:fldChar w:fldCharType="end"/>
    </w:r>
  </w:p>
  <w:p>
    <w:pPr>
      <w:tabs>
        <w:tab w:val="center" w:pos="4153"/>
        <w:tab w:val="right" w:pos="8306"/>
      </w:tabs>
      <w:rPr>
        <w:lang w:val="en-GB"/>
      </w:rPr>
    </w:pPr>
  </w:p>
</w:hdr>
</file>

<file path=word/header3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3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5</w:t>
    </w:r>
    <w:r>
      <w:fldChar w:fldCharType="end"/>
    </w:r>
  </w:p>
  <w:p>
    <w:pPr>
      <w:tabs>
        <w:tab w:val="center" w:pos="4153"/>
        <w:tab w:val="right" w:pos="8306"/>
      </w:tabs>
      <w:rPr>
        <w:lang w:eastAsia="lt-LT"/>
      </w:rPr>
    </w:pPr>
  </w:p>
</w:hdr>
</file>

<file path=word/header3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3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eastAsia="lt-LT"/>
      </w:rPr>
    </w:pPr>
  </w:p>
</w:hdr>
</file>

<file path=word/header3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3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5</w:t>
    </w:r>
    <w:r>
      <w:fldChar w:fldCharType="end"/>
    </w:r>
  </w:p>
  <w:p>
    <w:pPr>
      <w:tabs>
        <w:tab w:val="center" w:pos="4153"/>
        <w:tab w:val="right" w:pos="8306"/>
      </w:tabs>
      <w:rPr>
        <w:lang w:eastAsia="lt-LT"/>
      </w:rPr>
    </w:pPr>
  </w:p>
</w:hdr>
</file>

<file path=word/header3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3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rPr>
        <w:lang w:eastAsia="lt-LT"/>
      </w:rPr>
    </w:pPr>
  </w:p>
</w:hdr>
</file>

<file path=word/header3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3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rPr>
        <w:lang w:eastAsia="lt-LT"/>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3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rPr>
        <w:lang w:eastAsia="lt-LT"/>
      </w:rPr>
    </w:pPr>
  </w:p>
</w:hdr>
</file>

<file path=word/header3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3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eastAsia="lt-LT"/>
      </w:rPr>
    </w:pPr>
  </w:p>
</w:hdr>
</file>

<file path=word/header3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3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rPr>
        <w:lang w:eastAsia="lt-LT"/>
      </w:rPr>
    </w:pPr>
  </w:p>
</w:hdr>
</file>

<file path=word/header3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3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eastAsia="lt-LT"/>
      </w:rPr>
    </w:pPr>
    <w:r>
      <w:rPr>
        <w:lang w:eastAsia="lt-LT"/>
      </w:rPr>
      <w:t>27</w:t>
    </w:r>
  </w:p>
  <w:p>
    <w:pPr>
      <w:tabs>
        <w:tab w:val="center" w:pos="4153"/>
        <w:tab w:val="right" w:pos="8306"/>
      </w:tabs>
      <w:rPr>
        <w:lang w:eastAsia="lt-LT"/>
      </w:rPr>
    </w:pPr>
  </w:p>
</w:hdr>
</file>

<file path=word/header3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3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60</w:t>
    </w:r>
    <w:r>
      <w:fldChar w:fldCharType="end"/>
    </w:r>
  </w:p>
  <w:p>
    <w:pPr>
      <w:tabs>
        <w:tab w:val="center" w:pos="4153"/>
        <w:tab w:val="right" w:pos="8306"/>
      </w:tabs>
      <w:rPr>
        <w:lang w:eastAsia="lt-LT"/>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3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w:instrText>
    </w:r>
    <w:r>
      <w:instrText xml:space="preserve">   \* MERGEFORMAT</w:instrText>
    </w:r>
    <w:r>
      <w:fldChar w:fldCharType="separate"/>
    </w:r>
    <w:r>
      <w:t>3</w:t>
    </w:r>
    <w:r>
      <w:fldChar w:fldCharType="end"/>
    </w:r>
  </w:p>
  <w:p>
    <w:pPr>
      <w:tabs>
        <w:tab w:val="center" w:pos="4153"/>
        <w:tab w:val="right" w:pos="8306"/>
      </w:tabs>
      <w:rPr>
        <w:lang w:eastAsia="lt-LT"/>
      </w:rPr>
    </w:pPr>
  </w:p>
</w:hdr>
</file>

<file path=word/header3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3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eastAsia="lt-LT"/>
      </w:rPr>
    </w:pPr>
  </w:p>
</w:hdr>
</file>

<file path=word/header3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3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10</w:t>
    </w:r>
    <w:r>
      <w:fldChar w:fldCharType="end"/>
    </w:r>
  </w:p>
  <w:p>
    <w:pPr>
      <w:tabs>
        <w:tab w:val="center" w:pos="4153"/>
        <w:tab w:val="right" w:pos="8306"/>
      </w:tabs>
      <w:rPr>
        <w:lang w:eastAsia="lt-LT"/>
      </w:rPr>
    </w:pPr>
  </w:p>
</w:hdr>
</file>

<file path=word/header3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3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w:instrText>
    </w:r>
    <w:r>
      <w:instrText xml:space="preserve">   \* MERGEFORMAT</w:instrText>
    </w:r>
    <w:r>
      <w:fldChar w:fldCharType="separate"/>
    </w:r>
    <w:r>
      <w:t>3</w:t>
    </w:r>
    <w:r>
      <w:fldChar w:fldCharType="end"/>
    </w:r>
  </w:p>
  <w:p>
    <w:pPr>
      <w:tabs>
        <w:tab w:val="center" w:pos="4153"/>
        <w:tab w:val="right" w:pos="8306"/>
      </w:tabs>
      <w:rPr>
        <w:lang w:eastAsia="lt-LT"/>
      </w:rPr>
    </w:pPr>
  </w:p>
</w:hdr>
</file>

<file path=word/header3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3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eastAsia="lt-LT"/>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148</w:t>
    </w:r>
    <w:r>
      <w:rPr>
        <w:lang w:val="en-GB"/>
      </w:rPr>
      <w:fldChar w:fldCharType="end"/>
    </w:r>
  </w:p>
  <w:p>
    <w:pPr>
      <w:tabs>
        <w:tab w:val="center" w:pos="4153"/>
        <w:tab w:val="right" w:pos="8306"/>
      </w:tabs>
      <w:rPr>
        <w:lang w:val="en-GB"/>
      </w:rPr>
    </w:pPr>
  </w:p>
</w:hdr>
</file>

<file path=word/header3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3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12</w:t>
    </w:r>
    <w:r>
      <w:fldChar w:fldCharType="end"/>
    </w:r>
  </w:p>
  <w:p>
    <w:pPr>
      <w:tabs>
        <w:tab w:val="center" w:pos="4153"/>
        <w:tab w:val="right" w:pos="8306"/>
      </w:tabs>
      <w:rPr>
        <w:lang w:eastAsia="lt-LT"/>
      </w:rPr>
    </w:pPr>
  </w:p>
</w:hdr>
</file>

<file path=word/header3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3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eastAsia="lt-LT"/>
      </w:rPr>
    </w:pPr>
  </w:p>
</w:hdr>
</file>

<file path=word/header3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3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12</w:t>
    </w:r>
    <w:r>
      <w:fldChar w:fldCharType="end"/>
    </w:r>
  </w:p>
  <w:p>
    <w:pPr>
      <w:tabs>
        <w:tab w:val="center" w:pos="4153"/>
        <w:tab w:val="right" w:pos="8306"/>
      </w:tabs>
      <w:rPr>
        <w:lang w:eastAsia="lt-LT"/>
      </w:rPr>
    </w:pPr>
  </w:p>
</w:hdr>
</file>

<file path=word/header3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3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w:instrText>
    </w:r>
    <w:r>
      <w:instrText xml:space="preserve">   \* MERGEFORMAT</w:instrText>
    </w:r>
    <w:r>
      <w:fldChar w:fldCharType="separate"/>
    </w:r>
    <w:r>
      <w:t>3</w:t>
    </w:r>
    <w:r>
      <w:fldChar w:fldCharType="end"/>
    </w:r>
  </w:p>
  <w:p>
    <w:pPr>
      <w:tabs>
        <w:tab w:val="center" w:pos="4153"/>
        <w:tab w:val="right" w:pos="8306"/>
      </w:tabs>
      <w:rPr>
        <w:lang w:eastAsia="lt-LT"/>
      </w:rPr>
    </w:pPr>
  </w:p>
</w:hdr>
</file>

<file path=word/header3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3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w:instrText>
    </w:r>
    <w:r>
      <w:instrText xml:space="preserve">   \* MERGEFORMAT</w:instrText>
    </w:r>
    <w:r>
      <w:fldChar w:fldCharType="separate"/>
    </w:r>
    <w:r>
      <w:t>4</w:t>
    </w:r>
    <w:r>
      <w:fldChar w:fldCharType="end"/>
    </w:r>
  </w:p>
  <w:p>
    <w:pPr>
      <w:tabs>
        <w:tab w:val="center" w:pos="4153"/>
        <w:tab w:val="right" w:pos="8306"/>
      </w:tabs>
      <w:rPr>
        <w:lang w:eastAsia="lt-LT"/>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3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w:instrText>
    </w:r>
    <w:r>
      <w:instrText xml:space="preserve">   \* MERGEFORMAT</w:instrText>
    </w:r>
    <w:r>
      <w:fldChar w:fldCharType="separate"/>
    </w:r>
    <w:r>
      <w:t>5</w:t>
    </w:r>
    <w:r>
      <w:fldChar w:fldCharType="end"/>
    </w:r>
  </w:p>
  <w:p>
    <w:pPr>
      <w:tabs>
        <w:tab w:val="center" w:pos="4153"/>
        <w:tab w:val="right" w:pos="8306"/>
      </w:tabs>
      <w:rPr>
        <w:lang w:eastAsia="lt-LT"/>
      </w:rPr>
    </w:pPr>
  </w:p>
</w:hdr>
</file>

<file path=word/header3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3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w:instrText>
    </w:r>
    <w:r>
      <w:instrText xml:space="preserve">   \* MERGEFORMAT</w:instrText>
    </w:r>
    <w:r>
      <w:fldChar w:fldCharType="separate"/>
    </w:r>
    <w:r>
      <w:t>3</w:t>
    </w:r>
    <w:r>
      <w:fldChar w:fldCharType="end"/>
    </w:r>
  </w:p>
  <w:p>
    <w:pPr>
      <w:tabs>
        <w:tab w:val="center" w:pos="4153"/>
        <w:tab w:val="right" w:pos="8306"/>
      </w:tabs>
      <w:rPr>
        <w:lang w:eastAsia="lt-LT"/>
      </w:rPr>
    </w:pPr>
  </w:p>
</w:hdr>
</file>

<file path=word/header3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3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w:instrText>
    </w:r>
    <w:r>
      <w:instrText xml:space="preserve">   \* MERGEFORMAT</w:instrText>
    </w:r>
    <w:r>
      <w:fldChar w:fldCharType="separate"/>
    </w:r>
    <w:r>
      <w:t>2</w:t>
    </w:r>
    <w:r>
      <w:fldChar w:fldCharType="end"/>
    </w:r>
  </w:p>
  <w:p>
    <w:pPr>
      <w:tabs>
        <w:tab w:val="center" w:pos="4153"/>
        <w:tab w:val="right" w:pos="8306"/>
      </w:tabs>
      <w:rPr>
        <w:lang w:eastAsia="lt-LT"/>
      </w:rPr>
    </w:pPr>
  </w:p>
</w:hdr>
</file>

<file path=word/header3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3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w:instrText>
    </w:r>
    <w:r>
      <w:instrText xml:space="preserve">   \* MERGEFORMAT</w:instrText>
    </w:r>
    <w:r>
      <w:fldChar w:fldCharType="separate"/>
    </w:r>
    <w:r>
      <w:t>3</w:t>
    </w:r>
    <w:r>
      <w:fldChar w:fldCharType="end"/>
    </w:r>
  </w:p>
  <w:p>
    <w:pPr>
      <w:tabs>
        <w:tab w:val="center" w:pos="4153"/>
        <w:tab w:val="right" w:pos="8306"/>
      </w:tabs>
      <w:rPr>
        <w:lang w:eastAsia="lt-LT"/>
      </w:rPr>
    </w:pPr>
  </w:p>
</w:hdr>
</file>

<file path=word/header3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3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w:instrText>
    </w:r>
    <w:r>
      <w:instrText xml:space="preserve">   \* MERGEFORMAT</w:instrText>
    </w:r>
    <w:r>
      <w:fldChar w:fldCharType="separate"/>
    </w:r>
    <w:r>
      <w:t>2</w:t>
    </w:r>
    <w:r>
      <w:fldChar w:fldCharType="end"/>
    </w:r>
  </w:p>
  <w:p>
    <w:pPr>
      <w:tabs>
        <w:tab w:val="center" w:pos="4153"/>
        <w:tab w:val="right" w:pos="8306"/>
      </w:tabs>
      <w:rPr>
        <w:lang w:eastAsia="lt-LT"/>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3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w:instrText>
    </w:r>
    <w:r>
      <w:instrText xml:space="preserve">   \* MERGEFORMAT</w:instrText>
    </w:r>
    <w:r>
      <w:fldChar w:fldCharType="separate"/>
    </w:r>
    <w:r>
      <w:t>3</w:t>
    </w:r>
    <w:r>
      <w:fldChar w:fldCharType="end"/>
    </w:r>
  </w:p>
  <w:p>
    <w:pPr>
      <w:tabs>
        <w:tab w:val="center" w:pos="4153"/>
        <w:tab w:val="right" w:pos="8306"/>
      </w:tabs>
      <w:rPr>
        <w:lang w:eastAsia="lt-LT"/>
      </w:rPr>
    </w:pPr>
  </w:p>
</w:hdr>
</file>

<file path=word/header3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3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8</w:t>
    </w:r>
    <w:r>
      <w:fldChar w:fldCharType="end"/>
    </w:r>
  </w:p>
  <w:p>
    <w:pPr>
      <w:tabs>
        <w:tab w:val="center" w:pos="4153"/>
        <w:tab w:val="right" w:pos="8306"/>
      </w:tabs>
      <w:rPr>
        <w:lang w:eastAsia="lt-LT"/>
      </w:rPr>
    </w:pPr>
  </w:p>
</w:hdr>
</file>

<file path=word/header3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3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w:instrText>
    </w:r>
    <w:r>
      <w:instrText xml:space="preserve">   \* MERGEFORMAT</w:instrText>
    </w:r>
    <w:r>
      <w:fldChar w:fldCharType="separate"/>
    </w:r>
    <w:r>
      <w:t>5</w:t>
    </w:r>
    <w:r>
      <w:fldChar w:fldCharType="end"/>
    </w:r>
  </w:p>
  <w:p>
    <w:pPr>
      <w:tabs>
        <w:tab w:val="center" w:pos="4153"/>
        <w:tab w:val="right" w:pos="8306"/>
      </w:tabs>
      <w:rPr>
        <w:lang w:eastAsia="lt-LT"/>
      </w:rPr>
    </w:pPr>
  </w:p>
</w:hdr>
</file>

<file path=word/header3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3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w:instrText>
    </w:r>
    <w:r>
      <w:instrText xml:space="preserve">   \* MERGEFORMAT</w:instrText>
    </w:r>
    <w:r>
      <w:fldChar w:fldCharType="separate"/>
    </w:r>
    <w:r>
      <w:t>62</w:t>
    </w:r>
    <w:r>
      <w:fldChar w:fldCharType="end"/>
    </w:r>
  </w:p>
  <w:p>
    <w:pPr>
      <w:tabs>
        <w:tab w:val="center" w:pos="4153"/>
        <w:tab w:val="right" w:pos="8306"/>
      </w:tabs>
      <w:rPr>
        <w:lang w:eastAsia="lt-LT"/>
      </w:rPr>
    </w:pPr>
  </w:p>
</w:hdr>
</file>

<file path=word/header3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3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eastAsia="lt-LT"/>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148</w:t>
    </w:r>
    <w:r>
      <w:rPr>
        <w:lang w:val="en-GB"/>
      </w:rPr>
      <w:fldChar w:fldCharType="end"/>
    </w:r>
  </w:p>
  <w:p>
    <w:pPr>
      <w:tabs>
        <w:tab w:val="center" w:pos="4153"/>
        <w:tab w:val="right" w:pos="8306"/>
      </w:tabs>
      <w:rPr>
        <w:lang w:val="en-GB"/>
      </w:rPr>
    </w:pPr>
  </w:p>
</w:hdr>
</file>

<file path=word/header3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3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w:instrText>
    </w:r>
    <w:r>
      <w:instrText xml:space="preserve">   \* MERGEFORMAT</w:instrText>
    </w:r>
    <w:r>
      <w:fldChar w:fldCharType="separate"/>
    </w:r>
    <w:r>
      <w:t>5</w:t>
    </w:r>
    <w:r>
      <w:fldChar w:fldCharType="end"/>
    </w:r>
  </w:p>
  <w:p>
    <w:pPr>
      <w:tabs>
        <w:tab w:val="center" w:pos="4153"/>
        <w:tab w:val="right" w:pos="8306"/>
      </w:tabs>
      <w:rPr>
        <w:lang w:eastAsia="lt-LT"/>
      </w:rPr>
    </w:pPr>
  </w:p>
</w:hdr>
</file>

<file path=word/header3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3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62</w:t>
    </w:r>
    <w:r>
      <w:fldChar w:fldCharType="end"/>
    </w:r>
  </w:p>
  <w:p>
    <w:pPr>
      <w:tabs>
        <w:tab w:val="center" w:pos="4153"/>
        <w:tab w:val="right" w:pos="8306"/>
      </w:tabs>
      <w:rPr>
        <w:lang w:eastAsia="lt-LT"/>
      </w:rPr>
    </w:pPr>
  </w:p>
</w:hdr>
</file>

<file path=word/header3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3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w:instrText>
    </w:r>
    <w:r>
      <w:instrText xml:space="preserve">   \* MERGEFORMAT</w:instrText>
    </w:r>
    <w:r>
      <w:fldChar w:fldCharType="separate"/>
    </w:r>
    <w:r>
      <w:t>62</w:t>
    </w:r>
    <w:r>
      <w:fldChar w:fldCharType="end"/>
    </w:r>
  </w:p>
  <w:p>
    <w:pPr>
      <w:tabs>
        <w:tab w:val="center" w:pos="4153"/>
        <w:tab w:val="right" w:pos="8306"/>
      </w:tabs>
      <w:rPr>
        <w:lang w:eastAsia="lt-LT"/>
      </w:rPr>
    </w:pPr>
  </w:p>
</w:hdr>
</file>

<file path=word/header3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3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eastAsia="lt-LT"/>
      </w:rPr>
    </w:pPr>
  </w:p>
</w:hdr>
</file>

<file path=word/header3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3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w:instrText>
    </w:r>
    <w:r>
      <w:instrText xml:space="preserve">   \* MERGEFORMAT</w:instrText>
    </w:r>
    <w:r>
      <w:fldChar w:fldCharType="separate"/>
    </w:r>
    <w:r>
      <w:t>56</w:t>
    </w:r>
    <w:r>
      <w:fldChar w:fldCharType="end"/>
    </w:r>
  </w:p>
  <w:p>
    <w:pPr>
      <w:tabs>
        <w:tab w:val="center" w:pos="4153"/>
        <w:tab w:val="right" w:pos="8306"/>
      </w:tabs>
      <w:rPr>
        <w:lang w:eastAsia="lt-LT"/>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4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4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jc w:val="center"/>
      <w:rPr>
        <w:szCs w:val="24"/>
      </w:rPr>
    </w:pPr>
    <w:r>
      <w:rPr>
        <w:szCs w:val="24"/>
      </w:rPr>
      <w:fldChar w:fldCharType="begin"/>
    </w:r>
    <w:r>
      <w:rPr>
        <w:szCs w:val="24"/>
      </w:rPr>
      <w:instrText xml:space="preserve">PAGE   \* </w:instrText>
    </w:r>
    <w:r>
      <w:rPr>
        <w:szCs w:val="24"/>
      </w:rPr>
      <w:instrText>MERGEFORMAT</w:instrText>
    </w:r>
    <w:r>
      <w:rPr>
        <w:szCs w:val="24"/>
      </w:rPr>
      <w:fldChar w:fldCharType="separate"/>
    </w:r>
    <w:r>
      <w:rPr>
        <w:szCs w:val="24"/>
      </w:rPr>
      <w:t>7</w:t>
    </w:r>
    <w:r>
      <w:rPr>
        <w:szCs w:val="24"/>
      </w:rPr>
      <w:fldChar w:fldCharType="end"/>
    </w:r>
  </w:p>
  <w:p>
    <w:pPr>
      <w:tabs>
        <w:tab w:val="center" w:pos="4153"/>
        <w:tab w:val="right" w:pos="8306"/>
      </w:tabs>
      <w:rPr>
        <w:szCs w:val="24"/>
      </w:rPr>
    </w:pPr>
  </w:p>
</w:hdr>
</file>

<file path=word/header4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hdr>
</file>

<file path=word/header4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4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jc w:val="center"/>
      <w:rPr>
        <w:szCs w:val="24"/>
      </w:rPr>
    </w:pPr>
    <w:r>
      <w:rPr>
        <w:szCs w:val="24"/>
      </w:rPr>
      <w:fldChar w:fldCharType="begin"/>
    </w:r>
    <w:r>
      <w:rPr>
        <w:szCs w:val="24"/>
      </w:rPr>
      <w:instrText>PAGE   \* MERGEFORMAT</w:instrText>
    </w:r>
    <w:r>
      <w:rPr>
        <w:szCs w:val="24"/>
      </w:rPr>
      <w:fldChar w:fldCharType="separate"/>
    </w:r>
    <w:r>
      <w:rPr>
        <w:szCs w:val="24"/>
      </w:rPr>
      <w:t>2</w:t>
    </w:r>
    <w:r>
      <w:rPr>
        <w:szCs w:val="24"/>
      </w:rPr>
      <w:fldChar w:fldCharType="end"/>
    </w:r>
  </w:p>
  <w:p>
    <w:pPr>
      <w:tabs>
        <w:tab w:val="center" w:pos="4153"/>
        <w:tab w:val="right" w:pos="8306"/>
      </w:tabs>
      <w:rPr>
        <w:szCs w:val="24"/>
      </w:rPr>
    </w:pPr>
  </w:p>
</w:hdr>
</file>

<file path=word/header4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hdr>
</file>

<file path=word/header4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4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jc w:val="center"/>
      <w:rPr>
        <w:szCs w:val="24"/>
      </w:rPr>
    </w:pPr>
    <w:r>
      <w:rPr>
        <w:szCs w:val="24"/>
      </w:rPr>
      <w:fldChar w:fldCharType="begin"/>
    </w:r>
    <w:r>
      <w:rPr>
        <w:szCs w:val="24"/>
      </w:rPr>
      <w:instrText>PAGE   \* MERGEFORMAT</w:instrText>
    </w:r>
    <w:r>
      <w:rPr>
        <w:szCs w:val="24"/>
      </w:rPr>
      <w:fldChar w:fldCharType="separate"/>
    </w:r>
    <w:r>
      <w:rPr>
        <w:szCs w:val="24"/>
      </w:rPr>
      <w:t>7</w:t>
    </w:r>
    <w:r>
      <w:rPr>
        <w:szCs w:val="24"/>
      </w:rPr>
      <w:fldChar w:fldCharType="end"/>
    </w:r>
  </w:p>
  <w:p>
    <w:pPr>
      <w:tabs>
        <w:tab w:val="center" w:pos="4153"/>
        <w:tab w:val="right" w:pos="8306"/>
      </w:tabs>
      <w:rPr>
        <w:szCs w:val="24"/>
      </w:rPr>
    </w:pPr>
  </w:p>
</w:hdr>
</file>

<file path=word/header4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hdr>
</file>

<file path=word/header4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jc w:val="center"/>
      <w:rPr>
        <w:szCs w:val="24"/>
      </w:rPr>
    </w:pPr>
    <w:r>
      <w:rPr>
        <w:szCs w:val="24"/>
      </w:rPr>
      <w:fldChar w:fldCharType="begin"/>
    </w:r>
    <w:r>
      <w:rPr>
        <w:szCs w:val="24"/>
      </w:rPr>
      <w:instrText xml:space="preserve">PAGE   \* </w:instrText>
    </w:r>
    <w:r>
      <w:rPr>
        <w:szCs w:val="24"/>
      </w:rPr>
      <w:instrText>MERGEFORMAT</w:instrText>
    </w:r>
    <w:r>
      <w:rPr>
        <w:szCs w:val="24"/>
      </w:rPr>
      <w:fldChar w:fldCharType="separate"/>
    </w:r>
    <w:r>
      <w:rPr>
        <w:szCs w:val="24"/>
      </w:rPr>
      <w:t>7</w:t>
    </w:r>
    <w:r>
      <w:rPr>
        <w:szCs w:val="24"/>
      </w:rPr>
      <w:fldChar w:fldCharType="end"/>
    </w:r>
  </w:p>
  <w:p>
    <w:pPr>
      <w:tabs>
        <w:tab w:val="center" w:pos="4153"/>
        <w:tab w:val="right" w:pos="8306"/>
      </w:tabs>
      <w:rPr>
        <w:szCs w:val="24"/>
      </w:rPr>
    </w:pPr>
  </w:p>
</w:hdr>
</file>

<file path=word/header4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hdr>
</file>

<file path=word/header4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4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jc w:val="center"/>
      <w:rPr>
        <w:szCs w:val="24"/>
      </w:rPr>
    </w:pPr>
    <w:r>
      <w:rPr>
        <w:szCs w:val="24"/>
      </w:rPr>
      <w:fldChar w:fldCharType="begin"/>
    </w:r>
    <w:r>
      <w:rPr>
        <w:szCs w:val="24"/>
      </w:rPr>
      <w:instrText>PAGE   \* MERGEFORMAT</w:instrText>
    </w:r>
    <w:r>
      <w:rPr>
        <w:szCs w:val="24"/>
      </w:rPr>
      <w:fldChar w:fldCharType="separate"/>
    </w:r>
    <w:r>
      <w:rPr>
        <w:szCs w:val="24"/>
      </w:rPr>
      <w:t>7</w:t>
    </w:r>
    <w:r>
      <w:rPr>
        <w:szCs w:val="24"/>
      </w:rPr>
      <w:fldChar w:fldCharType="end"/>
    </w:r>
  </w:p>
  <w:p>
    <w:pPr>
      <w:tabs>
        <w:tab w:val="center" w:pos="4153"/>
        <w:tab w:val="right" w:pos="8306"/>
      </w:tabs>
      <w:rPr>
        <w:szCs w:val="24"/>
      </w:rPr>
    </w:pPr>
  </w:p>
</w:hdr>
</file>

<file path=word/header4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hdr>
</file>

<file path=word/header4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4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jc w:val="center"/>
      <w:rPr>
        <w:szCs w:val="24"/>
      </w:rPr>
    </w:pPr>
    <w:r>
      <w:rPr>
        <w:szCs w:val="24"/>
      </w:rPr>
      <w:fldChar w:fldCharType="begin"/>
    </w:r>
    <w:r>
      <w:rPr>
        <w:szCs w:val="24"/>
      </w:rPr>
      <w:instrText>PAGE   \* MERGEFORMAT</w:instrText>
    </w:r>
    <w:r>
      <w:rPr>
        <w:szCs w:val="24"/>
      </w:rPr>
      <w:fldChar w:fldCharType="separate"/>
    </w:r>
    <w:r>
      <w:rPr>
        <w:szCs w:val="24"/>
      </w:rPr>
      <w:t>7</w:t>
    </w:r>
    <w:r>
      <w:rPr>
        <w:szCs w:val="24"/>
      </w:rPr>
      <w:fldChar w:fldCharType="end"/>
    </w:r>
  </w:p>
  <w:p>
    <w:pPr>
      <w:tabs>
        <w:tab w:val="center" w:pos="4153"/>
        <w:tab w:val="right" w:pos="8306"/>
      </w:tabs>
      <w:rPr>
        <w:szCs w:val="24"/>
      </w:rPr>
    </w:pPr>
  </w:p>
</w:hdr>
</file>

<file path=word/header4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hdr>
</file>

<file path=word/header4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4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jc w:val="center"/>
      <w:rPr>
        <w:szCs w:val="24"/>
      </w:rPr>
    </w:pPr>
    <w:r>
      <w:rPr>
        <w:szCs w:val="24"/>
      </w:rPr>
      <w:fldChar w:fldCharType="begin"/>
    </w:r>
    <w:r>
      <w:rPr>
        <w:szCs w:val="24"/>
      </w:rPr>
      <w:instrText xml:space="preserve">PAGE   \* </w:instrText>
    </w:r>
    <w:r>
      <w:rPr>
        <w:szCs w:val="24"/>
      </w:rPr>
      <w:instrText>MERGEFORMAT</w:instrText>
    </w:r>
    <w:r>
      <w:rPr>
        <w:szCs w:val="24"/>
      </w:rPr>
      <w:fldChar w:fldCharType="separate"/>
    </w:r>
    <w:r>
      <w:rPr>
        <w:szCs w:val="24"/>
      </w:rPr>
      <w:t>2</w:t>
    </w:r>
    <w:r>
      <w:rPr>
        <w:szCs w:val="24"/>
      </w:rPr>
      <w:fldChar w:fldCharType="end"/>
    </w:r>
  </w:p>
  <w:p>
    <w:pPr>
      <w:tabs>
        <w:tab w:val="center" w:pos="4153"/>
        <w:tab w:val="right" w:pos="8306"/>
      </w:tabs>
      <w:rPr>
        <w:szCs w:val="24"/>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168</w:t>
    </w:r>
    <w:r>
      <w:rPr>
        <w:lang w:val="en-GB"/>
      </w:rPr>
      <w:fldChar w:fldCharType="end"/>
    </w:r>
  </w:p>
  <w:p>
    <w:pPr>
      <w:tabs>
        <w:tab w:val="center" w:pos="4153"/>
        <w:tab w:val="right" w:pos="8306"/>
      </w:tabs>
      <w:rPr>
        <w:lang w:val="en-GB"/>
      </w:rPr>
    </w:pPr>
  </w:p>
</w:hdr>
</file>

<file path=word/header4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hdr>
</file>

<file path=word/header4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4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jc w:val="center"/>
      <w:rPr>
        <w:szCs w:val="24"/>
      </w:rPr>
    </w:pPr>
    <w:r>
      <w:rPr>
        <w:szCs w:val="24"/>
      </w:rPr>
      <w:fldChar w:fldCharType="begin"/>
    </w:r>
    <w:r>
      <w:rPr>
        <w:szCs w:val="24"/>
      </w:rPr>
      <w:instrText xml:space="preserve">PAGE   \* </w:instrText>
    </w:r>
    <w:r>
      <w:rPr>
        <w:szCs w:val="24"/>
      </w:rPr>
      <w:instrText>MERGEFORMAT</w:instrText>
    </w:r>
    <w:r>
      <w:rPr>
        <w:szCs w:val="24"/>
      </w:rPr>
      <w:fldChar w:fldCharType="separate"/>
    </w:r>
    <w:r>
      <w:rPr>
        <w:szCs w:val="24"/>
      </w:rPr>
      <w:t>7</w:t>
    </w:r>
    <w:r>
      <w:rPr>
        <w:szCs w:val="24"/>
      </w:rPr>
      <w:fldChar w:fldCharType="end"/>
    </w:r>
  </w:p>
  <w:p>
    <w:pPr>
      <w:tabs>
        <w:tab w:val="center" w:pos="4153"/>
        <w:tab w:val="right" w:pos="8306"/>
      </w:tabs>
      <w:rPr>
        <w:szCs w:val="24"/>
      </w:rPr>
    </w:pPr>
  </w:p>
</w:hdr>
</file>

<file path=word/header4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hdr>
</file>

<file path=word/header4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4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jc w:val="center"/>
      <w:rPr>
        <w:szCs w:val="24"/>
      </w:rPr>
    </w:pPr>
    <w:r>
      <w:rPr>
        <w:szCs w:val="24"/>
      </w:rPr>
      <w:fldChar w:fldCharType="begin"/>
    </w:r>
    <w:r>
      <w:rPr>
        <w:szCs w:val="24"/>
      </w:rPr>
      <w:instrText xml:space="preserve">PAGE   \* </w:instrText>
    </w:r>
    <w:r>
      <w:rPr>
        <w:szCs w:val="24"/>
      </w:rPr>
      <w:instrText>MERGEFORMAT</w:instrText>
    </w:r>
    <w:r>
      <w:rPr>
        <w:szCs w:val="24"/>
      </w:rPr>
      <w:fldChar w:fldCharType="separate"/>
    </w:r>
    <w:r>
      <w:rPr>
        <w:szCs w:val="24"/>
      </w:rPr>
      <w:t>8</w:t>
    </w:r>
    <w:r>
      <w:rPr>
        <w:szCs w:val="24"/>
      </w:rPr>
      <w:fldChar w:fldCharType="end"/>
    </w:r>
  </w:p>
  <w:p>
    <w:pPr>
      <w:tabs>
        <w:tab w:val="center" w:pos="4153"/>
        <w:tab w:val="right" w:pos="8306"/>
      </w:tabs>
      <w:rPr>
        <w:szCs w:val="24"/>
      </w:rPr>
    </w:pPr>
  </w:p>
</w:hdr>
</file>

<file path=word/header4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hdr>
</file>

<file path=word/header4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4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jc w:val="center"/>
      <w:rPr>
        <w:szCs w:val="24"/>
      </w:rPr>
    </w:pPr>
    <w:r>
      <w:rPr>
        <w:szCs w:val="24"/>
      </w:rPr>
      <w:fldChar w:fldCharType="begin"/>
    </w:r>
    <w:r>
      <w:rPr>
        <w:szCs w:val="24"/>
      </w:rPr>
      <w:instrText>PAGE   \* MERGEFORMAT</w:instrText>
    </w:r>
    <w:r>
      <w:rPr>
        <w:szCs w:val="24"/>
      </w:rPr>
      <w:fldChar w:fldCharType="separate"/>
    </w:r>
    <w:r>
      <w:rPr>
        <w:szCs w:val="24"/>
      </w:rPr>
      <w:t>7</w:t>
    </w:r>
    <w:r>
      <w:rPr>
        <w:szCs w:val="24"/>
      </w:rPr>
      <w:fldChar w:fldCharType="end"/>
    </w:r>
  </w:p>
  <w:p>
    <w:pPr>
      <w:tabs>
        <w:tab w:val="center" w:pos="4153"/>
        <w:tab w:val="right" w:pos="8306"/>
      </w:tabs>
      <w:rPr>
        <w:szCs w:val="24"/>
      </w:rPr>
    </w:pPr>
  </w:p>
</w:hdr>
</file>

<file path=word/header4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4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4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szCs w:val="24"/>
      </w:rPr>
    </w:pPr>
    <w:r>
      <w:rPr>
        <w:szCs w:val="24"/>
      </w:rPr>
      <w:fldChar w:fldCharType="begin"/>
    </w:r>
    <w:r>
      <w:rPr>
        <w:szCs w:val="24"/>
      </w:rPr>
      <w:instrText>PAGE   \* MERGEFORMAT</w:instrText>
    </w:r>
    <w:r>
      <w:rPr>
        <w:szCs w:val="24"/>
      </w:rPr>
      <w:fldChar w:fldCharType="separate"/>
    </w:r>
    <w:r>
      <w:rPr>
        <w:szCs w:val="24"/>
      </w:rPr>
      <w:t>10</w:t>
    </w:r>
    <w:r>
      <w:rPr>
        <w:szCs w:val="24"/>
      </w:rPr>
      <w:fldChar w:fldCharType="end"/>
    </w:r>
  </w:p>
  <w:p>
    <w:pPr>
      <w:tabs>
        <w:tab w:val="center" w:pos="4153"/>
        <w:tab w:val="right" w:pos="8306"/>
      </w:tabs>
      <w:rPr>
        <w:szCs w:val="24"/>
      </w:rPr>
    </w:pPr>
  </w:p>
</w:hdr>
</file>

<file path=word/header4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4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4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szCs w:val="24"/>
      </w:rPr>
    </w:pPr>
    <w:r>
      <w:rPr>
        <w:szCs w:val="24"/>
      </w:rPr>
      <w:fldChar w:fldCharType="begin"/>
    </w:r>
    <w:r>
      <w:rPr>
        <w:szCs w:val="24"/>
      </w:rPr>
      <w:instrText>PAGE   \* MERGEFORMAT</w:instrText>
    </w:r>
    <w:r>
      <w:rPr>
        <w:szCs w:val="24"/>
      </w:rPr>
      <w:fldChar w:fldCharType="separate"/>
    </w:r>
    <w:r>
      <w:rPr>
        <w:szCs w:val="24"/>
      </w:rPr>
      <w:t>7</w:t>
    </w:r>
    <w:r>
      <w:rPr>
        <w:szCs w:val="24"/>
      </w:rPr>
      <w:fldChar w:fldCharType="end"/>
    </w:r>
  </w:p>
  <w:p>
    <w:pPr>
      <w:tabs>
        <w:tab w:val="center" w:pos="4153"/>
        <w:tab w:val="right" w:pos="8306"/>
      </w:tabs>
      <w:rPr>
        <w:szCs w:val="24"/>
      </w:rPr>
    </w:pPr>
  </w:p>
</w:hdr>
</file>

<file path=word/header4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4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4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szCs w:val="24"/>
      </w:rPr>
    </w:pPr>
    <w:r>
      <w:rPr>
        <w:szCs w:val="24"/>
      </w:rPr>
      <w:fldChar w:fldCharType="begin"/>
    </w:r>
    <w:r>
      <w:rPr>
        <w:szCs w:val="24"/>
      </w:rPr>
      <w:instrText>PAGE   \* MERGEFORMAT</w:instrText>
    </w:r>
    <w:r>
      <w:rPr>
        <w:szCs w:val="24"/>
      </w:rPr>
      <w:fldChar w:fldCharType="separate"/>
    </w:r>
    <w:r>
      <w:rPr>
        <w:szCs w:val="24"/>
      </w:rPr>
      <w:t>10</w:t>
    </w:r>
    <w:r>
      <w:rPr>
        <w:szCs w:val="24"/>
      </w:rPr>
      <w:fldChar w:fldCharType="end"/>
    </w:r>
  </w:p>
  <w:p>
    <w:pPr>
      <w:tabs>
        <w:tab w:val="center" w:pos="4153"/>
        <w:tab w:val="right" w:pos="8306"/>
      </w:tabs>
      <w:rPr>
        <w:szCs w:val="24"/>
      </w:rPr>
    </w:pPr>
  </w:p>
</w:hdr>
</file>

<file path=word/header4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4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szCs w:val="24"/>
      </w:rPr>
    </w:pPr>
    <w:r>
      <w:rPr>
        <w:szCs w:val="24"/>
      </w:rPr>
      <w:fldChar w:fldCharType="begin"/>
    </w:r>
    <w:r>
      <w:rPr>
        <w:szCs w:val="24"/>
      </w:rPr>
      <w:instrText>PAGE   \* MERGEFORMAT</w:instrText>
    </w:r>
    <w:r>
      <w:rPr>
        <w:szCs w:val="24"/>
      </w:rPr>
      <w:fldChar w:fldCharType="separate"/>
    </w:r>
    <w:r>
      <w:rPr>
        <w:szCs w:val="24"/>
      </w:rPr>
      <w:t>7</w:t>
    </w:r>
    <w:r>
      <w:rPr>
        <w:szCs w:val="24"/>
      </w:rPr>
      <w:fldChar w:fldCharType="end"/>
    </w:r>
  </w:p>
  <w:p>
    <w:pPr>
      <w:tabs>
        <w:tab w:val="center" w:pos="4153"/>
        <w:tab w:val="right" w:pos="8306"/>
      </w:tabs>
      <w:rPr>
        <w:szCs w:val="24"/>
      </w:rPr>
    </w:pPr>
  </w:p>
</w:hdr>
</file>

<file path=word/header4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4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4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szCs w:val="24"/>
      </w:rPr>
    </w:pPr>
    <w:r>
      <w:rPr>
        <w:szCs w:val="24"/>
      </w:rPr>
      <w:fldChar w:fldCharType="begin"/>
    </w:r>
    <w:r>
      <w:rPr>
        <w:szCs w:val="24"/>
      </w:rPr>
      <w:instrText>PAGE   \* MERGEFORMAT</w:instrText>
    </w:r>
    <w:r>
      <w:rPr>
        <w:szCs w:val="24"/>
      </w:rPr>
      <w:fldChar w:fldCharType="separate"/>
    </w:r>
    <w:r>
      <w:rPr>
        <w:szCs w:val="24"/>
      </w:rPr>
      <w:t>10</w:t>
    </w:r>
    <w:r>
      <w:rPr>
        <w:szCs w:val="24"/>
      </w:rPr>
      <w:fldChar w:fldCharType="end"/>
    </w:r>
  </w:p>
  <w:p>
    <w:pPr>
      <w:tabs>
        <w:tab w:val="center" w:pos="4153"/>
        <w:tab w:val="right" w:pos="8306"/>
      </w:tabs>
      <w:rPr>
        <w:szCs w:val="24"/>
      </w:rPr>
    </w:pPr>
  </w:p>
</w:hdr>
</file>

<file path=word/header4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4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4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szCs w:val="24"/>
      </w:rPr>
    </w:pPr>
    <w:r>
      <w:rPr>
        <w:szCs w:val="24"/>
      </w:rPr>
      <w:fldChar w:fldCharType="begin"/>
    </w:r>
    <w:r>
      <w:rPr>
        <w:szCs w:val="24"/>
      </w:rPr>
      <w:instrText>PAGE   \* MERGEFORMAT</w:instrText>
    </w:r>
    <w:r>
      <w:rPr>
        <w:szCs w:val="24"/>
      </w:rPr>
      <w:fldChar w:fldCharType="separate"/>
    </w:r>
    <w:r>
      <w:rPr>
        <w:szCs w:val="24"/>
      </w:rPr>
      <w:t>2</w:t>
    </w:r>
    <w:r>
      <w:rPr>
        <w:szCs w:val="24"/>
      </w:rPr>
      <w:fldChar w:fldCharType="end"/>
    </w:r>
  </w:p>
  <w:p>
    <w:pPr>
      <w:tabs>
        <w:tab w:val="center" w:pos="4153"/>
        <w:tab w:val="right" w:pos="8306"/>
      </w:tabs>
      <w:rPr>
        <w:szCs w:val="24"/>
      </w:rPr>
    </w:pPr>
  </w:p>
</w:hdr>
</file>

<file path=word/header4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4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4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szCs w:val="24"/>
      </w:rPr>
    </w:pPr>
    <w:r>
      <w:rPr>
        <w:szCs w:val="24"/>
      </w:rPr>
      <w:fldChar w:fldCharType="begin"/>
    </w:r>
    <w:r>
      <w:rPr>
        <w:szCs w:val="24"/>
      </w:rPr>
      <w:instrText>PAGE   \* MERGEFORMAT</w:instrText>
    </w:r>
    <w:r>
      <w:rPr>
        <w:szCs w:val="24"/>
      </w:rPr>
      <w:fldChar w:fldCharType="separate"/>
    </w:r>
    <w:r>
      <w:rPr>
        <w:szCs w:val="24"/>
      </w:rPr>
      <w:t>7</w:t>
    </w:r>
    <w:r>
      <w:rPr>
        <w:szCs w:val="24"/>
      </w:rPr>
      <w:fldChar w:fldCharType="end"/>
    </w:r>
  </w:p>
  <w:p>
    <w:pPr>
      <w:tabs>
        <w:tab w:val="center" w:pos="4153"/>
        <w:tab w:val="right" w:pos="8306"/>
      </w:tabs>
      <w:rPr>
        <w:szCs w:val="24"/>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152</w:t>
    </w:r>
    <w:r>
      <w:rPr>
        <w:lang w:val="en-GB"/>
      </w:rPr>
      <w:fldChar w:fldCharType="end"/>
    </w:r>
  </w:p>
  <w:p>
    <w:pPr>
      <w:tabs>
        <w:tab w:val="center" w:pos="4153"/>
        <w:tab w:val="right" w:pos="8306"/>
      </w:tabs>
      <w:rPr>
        <w:lang w:val="en-GB"/>
      </w:rPr>
    </w:pPr>
  </w:p>
</w:hdr>
</file>

<file path=word/header4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4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4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szCs w:val="24"/>
      </w:rPr>
    </w:pPr>
    <w:r>
      <w:rPr>
        <w:szCs w:val="24"/>
      </w:rPr>
      <w:fldChar w:fldCharType="begin"/>
    </w:r>
    <w:r>
      <w:rPr>
        <w:szCs w:val="24"/>
      </w:rPr>
      <w:instrText>PAGE   \* MERGEFORMAT</w:instrText>
    </w:r>
    <w:r>
      <w:rPr>
        <w:szCs w:val="24"/>
      </w:rPr>
      <w:fldChar w:fldCharType="separate"/>
    </w:r>
    <w:r>
      <w:rPr>
        <w:szCs w:val="24"/>
      </w:rPr>
      <w:t>10</w:t>
    </w:r>
    <w:r>
      <w:rPr>
        <w:szCs w:val="24"/>
      </w:rPr>
      <w:fldChar w:fldCharType="end"/>
    </w:r>
  </w:p>
  <w:p>
    <w:pPr>
      <w:tabs>
        <w:tab w:val="center" w:pos="4153"/>
        <w:tab w:val="right" w:pos="8306"/>
      </w:tabs>
      <w:rPr>
        <w:szCs w:val="24"/>
      </w:rPr>
    </w:pPr>
  </w:p>
</w:hdr>
</file>

<file path=word/header4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4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4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szCs w:val="24"/>
      </w:rPr>
    </w:pPr>
    <w:r>
      <w:rPr>
        <w:szCs w:val="24"/>
      </w:rPr>
      <w:fldChar w:fldCharType="begin"/>
    </w:r>
    <w:r>
      <w:rPr>
        <w:szCs w:val="24"/>
      </w:rPr>
      <w:instrText>PAGE   \* MERGEFORMAT</w:instrText>
    </w:r>
    <w:r>
      <w:rPr>
        <w:szCs w:val="24"/>
      </w:rPr>
      <w:fldChar w:fldCharType="separate"/>
    </w:r>
    <w:r>
      <w:rPr>
        <w:szCs w:val="24"/>
      </w:rPr>
      <w:t>12</w:t>
    </w:r>
    <w:r>
      <w:rPr>
        <w:szCs w:val="24"/>
      </w:rPr>
      <w:fldChar w:fldCharType="end"/>
    </w:r>
  </w:p>
  <w:p>
    <w:pPr>
      <w:tabs>
        <w:tab w:val="center" w:pos="4153"/>
        <w:tab w:val="right" w:pos="8306"/>
      </w:tabs>
      <w:rPr>
        <w:szCs w:val="24"/>
      </w:rPr>
    </w:pPr>
  </w:p>
</w:hdr>
</file>

<file path=word/header4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4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4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jc w:val="center"/>
      <w:rPr>
        <w:szCs w:val="24"/>
      </w:rPr>
    </w:pPr>
  </w:p>
</w:hdr>
</file>

<file path=word/header4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190</w:t>
    </w:r>
    <w:r>
      <w:rPr>
        <w:lang w:val="en-GB"/>
      </w:rPr>
      <w:fldChar w:fldCharType="end"/>
    </w:r>
  </w:p>
  <w:p>
    <w:pPr>
      <w:tabs>
        <w:tab w:val="center" w:pos="4153"/>
        <w:tab w:val="right" w:pos="8306"/>
      </w:tabs>
      <w:rPr>
        <w:lang w:val="en-GB"/>
      </w:rPr>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108</w:t>
    </w:r>
    <w:r>
      <w:rPr>
        <w:lang w:val="en-GB"/>
      </w:rPr>
      <w:fldChar w:fldCharType="end"/>
    </w:r>
  </w:p>
  <w:p>
    <w:pPr>
      <w:tabs>
        <w:tab w:val="center" w:pos="4153"/>
        <w:tab w:val="right" w:pos="8306"/>
      </w:tabs>
      <w:rPr>
        <w:lang w:val="en-GB"/>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szCs w:val="24"/>
      </w:rPr>
    </w:pPr>
    <w:r>
      <w:rPr>
        <w:szCs w:val="24"/>
      </w:rPr>
      <w:fldChar w:fldCharType="begin"/>
    </w:r>
    <w:r>
      <w:rPr>
        <w:szCs w:val="24"/>
      </w:rPr>
      <w:instrText>PAGE   \* MERGEFORMAT</w:instrText>
    </w:r>
    <w:r>
      <w:rPr>
        <w:szCs w:val="24"/>
      </w:rPr>
      <w:fldChar w:fldCharType="separate"/>
    </w:r>
    <w:r>
      <w:rPr>
        <w:szCs w:val="24"/>
      </w:rPr>
      <w:t>2</w:t>
    </w:r>
    <w:r>
      <w:rPr>
        <w:szCs w:val="24"/>
      </w:rPr>
      <w:fldChar w:fldCharType="end"/>
    </w:r>
  </w:p>
  <w:p>
    <w:pPr>
      <w:tabs>
        <w:tab w:val="center" w:pos="4153"/>
        <w:tab w:val="right" w:pos="8306"/>
      </w:tabs>
      <w:jc w:val="center"/>
      <w:rPr>
        <w:szCs w:val="24"/>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szCs w:val="24"/>
      </w:rPr>
    </w:pPr>
    <w:r>
      <w:rPr>
        <w:szCs w:val="24"/>
      </w:rPr>
      <w:fldChar w:fldCharType="begin"/>
    </w:r>
    <w:r>
      <w:rPr>
        <w:szCs w:val="24"/>
      </w:rPr>
      <w:instrText>PAGE   \* MERGEFORMAT</w:instrText>
    </w:r>
    <w:r>
      <w:rPr>
        <w:szCs w:val="24"/>
      </w:rPr>
      <w:fldChar w:fldCharType="separate"/>
    </w:r>
    <w:r>
      <w:rPr>
        <w:szCs w:val="24"/>
      </w:rPr>
      <w:t>2</w:t>
    </w:r>
    <w:r>
      <w:rPr>
        <w:szCs w:val="24"/>
      </w:rPr>
      <w:fldChar w:fldCharType="end"/>
    </w:r>
  </w:p>
  <w:p>
    <w:pPr>
      <w:tabs>
        <w:tab w:val="center" w:pos="4153"/>
        <w:tab w:val="right" w:pos="8306"/>
      </w:tabs>
      <w:jc w:val="center"/>
      <w:rPr>
        <w:szCs w:val="24"/>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szCs w:val="24"/>
      </w:rPr>
    </w:pPr>
    <w:r>
      <w:rPr>
        <w:szCs w:val="24"/>
      </w:rPr>
      <w:fldChar w:fldCharType="begin"/>
    </w:r>
    <w:r>
      <w:rPr>
        <w:szCs w:val="24"/>
      </w:rPr>
      <w:instrText>PAGE   \* MERGEFORMAT</w:instrText>
    </w:r>
    <w:r>
      <w:rPr>
        <w:szCs w:val="24"/>
      </w:rPr>
      <w:fldChar w:fldCharType="separate"/>
    </w:r>
    <w:r>
      <w:rPr>
        <w:szCs w:val="24"/>
      </w:rPr>
      <w:t>2</w:t>
    </w:r>
    <w:r>
      <w:rPr>
        <w:szCs w:val="24"/>
      </w:rPr>
      <w:fldChar w:fldCharType="end"/>
    </w:r>
  </w:p>
  <w:p>
    <w:pPr>
      <w:tabs>
        <w:tab w:val="center" w:pos="4153"/>
        <w:tab w:val="right" w:pos="8306"/>
      </w:tabs>
      <w:jc w:val="center"/>
      <w:rPr>
        <w:szCs w:val="24"/>
      </w:rPr>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szCs w:val="24"/>
      </w:rPr>
    </w:pPr>
    <w:r>
      <w:rPr>
        <w:szCs w:val="24"/>
      </w:rPr>
      <w:fldChar w:fldCharType="begin"/>
    </w:r>
    <w:r>
      <w:rPr>
        <w:szCs w:val="24"/>
      </w:rPr>
      <w:instrText>PAGE   \* MERGEFORMAT</w:instrText>
    </w:r>
    <w:r>
      <w:rPr>
        <w:szCs w:val="24"/>
      </w:rPr>
      <w:fldChar w:fldCharType="separate"/>
    </w:r>
    <w:r>
      <w:rPr>
        <w:szCs w:val="24"/>
      </w:rPr>
      <w:t>15</w:t>
    </w:r>
    <w:r>
      <w:rPr>
        <w:szCs w:val="24"/>
      </w:rPr>
      <w:fldChar w:fldCharType="end"/>
    </w:r>
  </w:p>
  <w:p>
    <w:pPr>
      <w:tabs>
        <w:tab w:val="center" w:pos="4153"/>
        <w:tab w:val="right" w:pos="8306"/>
      </w:tabs>
      <w:jc w:val="center"/>
      <w:rPr>
        <w:szCs w:val="24"/>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szCs w:val="24"/>
      </w:rPr>
    </w:pPr>
    <w:r>
      <w:rPr>
        <w:szCs w:val="24"/>
      </w:rPr>
      <w:fldChar w:fldCharType="begin"/>
    </w:r>
    <w:r>
      <w:rPr>
        <w:szCs w:val="24"/>
      </w:rPr>
      <w:instrText>PAGE   \* MERGEFORMAT</w:instrText>
    </w:r>
    <w:r>
      <w:rPr>
        <w:szCs w:val="24"/>
      </w:rPr>
      <w:fldChar w:fldCharType="separate"/>
    </w:r>
    <w:r>
      <w:rPr>
        <w:szCs w:val="24"/>
      </w:rPr>
      <w:t>15</w:t>
    </w:r>
    <w:r>
      <w:rPr>
        <w:szCs w:val="24"/>
      </w:rPr>
      <w:fldChar w:fldCharType="end"/>
    </w:r>
  </w:p>
  <w:p>
    <w:pPr>
      <w:tabs>
        <w:tab w:val="center" w:pos="4153"/>
        <w:tab w:val="right" w:pos="8306"/>
      </w:tabs>
      <w:jc w:val="center"/>
      <w:rPr>
        <w:szCs w:val="24"/>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lang w:val="en-GB"/>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lang w:val="en-GB"/>
      </w:rPr>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 xml:space="preserve">PAGE </w:instrText>
    </w:r>
    <w:r>
      <w:instrText xml:space="preserve">  \* MERGEFORMAT</w:instrText>
    </w:r>
    <w:r>
      <w:fldChar w:fldCharType="separate"/>
    </w:r>
    <w:r>
      <w:t>2</w:t>
    </w:r>
    <w:r>
      <w:fldChar w:fldCharType="end"/>
    </w:r>
  </w:p>
  <w:p>
    <w:pPr>
      <w:tabs>
        <w:tab w:val="center" w:pos="4153"/>
        <w:tab w:val="right" w:pos="8306"/>
      </w:tabs>
      <w:rPr>
        <w:lang w:val="en-GB"/>
      </w:rPr>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jc w:val="center"/>
      <w:rPr>
        <w:szCs w:val="24"/>
      </w:rPr>
    </w:pPr>
    <w:r>
      <w:rPr>
        <w:szCs w:val="24"/>
      </w:rPr>
      <w:fldChar w:fldCharType="begin"/>
    </w:r>
    <w:r>
      <w:rPr>
        <w:szCs w:val="24"/>
      </w:rPr>
      <w:instrText xml:space="preserve">PAGE   \* </w:instrText>
    </w:r>
    <w:r>
      <w:rPr>
        <w:szCs w:val="24"/>
      </w:rPr>
      <w:instrText>MERGEFORMAT</w:instrText>
    </w:r>
    <w:r>
      <w:rPr>
        <w:szCs w:val="24"/>
      </w:rPr>
      <w:fldChar w:fldCharType="separate"/>
    </w:r>
    <w:r>
      <w:rPr>
        <w:szCs w:val="24"/>
      </w:rPr>
      <w:t>10</w:t>
    </w:r>
    <w:r>
      <w:rPr>
        <w:szCs w:val="24"/>
      </w:rPr>
      <w:fldChar w:fldCharType="end"/>
    </w:r>
  </w:p>
  <w:p>
    <w:pPr>
      <w:tabs>
        <w:tab w:val="center" w:pos="4153"/>
        <w:tab w:val="right" w:pos="8306"/>
      </w:tabs>
      <w:rPr>
        <w:szCs w:val="24"/>
      </w:rPr>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TAMALIŪNIENĖ Vilija">
    <w15:presenceInfo w15:providerId="AD" w15:userId="S-1-5-21-4015230268-3135662936-2741650420-2876"/>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68"/>
  <w:hideSpellingErrors/>
  <w:hideGrammaticalErrors/>
  <w:proofState w:grammar="clean"/>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8"/>
  <w:hyphenationZone w:val="396"/>
  <w:doNotHyphenateCaps/>
  <w:drawingGridHorizontalSpacing w:val="57"/>
  <w:characterSpacingControl w:val="doNotCompress"/>
  <w:hdrShapeDefaults>
    <o:shapedefaults v:ext="edit" spidmax="10854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84EF2"/>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8545"/>
    <o:shapelayout v:ext="edit">
      <o:idmap v:ext="edit" data="1"/>
    </o:shapelayout>
  </w:shapeDefaults>
  <w:decimalSymbol w:val=","/>
  <w:listSeparator w:val=";"/>
  <w14:docId w14:val="59969167"/>
  <w15:docId w15:val="{0B579368-2A05-4025-BA5F-0BB56C0B295C}"/>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Normal" w:qFormat="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character" w:styleId="Hipersaitas">
    <w:name w:val="Hyperlink"/>
    <w:basedOn w:val="Numatytasispastraiposriftas"/>
    <w:rPr>
      <w:color w:val="0000FF" w:themeColor="hyperlink"/>
      <w:u w:val="single"/>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rmal" w:qFormat="1"/>
    <w:lsdException w:name="header" w:uiPriority="99"/>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character" w:styleId="Hipersaitas">
    <w:name w:val="Hyperlink"/>
    <w:basedOn w:val="Numatytasispastraiposriftas"/>
    <w:rPr>
      <w:color w:val="0000FF" w:themeColor="hyperlink"/>
      <w:u w:val="single"/>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header" Target="header58.xml"/>
  <Relationship Id="rId10" Type="http://schemas.openxmlformats.org/officeDocument/2006/relationships/webSettings" Target="webSettings.xml"/>
  <Relationship Id="rId100" Type="http://schemas.openxmlformats.org/officeDocument/2006/relationships/image" Target="media/image590.png"/>
  <Relationship Id="rId101" Type="http://schemas.openxmlformats.org/officeDocument/2006/relationships/image" Target="media/image591.png"/>
  <Relationship Id="rId102" Type="http://schemas.openxmlformats.org/officeDocument/2006/relationships/image" Target="media/image592.png"/>
  <Relationship Id="rId103" Type="http://schemas.openxmlformats.org/officeDocument/2006/relationships/image" Target="media/image593.png"/>
  <Relationship Id="rId104" Type="http://schemas.openxmlformats.org/officeDocument/2006/relationships/image" Target="media/image594.png"/>
  <Relationship Id="rId105" Type="http://schemas.openxmlformats.org/officeDocument/2006/relationships/image" Target="media/image595.png"/>
  <Relationship Id="rId106" Type="http://schemas.openxmlformats.org/officeDocument/2006/relationships/image" Target="media/image596.png"/>
  <Relationship Id="rId107" Type="http://schemas.openxmlformats.org/officeDocument/2006/relationships/image" Target="media/image597.png"/>
  <Relationship Id="rId108" Type="http://schemas.openxmlformats.org/officeDocument/2006/relationships/image" Target="media/image598.png"/>
  <Relationship Id="rId109" Type="http://schemas.openxmlformats.org/officeDocument/2006/relationships/image" Target="media/image599.png"/>
  <Relationship Id="rId11" Type="http://schemas.openxmlformats.org/officeDocument/2006/relationships/image" Target="media/image3.wmf"/>
  <Relationship Id="rId110" Type="http://schemas.openxmlformats.org/officeDocument/2006/relationships/image" Target="media/image600.png"/>
  <Relationship Id="rId111" Type="http://schemas.openxmlformats.org/officeDocument/2006/relationships/image" Target="media/image601.png"/>
  <Relationship Id="rId112" Type="http://schemas.openxmlformats.org/officeDocument/2006/relationships/image" Target="media/image602.png"/>
  <Relationship Id="rId113" Type="http://schemas.openxmlformats.org/officeDocument/2006/relationships/image" Target="media/image603.png"/>
  <Relationship Id="rId114" Type="http://schemas.openxmlformats.org/officeDocument/2006/relationships/image" Target="media/image604.png"/>
  <Relationship Id="rId115" Type="http://schemas.openxmlformats.org/officeDocument/2006/relationships/image" Target="media/image605.png"/>
  <Relationship Id="rId116" Type="http://schemas.openxmlformats.org/officeDocument/2006/relationships/image" Target="media/image606.png"/>
  <Relationship Id="rId117" Type="http://schemas.openxmlformats.org/officeDocument/2006/relationships/image" Target="media/image607.png"/>
  <Relationship Id="rId118" Type="http://schemas.openxmlformats.org/officeDocument/2006/relationships/image" Target="media/image608.png"/>
  <Relationship Id="rId119" Type="http://schemas.openxmlformats.org/officeDocument/2006/relationships/hyperlink" TargetMode="External" Target="https://www.e-tar.lt/portal/lt/legalAct/TAR.668CEF058FF8"/>
  <Relationship Id="rId12" Type="http://schemas.openxmlformats.org/officeDocument/2006/relationships/hyperlink" TargetMode="External" Target="https://www.e-tar.lt/portal/lt/legalAct/TAR.C337D779A343"/>
  <Relationship Id="rId120" Type="http://schemas.openxmlformats.org/officeDocument/2006/relationships/header" Target="header457.xml"/>
  <Relationship Id="rId121" Type="http://schemas.openxmlformats.org/officeDocument/2006/relationships/header" Target="header458.xml"/>
  <Relationship Id="rId122" Type="http://schemas.openxmlformats.org/officeDocument/2006/relationships/footer" Target="footer307.xml"/>
  <Relationship Id="rId123" Type="http://schemas.openxmlformats.org/officeDocument/2006/relationships/footer" Target="footer308.xml"/>
  <Relationship Id="rId124" Type="http://schemas.openxmlformats.org/officeDocument/2006/relationships/header" Target="header459.xml"/>
  <Relationship Id="rId125" Type="http://schemas.openxmlformats.org/officeDocument/2006/relationships/footer" Target="footer309.xml"/>
  <Relationship Id="rId126" Type="http://schemas.openxmlformats.org/officeDocument/2006/relationships/customXml" Target="../customXml/item1.xml"/>
  <Relationship Id="rId13" Type="http://schemas.openxmlformats.org/officeDocument/2006/relationships/hyperlink" TargetMode="External" Target="https://www.e-tar.lt/portal/lt/legalAct/TAR.A92EEEEF018C"/>
  <Relationship Id="rId14" Type="http://schemas.openxmlformats.org/officeDocument/2006/relationships/hyperlink" TargetMode="External" Target="https://www.e-tar.lt/portal/lt/legalAct/TAR.0BBFE299C915"/>
  <Relationship Id="rId15" Type="http://schemas.openxmlformats.org/officeDocument/2006/relationships/hyperlink" TargetMode="External" Target="https://www.e-tar.lt/portal/lt/legalAct/TAR.C925EFE595C1"/>
  <Relationship Id="rId16" Type="http://schemas.openxmlformats.org/officeDocument/2006/relationships/hyperlink" TargetMode="External" Target="https://www.e-tar.lt/portal/lt/legalAct/TAR.E572CC3872E1"/>
  <Relationship Id="rId17" Type="http://schemas.openxmlformats.org/officeDocument/2006/relationships/hyperlink" TargetMode="External" Target="https://www.e-tar.lt/portal/lt/legalAct/TAR.AB76E5928C64"/>
  <Relationship Id="rId18" Type="http://schemas.openxmlformats.org/officeDocument/2006/relationships/header" Target="header117.xml"/>
  <Relationship Id="rId19" Type="http://schemas.openxmlformats.org/officeDocument/2006/relationships/header" Target="header118.xml"/>
  <Relationship Id="rId2" Type="http://schemas.openxmlformats.org/officeDocument/2006/relationships/header" Target="header59.xml"/>
  <Relationship Id="rId20" Type="http://schemas.openxmlformats.org/officeDocument/2006/relationships/footer" Target="footer100.xml"/>
  <Relationship Id="rId21" Type="http://schemas.openxmlformats.org/officeDocument/2006/relationships/footer" Target="footer101.xml"/>
  <Relationship Id="rId22" Type="http://schemas.openxmlformats.org/officeDocument/2006/relationships/header" Target="header119.xml"/>
  <Relationship Id="rId23" Type="http://schemas.openxmlformats.org/officeDocument/2006/relationships/footer" Target="footer102.xml"/>
  <Relationship Id="rId24" Type="http://schemas.openxmlformats.org/officeDocument/2006/relationships/hyperlink" TargetMode="External" Target="https://www.e-tar.lt/portal/lt/legalAct/TAR.21897F4DD271"/>
  <Relationship Id="rId25" Type="http://schemas.openxmlformats.org/officeDocument/2006/relationships/hyperlink" TargetMode="External" Target="https://www.e-tar.lt/portal/lt/legalAct/TAR.22504E4941B4"/>
  <Relationship Id="rId26" Type="http://schemas.openxmlformats.org/officeDocument/2006/relationships/hyperlink" TargetMode="External" Target="http://www3.lrs.lt/cgi-bin/preps2?a=92894&amp;b="/>
  <Relationship Id="rId27" Type="http://schemas.openxmlformats.org/officeDocument/2006/relationships/hyperlink" TargetMode="External" Target="http://www3.lrs.lt/cgi-bin/preps2?a=76692&amp;b="/>
  <Relationship Id="rId28" Type="http://schemas.openxmlformats.org/officeDocument/2006/relationships/hyperlink" TargetMode="External" Target="http://www3.lrs.lt/cgi-bin/preps2?a=76692&amp;b="/>
  <Relationship Id="rId29" Type="http://schemas.openxmlformats.org/officeDocument/2006/relationships/header" Target="header162.xml"/>
  <Relationship Id="rId3" Type="http://schemas.openxmlformats.org/officeDocument/2006/relationships/endnotes" Target="endnotes.xml"/>
  <Relationship Id="rId30" Type="http://schemas.openxmlformats.org/officeDocument/2006/relationships/header" Target="header163.xml"/>
  <Relationship Id="rId31" Type="http://schemas.openxmlformats.org/officeDocument/2006/relationships/footer" Target="footer145.xml"/>
  <Relationship Id="rId32" Type="http://schemas.openxmlformats.org/officeDocument/2006/relationships/footer" Target="footer146.xml"/>
  <Relationship Id="rId33" Type="http://schemas.openxmlformats.org/officeDocument/2006/relationships/header" Target="header164.xml"/>
  <Relationship Id="rId34" Type="http://schemas.openxmlformats.org/officeDocument/2006/relationships/footer" Target="footer147.xml"/>
  <Relationship Id="rId35" Type="http://schemas.openxmlformats.org/officeDocument/2006/relationships/header" Target="header279.xml"/>
  <Relationship Id="rId36" Type="http://schemas.openxmlformats.org/officeDocument/2006/relationships/header" Target="header280.xml"/>
  <Relationship Id="rId37" Type="http://schemas.openxmlformats.org/officeDocument/2006/relationships/footer" Target="footer262.xml"/>
  <Relationship Id="rId38" Type="http://schemas.openxmlformats.org/officeDocument/2006/relationships/footer" Target="footer263.xml"/>
  <Relationship Id="rId39" Type="http://schemas.openxmlformats.org/officeDocument/2006/relationships/header" Target="header281.xml"/>
  <Relationship Id="rId4" Type="http://schemas.openxmlformats.org/officeDocument/2006/relationships/fontTable" Target="fontTable.xml"/>
  <Relationship Id="rId40" Type="http://schemas.openxmlformats.org/officeDocument/2006/relationships/footer" Target="footer264.xml"/>
  <Relationship Id="rId41" Type="http://schemas.openxmlformats.org/officeDocument/2006/relationships/hyperlink" TargetMode="External" Target="https://www.e-tar.lt/portal/lt/legalAct/TAR.3394CBFC359C"/>
  <Relationship Id="rId42" Type="http://schemas.openxmlformats.org/officeDocument/2006/relationships/hyperlink" TargetMode="External" Target="http://www3.lrs.lt/cgi-bin/preps2?a=51605&amp;b="/>
  <Relationship Id="rId43" Type="http://schemas.openxmlformats.org/officeDocument/2006/relationships/hyperlink" TargetMode="External" Target="https://www.e-tar.lt/portal/lt/legalAct/TAR.B7D7BAACDE6B"/>
  <Relationship Id="rId44" Type="http://schemas.openxmlformats.org/officeDocument/2006/relationships/hyperlink" TargetMode="External" Target="http://www3.lrs.lt/cgi-bin/preps2?a=69596&amp;b="/>
  <Relationship Id="rId45" Type="http://schemas.openxmlformats.org/officeDocument/2006/relationships/header" Target="header288.xml"/>
  <Relationship Id="rId46" Type="http://schemas.openxmlformats.org/officeDocument/2006/relationships/header" Target="header289.xml"/>
  <Relationship Id="rId47" Type="http://schemas.openxmlformats.org/officeDocument/2006/relationships/footer" Target="footer271.xml"/>
  <Relationship Id="rId48" Type="http://schemas.openxmlformats.org/officeDocument/2006/relationships/footer" Target="footer272.xml"/>
  <Relationship Id="rId49" Type="http://schemas.openxmlformats.org/officeDocument/2006/relationships/header" Target="header290.xml"/>
  <Relationship Id="rId5" Type="http://schemas.openxmlformats.org/officeDocument/2006/relationships/footnotes" Target="footnotes.xml"/>
  <Relationship Id="rId50" Type="http://schemas.openxmlformats.org/officeDocument/2006/relationships/footer" Target="footer273.xml"/>
  <Relationship Id="rId51" Type="http://schemas.openxmlformats.org/officeDocument/2006/relationships/header" Target="header317.xml"/>
  <Relationship Id="rId52" Type="http://schemas.openxmlformats.org/officeDocument/2006/relationships/header" Target="header318.xml"/>
  <Relationship Id="rId53" Type="http://schemas.openxmlformats.org/officeDocument/2006/relationships/hyperlink" TargetMode="External" Target="https://www.e-tar.lt/portal/lt/legalAct/TAR.5DC1759E42CB"/>
  <Relationship Id="rId54" Type="http://schemas.openxmlformats.org/officeDocument/2006/relationships/hyperlink" TargetMode="External" Target="https://www.e-tar.lt/portal/lt/legalAct/TAR.8D97CD7E1857"/>
  <Relationship Id="rId55" Type="http://schemas.openxmlformats.org/officeDocument/2006/relationships/hyperlink" TargetMode="External" Target="https://www.e-tar.lt/portal/lt/legalAct/TAR.67B5099C5848"/>
  <Relationship Id="rId56" Type="http://schemas.openxmlformats.org/officeDocument/2006/relationships/hyperlink" TargetMode="External" Target="https://www.e-tar.lt/portal/lt/legalAct/TAR.78FAC7B20AD8"/>
  <Relationship Id="rId57" Type="http://schemas.openxmlformats.org/officeDocument/2006/relationships/header" Target="header319.xml"/>
  <Relationship Id="rId58" Type="http://schemas.openxmlformats.org/officeDocument/2006/relationships/header" Target="header320.xml"/>
  <Relationship Id="rId59" Type="http://schemas.openxmlformats.org/officeDocument/2006/relationships/footer" Target="footer298.xml"/>
  <Relationship Id="rId6" Type="http://schemas.openxmlformats.org/officeDocument/2006/relationships/hyperlink" TargetMode="External" Target="https://www.e-tar.lt/portal/lt/legalAct/TAR.668CEF058FF8"/>
  <Relationship Id="rId60" Type="http://schemas.openxmlformats.org/officeDocument/2006/relationships/footer" Target="footer299.xml"/>
  <Relationship Id="rId61" Type="http://schemas.openxmlformats.org/officeDocument/2006/relationships/header" Target="header321.xml"/>
  <Relationship Id="rId62" Type="http://schemas.openxmlformats.org/officeDocument/2006/relationships/footer" Target="footer300.xml"/>
  <Relationship Id="rId63" Type="http://schemas.openxmlformats.org/officeDocument/2006/relationships/hyperlink" TargetMode="External" Target="https://www.e-tar.lt/portal/lt/legalAct/TAR.751B6F8BF451"/>
  <Relationship Id="rId64" Type="http://schemas.openxmlformats.org/officeDocument/2006/relationships/hyperlink" TargetMode="External" Target="https://www.e-tar.lt/portal/lt/legalAct/TAR.313208361D5D"/>
  <Relationship Id="rId65" Type="http://schemas.openxmlformats.org/officeDocument/2006/relationships/hyperlink" TargetMode="External" Target="https://www.e-tar.lt/portal/lt/legalAct/TAR.64EB889A3B24"/>
  <Relationship Id="rId66" Type="http://schemas.openxmlformats.org/officeDocument/2006/relationships/hyperlink" TargetMode="External" Target="https://www.e-tar.lt/portal/lt/legalAct/TAR.5ED52629C3C4"/>
  <Relationship Id="rId67" Type="http://schemas.openxmlformats.org/officeDocument/2006/relationships/hyperlink" TargetMode="External" Target="https://www.e-tar.lt/portal/lt/legalAct/TAR.0630DF325F2F"/>
  <Relationship Id="rId68" Type="http://schemas.openxmlformats.org/officeDocument/2006/relationships/hyperlink" TargetMode="External" Target="https://www.e-tar.lt/portal/lt/legalAct/TAR.04551A50A76D"/>
  <Relationship Id="rId69" Type="http://schemas.openxmlformats.org/officeDocument/2006/relationships/hyperlink" TargetMode="External" Target="https://www.e-tar.lt/portal/lt/legalAct/TAR.C6E4170DB704"/>
  <Relationship Id="rId7" Type="http://schemas.openxmlformats.org/officeDocument/2006/relationships/settings" Target="settings.xml"/>
  <Relationship Id="rId70" Type="http://schemas.openxmlformats.org/officeDocument/2006/relationships/hyperlink" TargetMode="External" Target="https://www.e-tar.lt/portal/lt/legalAct/TAR.DC61D74561C5"/>
  <Relationship Id="rId71" Type="http://schemas.openxmlformats.org/officeDocument/2006/relationships/hyperlink" TargetMode="External" Target="https://www.e-tar.lt/portal/lt/legalAct/TAR.DC61D74561C5"/>
  <Relationship Id="rId72" Type="http://schemas.openxmlformats.org/officeDocument/2006/relationships/hyperlink" TargetMode="External" Target="https://www.e-tar.lt/portal/lt/legalAct/TAR.9A2A80746DED"/>
  <Relationship Id="rId73" Type="http://schemas.openxmlformats.org/officeDocument/2006/relationships/hyperlink" TargetMode="External" Target="https://www.e-tar.lt/portal/lt/legalAct/TAR.F7E759DF5DFE"/>
  <Relationship Id="rId74" Type="http://schemas.openxmlformats.org/officeDocument/2006/relationships/hyperlink" TargetMode="External" Target="https://www.e-tar.lt/portal/lt/legalAct/TAR.DC61D74561C5"/>
  <Relationship Id="rId75" Type="http://schemas.openxmlformats.org/officeDocument/2006/relationships/hyperlink" TargetMode="External" Target="https://www.e-tar.lt/portal/lt/legalAct/TAR.9A2A80746DED"/>
  <Relationship Id="rId76" Type="http://schemas.openxmlformats.org/officeDocument/2006/relationships/hyperlink" TargetMode="External" Target="https://www.e-tar.lt/portal/lt/legalAct/TAR.F7E759DF5DFE"/>
  <Relationship Id="rId77" Type="http://schemas.openxmlformats.org/officeDocument/2006/relationships/hyperlink" TargetMode="External" Target="https://www.e-tar.lt/portal/lt/legalAct/TAR.C6E4170DB704"/>
  <Relationship Id="rId78" Type="http://schemas.openxmlformats.org/officeDocument/2006/relationships/hyperlink" TargetMode="External" Target="https://www.e-tar.lt/portal/lt/legalAct/TAR.6CFC2AC8617C"/>
  <Relationship Id="rId79" Type="http://schemas.openxmlformats.org/officeDocument/2006/relationships/hyperlink" TargetMode="External" Target="https://www.e-tar.lt/portal/lt/legalAct/TAR.9BB254501DB8"/>
  <Relationship Id="rId8" Type="http://schemas.openxmlformats.org/officeDocument/2006/relationships/styles" Target="styles.xml"/>
  <Relationship Id="rId80" Type="http://schemas.openxmlformats.org/officeDocument/2006/relationships/header" Target="header344.xml"/>
  <Relationship Id="rId81" Type="http://schemas.openxmlformats.org/officeDocument/2006/relationships/header" Target="header345.xml"/>
  <Relationship Id="rId82" Type="http://schemas.openxmlformats.org/officeDocument/2006/relationships/header" Target="header398.xml"/>
  <Relationship Id="rId83" Type="http://schemas.openxmlformats.org/officeDocument/2006/relationships/header" Target="header399.xml"/>
  <Relationship Id="rId84" Type="http://schemas.openxmlformats.org/officeDocument/2006/relationships/header" Target="header454.xml"/>
  <Relationship Id="rId85" Type="http://schemas.openxmlformats.org/officeDocument/2006/relationships/header" Target="header455.xml"/>
  <Relationship Id="rId86" Type="http://schemas.openxmlformats.org/officeDocument/2006/relationships/header" Target="header456.xml"/>
  <Relationship Id="rId87" Type="http://schemas.openxmlformats.org/officeDocument/2006/relationships/image" Target="media/image577.png"/>
  <Relationship Id="rId88" Type="http://schemas.openxmlformats.org/officeDocument/2006/relationships/image" Target="media/image578.png"/>
  <Relationship Id="rId89" Type="http://schemas.openxmlformats.org/officeDocument/2006/relationships/image" Target="media/image579.png"/>
  <Relationship Id="rId9" Type="http://schemas.openxmlformats.org/officeDocument/2006/relationships/theme" Target="theme/theme1.xml"/>
  <Relationship Id="rId90" Type="http://schemas.openxmlformats.org/officeDocument/2006/relationships/image" Target="media/image580.png"/>
  <Relationship Id="rId91" Type="http://schemas.openxmlformats.org/officeDocument/2006/relationships/image" Target="media/image581.png"/>
  <Relationship Id="rId92" Type="http://schemas.openxmlformats.org/officeDocument/2006/relationships/image" Target="media/image582.png"/>
  <Relationship Id="rId93" Type="http://schemas.openxmlformats.org/officeDocument/2006/relationships/image" Target="media/image583.png"/>
  <Relationship Id="rId94" Type="http://schemas.openxmlformats.org/officeDocument/2006/relationships/image" Target="media/image584.png"/>
  <Relationship Id="rId95" Type="http://schemas.openxmlformats.org/officeDocument/2006/relationships/image" Target="media/image585.png"/>
  <Relationship Id="rId96" Type="http://schemas.openxmlformats.org/officeDocument/2006/relationships/image" Target="media/image586.png"/>
  <Relationship Id="rId97" Type="http://schemas.openxmlformats.org/officeDocument/2006/relationships/image" Target="media/image587.png"/>
  <Relationship Id="rId98" Type="http://schemas.openxmlformats.org/officeDocument/2006/relationships/image" Target="media/image588.png"/>
  <Relationship Id="rId99" Type="http://schemas.openxmlformats.org/officeDocument/2006/relationships/image" Target="media/image589.png"/>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openxmlformats.org/officeDocument/2006/relationships/webSettings" Target="webSettings.xml"/>
</Relationships>

</file>

<file path=word/glossary/document.xml><?xml version="1.0" encoding="utf-8"?>
<w:glossary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docParts>
    <w:docPart>
      <w:docPartPr>
        <w:name w:val="D56E388655974B65842E6C32B7EE8A38"/>
        <w:category>
          <w:name w:val="Bendrosios nuostatos"/>
          <w:gallery w:val="placeholder"/>
        </w:category>
        <w:types>
          <w:type w:val="bbPlcHdr"/>
        </w:types>
        <w:behaviors>
          <w:behavior w:val="content"/>
        </w:behaviors>
        <w:guid w:val="{B8F21375-90AA-4E41-BF48-017AA9914324}"/>
      </w:docPartPr>
      <w:docPartBody>
        <w:p>
          <w:pPr>
            <w:pStyle w:val="D56E388655974B65842E6C32B7EE8A38"/>
          </w:pPr>
          <w:r>
            <w:rPr>
              <w:rStyle w:val="Vietosrezervavimoenklotekstas"/>
            </w:rPr>
            <w:t>Norėdami įvesti tekstą, spustelėkite arba bakstelėkite čia.</w:t>
          </w:r>
        </w:p>
      </w:docPartBody>
    </w:docPart>
    <w:docPart>
      <w:docPartPr>
        <w:name w:val="733E000271F94E37887574CF8A09E992"/>
        <w:category>
          <w:name w:val="Bendrosios nuostatos"/>
          <w:gallery w:val="placeholder"/>
        </w:category>
        <w:types>
          <w:type w:val="bbPlcHdr"/>
        </w:types>
        <w:behaviors>
          <w:behavior w:val="content"/>
        </w:behaviors>
        <w:guid w:val="{98DEA8D0-A01E-4DD3-953E-DEE8A84785DC}"/>
      </w:docPartPr>
      <w:docPartBody>
        <w:p>
          <w:pPr>
            <w:pStyle w:val="733E000271F94E37887574CF8A09E992"/>
          </w:pPr>
          <w:r>
            <w:rPr>
              <w:rStyle w:val="Vietosrezervavimoenklotekstas"/>
            </w:rPr>
            <w:t>Norėdami įvesti tekstą, spustelėkite arba bakstelėkite čia.</w:t>
          </w:r>
        </w:p>
      </w:docPartBody>
    </w:docPart>
    <w:docPart>
      <w:docPartPr>
        <w:name w:val="BBC1D20075D9463E992C716C5810E1CD"/>
        <w:category>
          <w:name w:val="Bendrosios nuostatos"/>
          <w:gallery w:val="placeholder"/>
        </w:category>
        <w:types>
          <w:type w:val="bbPlcHdr"/>
        </w:types>
        <w:behaviors>
          <w:behavior w:val="content"/>
        </w:behaviors>
        <w:guid w:val="{BA52BA41-BFF9-4CD6-9C1A-69E717916F09}"/>
      </w:docPartPr>
      <w:docPartBody>
        <w:p>
          <w:pPr>
            <w:pStyle w:val="BBC1D20075D9463E992C716C5810E1CD"/>
          </w:pPr>
          <w:r>
            <w:rPr>
              <w:rStyle w:val="Vietosrezervavimoenklotekstas"/>
            </w:rPr>
            <w:t>Norėdami įvesti tekstą, spustelėkite arba bakstelėkite čia.</w:t>
          </w:r>
        </w:p>
      </w:docPartBody>
    </w:docPart>
  </w:docParts>
</w:glossaryDocument>
</file>

<file path=word/glossary/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TimesLT">
    <w:altName w:val="Times New Roman"/>
    <w:charset w:val="BA"/>
    <w:family w:val="roman"/>
    <w:pitch w:val="variable"/>
    <w:sig w:usb0="00000001" w:usb1="00000000" w:usb2="00000000" w:usb3="00000000" w:csb0="0000009F" w:csb1="00000000"/>
  </w:font>
  <w:font w:name="Wingdings">
    <w:panose1 w:val="05000000000000000000"/>
    <w:charset w:val="02"/>
    <w:family w:val="auto"/>
    <w:pitch w:val="variable"/>
    <w:sig w:usb0="00000000" w:usb1="10000000" w:usb2="00000000" w:usb3="00000000" w:csb0="80000000" w:csb1="00000000"/>
  </w:font>
  <w:font w:name="MS Mincho">
    <w:altName w:val="Yu Gothic UI"/>
    <w:panose1 w:val="02020609040205080304"/>
    <w:charset w:val="80"/>
    <w:family w:val="modern"/>
    <w:pitch w:val="fixed"/>
    <w:sig w:usb0="E00002FF" w:usb1="6AC7FDFB" w:usb2="00000012" w:usb3="00000000" w:csb0="0002009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BA"/>
    <w:family w:val="modern"/>
    <w:pitch w:val="fixed"/>
    <w:sig w:usb0="E0002EFF" w:usb1="C0007843"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A031B"/>
    <w:rsid w:val="005A031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5A031B"/>
    <w:rPr>
      <w:color w:val="808080"/>
    </w:rPr>
  </w:style>
  <w:style w:type="paragraph" w:customStyle="1" w:styleId="D56E388655974B65842E6C32B7EE8A38">
    <w:name w:val="D56E388655974B65842E6C32B7EE8A38"/>
    <w:rsid w:val="005A031B"/>
  </w:style>
  <w:style w:type="paragraph" w:customStyle="1" w:styleId="733E000271F94E37887574CF8A09E992">
    <w:name w:val="733E000271F94E37887574CF8A09E992"/>
    <w:rsid w:val="005A031B"/>
  </w:style>
  <w:style w:type="paragraph" w:customStyle="1" w:styleId="BBC1D20075D9463E992C716C5810E1CD">
    <w:name w:val="BBC1D20075D9463E992C716C5810E1CD"/>
    <w:rsid w:val="005A031B"/>
  </w:style>
</w:styles>
</file>

<file path=word/glossary/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715e20404d1d48728c0738d89f628973" PartId="83de2da9d8c643df8cdd8e947e5bb736">
    <Part Type="preambule" DocPartId="9241104d8af84afc9c8aa584998d0d20" PartId="f5ddadfe99834666b97375087dc3bdf9"/>
    <Part Type="punktas" Nr="1" Abbr="1 p." DocPartId="28370a0289cb4c97a883bb79929b7501" PartId="1530be58f24e43d8a6d75290b82e37df">
      <Part Type="punktas" Nr="1.1" Abbr="1.1 p." DocPartId="c88dd74cf26e4b49887ccca2ea5f90f7" PartId="17c524fca50d49f181fef67eb482d83e"/>
      <Part Type="punktas" Nr="1.2" Abbr="1.2 p." DocPartId="35c7e02c5d3542d58a7444274a4a5a94" PartId="106ef918db734350a3380edd26d37b58"/>
      <Part Type="punktas" Nr="1.3" Abbr="1.3 p." DocPartId="42b53bc821b3421586a3466e11be440e" PartId="858ccc378d1b4def9d5409f053bb13fe"/>
      <Part Type="punktas" Nr="1.4" Abbr="1.4 p." DocPartId="154e16229eff40f5ae400909d2f7cea5" PartId="c840df2aa21e40cc9eb4ae4228755d14"/>
      <Part Type="punktas" Nr="1.5" Abbr="1.5 p." DocPartId="bbcbd4eab00c42419ee69a03bcf83927" PartId="d1456022716b4f28809a825cddc745ca"/>
      <Part Type="punktas" Nr="1.6" Abbr="1.6 p." DocPartId="7ff814f3697747b09faa62555b894ad0" PartId="312617211fe048639b4dcdc44fe6f3cc"/>
      <Part Type="punktas" Nr="1.7" Abbr="1.7 p." DocPartId="0cdfde067d514ede9811ce9bf546e1b8" PartId="d74a264081fe45bfae0f930a375f505a"/>
      <Part Type="punktas" Nr="1.8" Abbr="1.8 p." DocPartId="31b977f86155491fa27d63cc42003767" PartId="0aacbd902b8b4fa1ac6b21cc9adfe4ab"/>
      <Part Type="punktas" Nr="1.9" Abbr="1.9 p." DocPartId="d9116b47b10f405bb866630b0dd654ff" PartId="aebc7d4347c14a0b8b1010d60b3b523e"/>
      <Part Type="punktas" Nr="1.10" Abbr="1.10 p." DocPartId="d4abe3646232402c880230094ee7e543" PartId="306b40940c344cb2af846af3419640ab"/>
      <Part Type="punktas" Nr="1.11" Abbr="1.11 p." DocPartId="0209d718f51246ddbc5565c159d4906e" PartId="c66e60e394684e7591f1478415e27b1b"/>
      <Part Type="punktas" Nr="1.12" Abbr="1.12 p." DocPartId="774ca44754b84bb89a8530404d9479f3" PartId="c75311c0955c4cc89c58566598b6a4a0"/>
      <Part Type="punktas" Nr="1.13" Abbr="1.13 p." DocPartId="4c78104d70244d2badcb5d01b7e9f022" PartId="730ce55f0bc04f6dbf8fc38d74c8ff50"/>
      <Part Type="punktas" Nr="1.14" Abbr="1.14 p." DocPartId="a04c7c8810f84b94bd15f67c221ec158" PartId="32427971ce1445a9b8bca7dcc65c1f8b"/>
      <Part Type="punktas" Nr="1.15" Abbr="1.15 p." DocPartId="fb0502c6a26f4b588ac0871fe29ce39e" PartId="106860d84ddd458ba855cf35a66128ab"/>
      <Part Type="punktas" Nr="1.16" Abbr="1.16 p." DocPartId="406e004c002143a2b4fbffe4e06bd120" PartId="bbf3e6bbc6ec42dbb00074080dd2082a"/>
      <Part Type="punktas" Nr="1.17" Abbr="1.17 p." DocPartId="ea257061e8eb45de84bf09145f549703" PartId="5d1d60a5b7a041d4b22777e500e3c49b"/>
      <Part Type="punktas" Nr="1.18" Abbr="1.18 p." DocPartId="b9228af3d6ca41daa00a4ac5a27da6b5" PartId="72b441d9e93540769b3e3910e7ddedd3"/>
      <Part Type="papunktis" Nr="1.19" Abbr="1.19 pp." DocPartId="f14cee77910741d1b7ff6ab5952429bf" PartId="528ae7131e2a4e32bc501645875cf66f"/>
    </Part>
    <Part Type="punktas" Nr="2" Abbr="2 p." DocPartId="ebb6a2b307954eb09fb04601756676cf" PartId="8e8d287a01464ceb8396cbd92f3b6410">
      <Part Type="punktas" Nr="2.1" Abbr="2.1 p." DocPartId="3963c8d478a1442e9e5fc6701534bc08" PartId="ccf28d5ff538449b80667513f8037149"/>
      <Part Type="punktas" Nr="2.2" Abbr="2.2 p." DocPartId="12b9e3347f4e4d07bf219249cfeb0fd9" PartId="2e6f7b9fc7c447dd8897db737d79f372"/>
    </Part>
    <Part Type="punktas" Nr="3" Abbr="3 p." DocPartId="952a4dd1fe35470885e1e5b962e6c42e" PartId="5eba5cb9df4c445f9636e5ac2f0c53ff">
      <Part Type="punktas" Nr="3.1" Abbr="3.1 p." DocPartId="9cb2dd3616a54665b8c9a15482fa83ee" PartId="cab2641df5aa435f9531b8469f01e2a7"/>
      <Part Type="punktas" Nr="3.2" Abbr="3.2 p." DocPartId="276820cbc53b4324ba09533e69f2318a" PartId="08da52363d954ffab7a36b64022f328c"/>
      <Part Type="punktas" Nr="3.3" Abbr="3.3 p." DocPartId="c4b4309c5c4c4fe6a7b2c342fbc49d92" PartId="19e4ec4ec81c4821ab0ef5af4024e408"/>
      <Part Type="punktas" Nr="3.4" Abbr="3.4 p." DocPartId="fbf40d2974944be182634cca768d3bc8" PartId="38f3df114b9346ccba005ba5d67dd756"/>
      <Part Type="punktas" Nr="3.5" Abbr="3.5 p." DocPartId="0b6a564d38c14fe19bac3ce70609ffcd" PartId="fa037338bcd34773947d5b25c05c3035"/>
      <Part Type="punktas" Nr="3.6" Abbr="3.6 p." DocPartId="1bbf7d600cfa4831b4726a029016865b" PartId="9888991eb24e45d684529e1ef8b9836d"/>
      <Part Type="punktas" Nr="3.7" Abbr="3.7 p." DocPartId="be93755587af4307ae979b94d01d43d7" PartId="4530bff5e35641528a39d447bfab03ed"/>
      <Part Type="punktas" Nr="3.8" Abbr="3.8 p." DocPartId="b08d04bef75c47919c1cf6565c2f5332" PartId="b7ecf5c4981f4e4d90746a358ecdf685"/>
      <Part Type="punktas" Nr="3.9" Abbr="3.9 p." DocPartId="3251573119fc4bbc8c549ec65c85bb98" PartId="1d51b9fac74b45d2866c17b1b95aadfe"/>
      <Part Type="punktas" Nr="3.10" Abbr="3.10 p." DocPartId="37ed091fb4c5419f88c9d698196852bf" PartId="4236926cdf20470bac16c8c7b84aae08"/>
    </Part>
    <Part Type="punktas" Nr="4" Abbr="4 p." DocPartId="d2a13b06f196406088cc34712a695aff" PartId="8c79cbd4d6cc4ea99bb9f2812157b427"/>
    <Part Type="signatura" DocPartId="412205c2a3d14732b0d9b9b3ccd2719b" PartId="119eefcaf33143279c922cdc85f223e0"/>
  </Part>
  <Part Type="priedas" Nr="1" Abbr="1 pr." Title="PROFILAKTINIŲ SVEIKATOS TIKRINIMŲ RŪŠYS IR APMOKĖJIMO TVARKA" DocPartId="8069b94076a64cf2a2ad3c9fd5f1323a" PartId="3c9850e5f534484c8de336fc1a1f85a9">
    <Part Type="skyrius" Nr="1" Title="PROFILAKTINIŲ SVEIKATOS TIKRINIMŲ RŪŠYS" DocPartId="c06724759f6a444e8c2912681870cf51" PartId="58256caa98574452ae9eada2489d6dca">
      <Part Type="punktas" Nr="1" Abbr="1 pr. 1 p." DocPartId="27d2b889c1054e5da840f254cc106f06" PartId="f77d9f8e4c844d3aa3796dddc2ed25e8">
        <Part Type="punktas" Nr="1.1" Abbr="1 pr. 1.1 p." DocPartId="a639b297fed341b2b8f59b6506df3be8" PartId="f76e00e4df9b4a45a6bc48ee574d7c43"/>
        <Part Type="punktas" Nr="1.2" Abbr="1 pr. 1.2 p." DocPartId="194374ee035449c19f4b2770f864507f" PartId="682b3a33a62a41e7970732757e845b61"/>
        <Part Type="punktas" Nr="1.3" Abbr="1 pr. 1.3 p." DocPartId="6dc7daec4e67498cbd5faacddb37985a" PartId="574158a02cd54146b636cfb95c2aa311"/>
        <Part Type="punktas" Nr="1.4" Abbr="1 pr. 1.4 p." DocPartId="5624111ee41e4ccf938cc2d6838e493a" PartId="fbbd8393067d4e65b04e948c816bd9b7"/>
        <Part Type="punktas" Nr="1.5" Abbr="1 pr. 1.5 p." DocPartId="1888b667bb024d8f963071d23b4d9ddc" PartId="c87117f876384bf4b52f51ae1ef48fb4"/>
        <Part Type="punktas" Nr="1.6" Abbr="1 pr. 1.6 p." DocPartId="d278ff27922f4a24a09a1096edb231d3" PartId="800e4bfb391247409d6528006a7d7007"/>
        <Part Type="punktas" Nr="1.7" Abbr="1 pr. 1.7 p." DocPartId="b94251ebc1e145c1acf7f293da29850b" PartId="63aa5a0e6f9748efb0dfca04184b46dc"/>
        <Part Type="punktas" Nr="1.8" Abbr="1 pr. 1.8 p." DocPartId="412442fe5be54d2fae5b7fa56b6cd1aa" PartId="99763f4e1b2c494e96ae42a3f382b710"/>
        <Part Type="punktas" Nr="1.9" Abbr="1 pr. 1.9 p." DocPartId="214ff466f12a40ee823e88c6af5caaa9" PartId="79776b24751a44c794c70a91470eb9e1"/>
        <Part Type="punktas" Nr="1.10" Abbr="1 pr. 1.10 p." DocPartId="d17d2d64f72441e6806e3835181ca111" PartId="a9f7bbbbc45644d8acc2bfe01b26a242"/>
        <Part Type="punktas" Nr="1.11" Abbr="1 pr. 1.11 p." DocPartId="327c193c36134c018c0054294e33dd3a" PartId="74cd2b489515417982a9fe95637b5e2f"/>
        <Part Type="punktas" Nr="1.12" Abbr="1 pr. 1.12 p." DocPartId="29d45f6470e24193bb149f854c458d6a" PartId="bc3135c6bb29414a92a86ef0e9c34887">
          <Part Type="punktas" Nr="1.12.1" Abbr="1 pr. 1.12.1 p." DocPartId="5f8d1a5ee8fe4282ab59b49a42175e46" PartId="d5b249b3963547638b6ff9a232b60fc4"/>
          <Part Type="punktas" Nr="1.12.2" Abbr="1 pr. 1.12.2 p." DocPartId="c4cce4765fb84864b4e2ad4b337290a1" PartId="d80316c485154c629457dfc609cd4452"/>
          <Part Type="punktas" Nr="1.12.3" Abbr="1 pr. 1.12.3 p." DocPartId="4cea7b4bde35400a90a0ae0c36a6ea49" PartId="90d70fb014ff49d5ac2e778dbe167b58"/>
          <Part Type="punktas" Nr="1.12.4" Abbr="1 pr. 1.12.4 p." DocPartId="36b9398ab9404f23907a4b03181f7b29" PartId="0d1e4cc016b74c12beeced825a545ce0"/>
          <Part Type="punktas" Nr="1.12.5" Abbr="1 pr. 1.12.5 p." DocPartId="a29632967a48451abff85f87025e3448" PartId="f000a85fcb5c4df4a56060c6dae985a0"/>
          <Part Type="punktas" Nr="1.12.6" Abbr="1 pr. 1.12.6 p." DocPartId="d02829f336e44ab9bc90f54ac76bb290" PartId="796c7d8b235349e9a896c5ae2341d151"/>
        </Part>
        <Part Type="punktas" Nr="1.13" Abbr="1 pr. 1.13 p." DocPartId="f12572c44cc44bfd80c85897d879c00a" PartId="21aaa503a97e40b1bf86f9971f370a9c">
          <Part Type="punktas" Nr="1.13.1" Abbr="1 pr. 1.13.1 p." DocPartId="9386c09299404ee785fd50c51f4d61d7" PartId="fcac63615b3346b898c32020472318bc"/>
          <Part Type="punktas" Nr="1.13.2" Abbr="1 pr. 1.13.2 p." DocPartId="6896b45ded7341279549e8cf949a8f49" PartId="8eb6fa25fc39415896db9c48e1f9d629"/>
          <Part Type="punktas" Nr="1.13.3" Abbr="1 pr. 1.13.3 p." DocPartId="edd66172f0584f1a99e8baf491389c9b" PartId="41bf8167eb4f490094a1a5ec5a884d51"/>
          <Part Type="papunktis" Nr="1.13.4" Abbr="1.13.4 pp." DocPartId="4621291cd61847daa6b1ff0b24d848bd" PartId="61f4a437cc6d4651887e180ab4136172"/>
        </Part>
        <Part Type="punktas" Nr="1.14" Abbr="1 pr. 1.14 p." DocPartId="785aff93690e445b95838e97cddbdc07" PartId="07e8ee926c814645863b769717a19734"/>
      </Part>
    </Part>
    <Part Type="skyrius" Nr="2" Title="PROFILAKTINIŲ SVEIKATOS TIKRINIMŲ APMOKĖJIMO TVARKA" DocPartId="88d6b5101a294038810baec28ff26ba2" PartId="a5c38340b80e4e2dab7fc6276dab8f95">
      <Part Type="punktas" Nr="2" Abbr="1 pr. 2 p." DocPartId="2512782c88b741c6977840b5dc0bf662" PartId="a4a2ccc73d334771a68f6e7ac9afd583"/>
      <Part Type="punktas" Nr="3" Abbr="1 pr. 3 p." DocPartId="d545cd56a22b4856bc9a01e2c31e14b3" PartId="d2065fb0008c4d8b9ec327d548a265ec"/>
      <Part Type="punktas" Nr="4" Abbr="1 pr. 4 p." DocPartId="64f501520d1642329f131292b370e4dd" PartId="2b731c66709e4c328681cbff896cfffa"/>
      <Part Type="punktas" Nr="5" Abbr="1 pr. 5 p." DocPartId="3fbb9059b825452f9731f81233e83398" PartId="43ea2376ca7e4ff380f65cf5472c2d17">
        <Part Type="punktas" Nr="5.1" Abbr="1 pr. 5.1 p." DocPartId="2dfb95df07fa4236a0d7e9dfbcaeb17d" PartId="920f51a0aa434881be848a632dd5ff1f"/>
        <Part Type="punktas" Nr="5.2" Abbr="1 pr. 5.2 p." DocPartId="70570ac180b54eaca5b0696b2dcefd57" PartId="5517faf5e2f542ea9dbac563d67ae0d2"/>
        <Part Type="punktas" Nr="5.3" Abbr="1 pr. 5.3 p." DocPartId="3051079954284fa5a96af68222df2073" PartId="3eadeabdf5124ec986efb7665b3334c3"/>
      </Part>
      <Part Type="punktas" Nr="6" Abbr="1 pr. 6 p." DocPartId="0da83dc748334304a482fd2c33a521aa" PartId="0cd2f975c3264c48a6431b523231041b"/>
      <Part Type="punktas" Nr="7" Abbr="1 pr. 7 p." DocPartId="1988d2f7d9dc4fc798abaaf77d55418e" PartId="53b9ec944d254592a5c32db30318cbb0"/>
      <Part Type="punktas" Nr="8" Abbr="1 pr. 8 p." DocPartId="686b8c59f7b4432193fb998d6c70f522" PartId="cc5e6cc8391b443ca427ec562decb388"/>
      <Part Type="punktas" Nr="9" Abbr="1 pr. 9 p." DocPartId="99f1fd98abbf4ba38febb0c2b933c8bb" PartId="d2a8947929b54755b3620c68251855b8"/>
      <Part Type="punktas" Nr="10" Abbr="1 pr. 10 p." DocPartId="e2e23058302d4208b4b8180123c76fac" PartId="83850d30df4c4b10a06565142949c3b8"/>
    </Part>
    <Part Type="skyrius" Nr="3" Title="MEDICININĖS DOKUMENTACIJOS PILDYMAS ATLIKUS PROFILAKTINIUS SVEIKATOS TIKRINIMUS" DocPartId="94f1e88c9e9c4c27a4d045107f7a82fd" PartId="762932fea13d47da8ebe953f76e1a78b">
      <Part Type="punktas" Nr="11" Abbr="1 pr. 11 p." DocPartId="48d63787c1e743faa0605a35f4835c20" PartId="d48b677f49cd4d4690e084ab3a5536f0"/>
      <Part Type="punktas" Nr="12" Abbr="1 pr. 12 p." DocPartId="1207951e32f547c9892b10a38de58e7f" PartId="78b99775aec247998092b3d1be2912ea"/>
    </Part>
  </Part>
  <Part Type="priedas" Nr="2" Abbr="2 pr." Title="NĖŠČIŲJŲ IR MOTINŲ, IKI VAIKUI SUKAKS VIENERI METAI, SVEIKATOS TIKRINIMO TVARKA" DocPartId="e3978c9510f64444857488a978efaff8" PartId="8ae6e116f4634be680858dabb08f7081"/>
  <Part Type="priedas" Nr="3" Abbr="3 pr." Title="„VAIKŲ IR PILNAMEČIŲ MOKINIŲ, UGDOMŲ PAGAL BENDROJO UGDYMO PROGRAMAS, SVEIKATOS TIKRINIMO TVARKOS APRAŠAS“." DocPartId="957f1ca1d35843c095d59efb3391897b" PartId="a040cfa09ec74c89951ceeebba2595fe">
    <Part Type="skyrius" Nr="1" Title="BENDROSIOS NUOSTATOS" DocPartId="b1bd943a9cb3438cbcffec59d8a908c3" PartId="fb9892e1576644058c6853638be99e39">
      <Part Type="punktas" Nr="1" Abbr="3 pr. 1 p." DocPartId="f47ec5286eab443f84402d759a9f973b" PartId="e590613e73de43299d891ecef0c98105"/>
      <Part Type="punktas" Nr="2" Abbr="3 pr. 2 p." DocPartId="33a7bd1e956141f993af25ce7f0b40e4" PartId="bcc4d858d3d54ca784b9c03b4d23281a">
        <Part Type="papunktis" Nr="2.1" Abbr="3 pr. 2.1 pp." DocPartId="eab2994014de49c3bb19c397fcac4bed" PartId="96ab6c074341447e9232b3dd63b28cb6"/>
        <Part Type="papunktis" Nr="2.2" Abbr="3 pr. 2.2 pp." DocPartId="0beb4dc9bdbb4fae97a4653dec10e237" PartId="62d838a4d7fd4db58bec03c53a8fa33a"/>
        <Part Type="papunktis" Nr="2.3" Abbr="3 pr. 2.3 pp." DocPartId="0b679d1a03f846eb9a57edf1ae4c6d59" PartId="8aa77f118ab249ad85e9bf4b723c954f"/>
        <Part Type="papunktis" Nr="2.4" Abbr="3 pr. 2.4 pp." DocPartId="31d58b3741d64e2a8279e476c8d4c461" PartId="cd388879d08c48f3bb3c5a4bb5475a57"/>
        <Part Type="papunktis" Nr="2.5" Abbr="3 pr. 2.5 pp." DocPartId="e4fa48eca3ce4eafba2b86d8d9c1c333" PartId="8bf0c62b7fdb4da88d61293a845bd271"/>
      </Part>
      <Part Type="punktas" Nr="3" Abbr="3 pr. 3 p." DocPartId="7965bf687e2b4325b5b9e90a52d86eee" PartId="df2ce585f04e4a6f8a69076c298ca8ae"/>
      <Part Type="punktas" Nr="4" Abbr="3 pr. 4 p." DocPartId="031fdee77b464e4480325b643f0ebb6f" PartId="7767116a6d7b474bb402dd02a0a65f23"/>
      <Part Type="punktas" Nr="5" Abbr="3 pr. 5 p." DocPartId="f3fa9def604b4067bc8299f983298f97" PartId="3d3645cb4b694f6d91dc1f0ead9a6363"/>
      <Part Type="punktas" Nr="6" Abbr="3 pr. 6 p." DocPartId="a29a76e1d0b749a6b0405e1e09c8d3a3" PartId="5538dd5c1be44eb393b0a441d008c534"/>
      <Part Type="punktas" Nr="7" Abbr="3 pr. 7 p." DocPartId="f870ea9c504548d18718fc91a1123db2" PartId="5c4cbf7f3d07488aa9be70f64d1e484f"/>
    </Part>
    <Part Type="skyrius" Nr="2" Title="„II SKYRIUS PROFILAKTINIO VAIKŲ IR PILNAMEČIŲ MOKINIŲ SVEIKATOS TIKRINIMO REIKALAVIMAI IR TVARKA“." DocPartId="39ef3160c86f43a9b5140602e0089922" PartId="97c9cc681b0b45a7acdd644c2ea8af2b">
      <Part Type="punktas" Nr="8" Abbr="3 pr. 8 p." DocPartId="748a56fcbb6d45359c1e487dd69d3244" PartId="80c2a14edf654891af57d9a15daf0c88"/>
      <Part Type="punktas" Nr="9" Abbr="3 pr. 9 p." DocPartId="de132bb86ceb494dba6ab660b48e0097" PartId="61e76c17f0fa4160a857bb8698e7eada"/>
      <Part Type="punktas" Nr="10" Abbr="3 pr. 10 p." DocPartId="e2252becd2cc4e18b369085c7dc7c93a" PartId="82ef7a84079c42aba69df3fff8caa0ff"/>
      <Part Type="punktas" Nr="11" Abbr="3 pr. 11 p." DocPartId="66ce31341f334ad289ec35a45b82a7ce" PartId="78afa658c5ae46fcb2aff0d334850b90"/>
      <Part Type="punktas" Nr="12" Abbr="3 pr. 12 p." DocPartId="bbc759109d7449e18efb7fbf89762723" PartId="ac4b335ebf334e7f830d129ce14a4153"/>
      <Part Type="punktas" Nr="13" Abbr="3 pr. 13 p." DocPartId="0ed9939918314609bb405e4c20dfb5b4" PartId="81a3b019ba60423d9c4df432dbebe34b">
        <Part Type="papunktis" Nr="13.1" Abbr="13.1 pp." DocPartId="9815c1f976a04baa85f0dfecf180a762" PartId="19a76c172fa24a5ca7fa7adf8f4781b3"/>
        <Part Type="papunktis" Nr="13.2" Abbr="13.2 pp." DocPartId="d287b8d551ed469690ee34be0d5aee69" PartId="7d21c345854143d1a9f6a8c2364ed73f"/>
      </Part>
    </Part>
    <Part Type="skyrius" Nr="3" Title="VAIKŲ PSICHOMOTORINĖS RAIDOS TIKRINIMO REIKALAVIMAI IR TVARKA" DocPartId="8350a41edf1c4aa9a0820ea9454a63fa" PartId="e2e676d223e4422baa4bb3f46ee397b7">
      <Part Type="punktas" Nr="14" Abbr="3 pr. 14 p." DocPartId="f0ab174e5c2146469a22d36bbfab35e6" PartId="fb8acae386dc4c108fa353ac4282edf5"/>
      <Part Type="punktas" Nr="15" Abbr="3 pr. 15 p." DocPartId="d1c731b4522c4286a9e13804e7add0e9" PartId="fbb4c090c4074381bb572415f57b9603"/>
      <Part Type="punktas" Nr="16" Abbr="3 pr. 16 p." DocPartId="863d65b4f795447893fcdc050b4f8cf4" PartId="acf7f5be067049e3938e6b56b4b51fc3"/>
      <Part Type="punktas" Nr="17" Abbr="3 pr. 17 p." DocPartId="4de223b0d02c4d7ea8def666464caf92" PartId="aee314df27454a0895ea5c441fdd42b0"/>
      <Part Type="punktas" Nr="18" Abbr="3 pr. 18 p." DocPartId="9739d32696424b0fa6ee9fef6583fae5" PartId="e83a7a7011d14455aeb332e8c655a75e"/>
      <Part Type="punktas" Nr="19" Abbr="3 pr. 19 p." DocPartId="eae32f224aef4bc58150c3e70092886e" PartId="24227c835eb64439ba73fa26c66dce87"/>
      <Part Type="punktas" Nr="20" Abbr="3 pr. 20 p." DocPartId="a858b695ea6547a3b6711c506d5eb486" PartId="d00eb34842824508a3c8349003bf643e">
        <Part Type="papunktis" Nr="20.1" Abbr="3 pr. 20.1 pp." DocPartId="97e3d70248ae4a8bae7e40f4f29b3a4a" PartId="0bbe62841cb24986afabed62b7aa31bf"/>
        <Part Type="papunktis" Nr="20.2" Abbr="3 pr. 20.2 pp." DocPartId="7a3ebe6ad29a4f81ad4eadd8a6f17ab2" PartId="3f4b7a3eb7e340929876954df8c659bd"/>
      </Part>
      <Part Type="punktas" Nr="21" Abbr="3 pr. 21 p." DocPartId="4dce5e598edf4a51994d2ca0713e6e49" PartId="5c2bbb922ba54f07a3dc02dc969d4c13"/>
      <Part Type="punktas" Nr="22" Abbr="3 pr. 22 p." DocPartId="1da19125c8cf4e95b731910e43e1467e" PartId="d645e1d7c8cf4fe5a5c46a5c5b285e36"/>
      <Part Type="punktas" Nr="23" Abbr="3 pr. 23 p." DocPartId="bef2a55ec34d4c219587afd67cda0b81" PartId="1f08ee79734e4b21818ca4687a3905a8"/>
      <Part Type="punktas" Nr="24" Abbr="3 pr. 24 p." DocPartId="30e4d72f510546c291964b6a930eab57" PartId="339d2d45277e47c8a59d398b8053dd3b"/>
      <Part Type="punktas" Nr="25" Abbr="3 pr. 25 p." DocPartId="103f745e2b82413f8ea8dde4f63d0dfd" PartId="b40990ce1a5c44549ca9f908d1b10599"/>
    </Part>
    <Part Type="skyrius" Nr="4" Title="BAIGIAMOSIOS NUOSTATOS" DocPartId="4726858323f544a9b7cbafeb403eac5d" PartId="4eaab3b2a8fe47f183fc0aa0f01c44e3">
      <Part Type="punktas" Nr="26" Abbr="3 pr. 26 p." DocPartId="0c7e552eeff0417b9446b8bb6243e358" PartId="a049b2d0aaf94017b371316a52daa436"/>
      <Part Type="punktas" Nr="26-1" Abbr="26-1 p." DocPartId="4fbec3e7c0a4427885c0f6fc44619dd7" PartId="3a83b56652c443d19faa6fc3a71ad132"/>
      <Part Type="punktas" Nr="27" Abbr="3 pr. 27 p." DocPartId="194eeefd93fb41cfae08eacb28b1763b" PartId="8d2b7b70ce7c406ea672890a3bf6084a"/>
      <Part Type="punktas" Nr="28" Abbr="3 pr. 28 p." DocPartId="63d2abdaaaf2445aa96a8c379b2c2efe" PartId="7e98687be84a48ca85ac6bacae23fceb"/>
      <Part Type="punktas" Nr="29" Abbr="3 pr. 29 p." DocPartId="37097c65c0b940e39b6a8fb07d4cdca6" PartId="8555f97a3262479ba5fb4e463a613e5d"/>
      <Part Type="punktas" Nr="29-1" Abbr="29-1 p." DocPartId="03c91cb296fc48319543d83ce24eaa13" PartId="0351775175ec4b8b867f6171dceea24d">
        <Part Type="papunktis" Nr="29-1.1" Abbr="29-1.1 pp." DocPartId="3681ec2d956a4b1d989e7b29280b8dcb" PartId="0ba28f4b4291473a96ab136c685fb4ae"/>
        <Part Type="papunktis" Nr="29-1.2" Abbr="29-1.2 pp." DocPartId="dcd6e34307e64f568d512cedf4420ba3" PartId="e1965469061a46bfa9f804aac3de40fe"/>
      </Part>
      <Part Type="punktas" Nr="30" Abbr="3 pr. 30 p." DocPartId="0804394be4c641a3947b3e529b317296" PartId="fbfc8fe1fcff4eda8a8b2a87b2d3d1e5"/>
    </Part>
  </Part>
  <Part Type="priedas" Nr="1" Abbr="1 pr." Title="PROFILAKTINIO VAIKŲ SVEIKATOS TIKRINIMO REIKALAVIMAI" DocPartId="ac2b2da24049474eae9a2f50226f9ad7" PartId="27eccb910eff4be889ea0897587a0989"/>
  <Part Type="priedas" Nr="2" Abbr="2 pr." Title="VAIKO PSICHOMOTORINĖS RAIDOS TIKRINIMO LAPAS (KŪDIKIS)" DocPartId="c8665e5b69ff4dceac89b89c0be3ac6c" PartId="e5847b622753471f994024c27831818b"/>
  <Part Type="priedas" Nr="4" Abbr="4 pr." Title="„STOJANČIŲJŲ Į PROFESINIO MOKYMO MOKYKLAS IR ĮDARBINAMŲ NEPILNAMEČIŲ SVEIKATOS TIKRINIMO TVARKOS APRAŠAS“." DocPartId="3a105ca9c70b4444b9ae7e1b1766f932" PartId="9dd6301670f1424082903cee609faec3">
    <Part Type="skyrius" Nr="1" Title="BENDROSIOS NUOSTATOS" DocPartId="ce24f18b70804f06a052d6f1a4348185" PartId="7bbbbb9b928243cdaef0b6bc70da0358">
      <Part Type="punktas" Nr="1" Abbr="1 p." DocPartId="2938bc288b6d42f0845c7d9e660cea0c" PartId="3dc3b22267674cfdabd4eb5126523b79"/>
      <Part Type="punktas" Nr="2" Abbr="2 p." DocPartId="bac11cd755b04026b0f21986d8097ae5" PartId="5d0de4f0c412460d96c8d993acd2f0bf"/>
      <Part Type="punktas" Nr="3" Abbr="3 p." DocPartId="78fb054df1124ba8be32471cca10fcfb" PartId="2093572b6eaf45d5a45d8299e3a8fdfa"/>
      <Part Type="punktas" Nr="4" Abbr="4 p." DocPartId="a0af638ed6294565b387822a07ec7466" PartId="157818eb43a5401582261d71fa69f20d"/>
      <Part Type="punktas" Nr="5" Abbr="5 p." DocPartId="ccd0ba630a944d64b91650be41bf7d0e" PartId="77a8b7da09c54d869ed2510cbf1dd449"/>
      <Part Type="punktas" Nr="6" Abbr="6 p." DocPartId="b6fcd23662604887987d65948c0c2e36" PartId="6b0eea20564f4ffbb13581593671db0f"/>
      <Part Type="punktas" Nr="7" Abbr="7 p." DocPartId="2780edcc10154c04a922b196b5828e29" PartId="bc7551bfe0014af991843d6c653d97e4"/>
    </Part>
    <Part Type="skyrius" Nr="2" Title="LIGOS, KURIOMIS SERGANTYS ASMENYS NEGALI STOTI Į PROFESINIO MOKYMO MOKYKLAS" DocPartId="9ce0c8b906eb4ec1a04ff6f5003c44e1" PartId="7719db6c1aa6473b901bd2298e572fa9">
      <Part Type="punktas" Nr="8" Abbr="8 p." DocPartId="5dbfedfbeccd403b93ef0c4cb37bdc39" PartId="abaf0069944149838419f057317fd2ef">
        <Part Type="papunktis" Nr="8.1" Abbr="8.1 pp." DocPartId="7ec1ebe68e264af5a65effa480d49938" PartId="322b30e2efde400fa306e703cf753489"/>
        <Part Type="papunktis" Nr="8.2" Abbr="8.2 pp." DocPartId="ef23eda07d73422da2ddef0bfe0851c8" PartId="263d9e88b2874b55a22b2ad19db88f81"/>
      </Part>
    </Part>
    <Part Type="skyrius" Nr="3" Title="„III SKYRIUS LIGOS IR SVEIKATOS BŪKLĖS, DĖL KURIŲ RIBOJAMA TEISĖ MOKYTIS PROFESINIO MOKYMO MOKYKLOSE PAGAL ATSKIRAS PROGRAMAS“." DocPartId="d3bc68c8ae9a4f2597708901ff46b688" PartId="c623678d7b9644fd802a20aa0b22890d"/>
  </Part>
  <Part Type="priedas" Nr="5" Abbr="5 pr." Title="SPORTUOJANČIŲ ASMENŲ SVEIKATOS TIKRINIMO TVARKA" DocPartId="3b93a4a7c03a4764a64ea604bb862448" PartId="814e101390974299ae56e37741caef75">
    <Part Type="skyrius" Nr="1" Title="BENROSIOS NUOSTATOS" DocPartId="922fa4e384a243f19143c5303bff3bb6" PartId="334ec0ffc57247ab9dfa1d4d42ed1311">
      <Part Type="punktas" Nr="1.1" Abbr="5 pr. 1.1 p." DocPartId="5ee4bfe2d3e447d399d8861aa7f69236" PartId="6a9c3005e75c4ccc81f8f5eacfca76cb"/>
      <Part Type="punktas" Nr="1.2" Abbr="5 pr. 1.2 p." DocPartId="57ea7d1d982842c5b8872dd84a581a2f" PartId="cb391d7ee2d84a5190a9ba857d3620f0">
        <Part Type="punktas" Nr="1.2.1" Abbr="5 pr. 1.2.1 p." DocPartId="81743687013d4192972187f58349f3f6" PartId="c027bd23fe8b4a2d803c53924c38c16b"/>
        <Part Type="punktas" Nr="1.2.2" Abbr="5 pr. 1.2.2 p." DocPartId="ee43de2422d8439a82c7f5be69de6fd2" PartId="8cd7689ca6c54aec813cb970fd88d804"/>
        <Part Type="punktas" Nr="1.2.3" Abbr="5 pr. 1.2.3 p." DocPartId="2fe39e0e87e5423f8d968872313ab62b" PartId="5ee490924fb34673b0f4bda2bfc66940"/>
        <Part Type="punktas" Nr="1.2.4" Abbr="5 pr. 1.2.4 p." DocPartId="40a5a52c66f9470b901867ff6775c9ce" PartId="801cade7899849fa9fa2a34696325879"/>
      </Part>
      <Part Type="punktas" Nr="1.3" Abbr="5 pr. 1.3 p." DocPartId="3b7d82e4a27a4985b7c38a8d9704c0dc" PartId="5295d6c8c88c45b6bf644d70122a1856">
        <Part Type="punktas" Nr="1.3.1" Abbr="5 pr. 1.3.1 p." DocPartId="1ba82e553da04e41b304fa31e540311c" PartId="01a5f330ce4849c680df9b673a2c898e"/>
        <Part Type="punktas" Nr="1.3.2" Abbr="5 pr. 1.3.2 p." DocPartId="e67823c9aba741148f71c762eceda838" PartId="82cf3d0588014e788542ec17288b1e4d"/>
        <Part Type="punktas" Nr="1.3.3" Abbr="5 pr. 1.3.3 p." DocPartId="29acca84b3c54a4eaf3e40177c605983" PartId="80e829756878485cb6bea1ac13538c98"/>
        <Part Type="punktas" Nr="1.3.4" Abbr="5 pr. 1.3.4 p." DocPartId="b546d9f8f982408bb962d6a35dfae27c" PartId="956e7a0a09e94fcda970c7954ab8fcb1"/>
        <Part Type="punktas" Nr="1.3.5" Abbr="5 pr. 1.3.5 p." DocPartId="e0b4a9ff26fd4aefbf7bd09e388d529d" PartId="11bed6c7bdac4230a847f60ebbd576a5"/>
      </Part>
      <Part Type="punktas" Nr="1.4" Abbr="5 pr. 1.4 p." DocPartId="f38a1213f93f4c41819a7ed1c5073750" PartId="d5d464c9996a463080aefee8bd2ff0f0">
        <Part Type="punktas" Nr="1.4.1" Abbr="5 pr. 1.4.1 p." DocPartId="125358f22b6e48639ec904616fa92290" PartId="85b65c2e24394014a943166da63498d0"/>
        <Part Type="punktas" Nr="1.4.2" Abbr="5 pr. 1.4.2 p." DocPartId="741603413a4a4dd794e7733eeaad8b09" PartId="a4c36ebe457d4193a36874ea109a7eea"/>
        <Part Type="punktas" Nr="1.4.3" Abbr="5 pr. 1.4.3 p." DocPartId="55656592a9f54dc797328f9de3e1d773" PartId="1420c54d1f0a41c8a51cb68f58834585"/>
      </Part>
      <Part Type="punktas" Nr="1.5" Abbr="5 pr. 1.5 p." DocPartId="ac2562cfd7f04c2b86d4204434732dae" PartId="a57e46f2427f4fcdb9d3176308bbb82f"/>
      <Part Type="punktas" Nr="1.6" Abbr="5 pr. 1.6 p." DocPartId="16dacb9ffc524bfa88a9ee9679fc9352" PartId="ad146f783f8345b485e7c1d444653554"/>
      <Part Type="punktas" Nr="1.7" Abbr="5 pr. 1.7 p." DocPartId="406e9e6d2d1b48b1a3a53f99291416cd" PartId="41f80241da66462982c0f03493f67182"/>
      <Part Type="punktas" Nr="1.8" Abbr="5 pr. 1.8 p." DocPartId="ec495fde90e94ac9b23ab89c654c73e3" PartId="57c6a1c4b5b840bcaf27cc6a60096781"/>
    </Part>
    <Part Type="skyrius" Nr="2" Title="LIGŲ IR PATOLOGINIŲ BŪSENŲ SĄRAŠAS, KURIOMS ESANT RIBOJAMAS FIZINIS KRŪVIS ARBA NEREKOMENDUOJAMA SPORTUOTI" DocPartId="576c1246993b4c45a0f0b5593eb6f280" PartId="445c60dff25a43aa86b618e36ec8bf04"/>
    <Part Type="skyrius" Nr="3" Title="SPORTUOJANČIŲ ASMENŲ SVEIKATOS IŠTYRIMO PERIODIŠKUMAS IR PASLAUGŲ MASTAS" DocPartId="b083a302e1234217b7b051cf71935efc" PartId="c1a1094e2b3840b590b89d810116cc44"/>
    <Part Type="skyrius" Nr="4" Title="DETALUS SPORTO MEDICINOS CENTRUOSE TEIKIAMŲ ASMENS SVEIKATOS PRIEŽIŪROS PASLAUGŲ SĄRAŠAS" DocPartId="f35f48a62c4e44fcb6d2ef4eb260ebeb" PartId="db8ba70d495a479c947d7f86ea83ac4a"/>
    <Part Type="skyrius" Nr="5" Title="MEDICINOS PAGALBOS TEIKIMAS SPORTO RENGINIŲ, ĮSKAITANT MOKOMĄSIAS TRENIRUOČIŲ STOVYKLAS, METU" DocPartId="916fcbcfc5ab487dbe92b2977866492e" PartId="78a2bf2665504a518a455938e84666a1">
      <Part Type="punktas" Nr="5.1" Abbr="5 pr. 5.1 p." DocPartId="afcecfc4727c4a55a878a1d3b8e088d9" PartId="bf0d5e6c4f6a4363af456d4f81d86b4d"/>
      <Part Type="punktas" Nr="5.2" Abbr="5 pr. 5.2 p." DocPartId="ca996ee060b14908b2b0d481a27eb63a" PartId="5038a3c6d1324dc7af592ffe02ad3a2a"/>
      <Part Type="punktas" Nr="5.3" Abbr="5 pr. 5.3 p." DocPartId="b650785e1a034e9eb5167a1a5cc6d89a" PartId="82778d9321414b7b8c139401a29ac851"/>
      <Part Type="punktas" Nr="5.4" Abbr="5 pr. 5.4 p." DocPartId="ed5f9f6aa4c8427b912b1b5af36379e3" PartId="97ed670279e74658b3e33b43196d66eb">
        <Part Type="punktas" Nr="5.4.1" Abbr="5 pr. 5.4.1 p." DocPartId="389e8ab7f7d04abfb964e7021d8dbd64" PartId="6db25add32c34f10b31122ccaada9c2b"/>
        <Part Type="punktas" Nr="5.4.2" Abbr="5 pr. 5.4.2 p." DocPartId="6b6b0c7d87134a5898517d6aece8384c" PartId="ba237b23359e405daacaff5284969a84"/>
        <Part Type="punktas" Nr="5.4.3" Abbr="5 pr. 5.4.3 p." DocPartId="9587f9f39715463f84ddded1aa8dbe25" PartId="4dd4f03fa2ae41b0bd787d4a39cb2bb8"/>
        <Part Type="punktas" Nr="5.4.4" Abbr="5 pr. 5.4.4 p." DocPartId="f7abc9e4fa07420ab1fba607577c63d1" PartId="d34997ee9ba84163a66c291a83859638"/>
        <Part Type="punktas" Nr="5.4.5" Abbr="5 pr. 5.4.5 p." DocPartId="6b54d374b3474d43b4c5037df576f3cb" PartId="2d9c57ea409d437da2cf3cbba20f94ac"/>
        <Part Type="punktas" Nr="5.4.6" Abbr="5 pr. 5.4.6 p." DocPartId="f9d0a9a8a1064e038497f3e66154306f" PartId="6f7e9fec47894b8ab9de696b5775c474"/>
      </Part>
      <Part Type="punktas" Nr="5.5" Abbr="5 pr. 5.5 p." DocPartId="1421cbc96b5f4f4da790a00cf65542fa" PartId="a26e03a627c64256a577a53e23f21174">
        <Part Type="punktas" Nr="5.5.1" Abbr="5 pr. 5.5.1 p." DocPartId="861fc95fda5949afb32d847007a7baea" PartId="c8ceef2e9d824545987237f6fb9c383c"/>
        <Part Type="punktas" Nr="5.5.2" Abbr="5 pr. 5.5.2 p." DocPartId="a97ded22246f401ba04d6006a0fbff1f" PartId="52c3120509e442f592886b224b1ba340"/>
        <Part Type="punktas" Nr="5.5.3" Abbr="5 pr. 5.5.3 p." DocPartId="6d6b2ef851384ba5bb6e2a7752e5cc2f" PartId="9884f1278be24316b77bbd965e2a5f6e"/>
        <Part Type="punktas" Nr="5.5.4" Abbr="5 pr. 5.5.4 p." DocPartId="385739239e644237917d6fa92ea83c11" PartId="9d052d96171a4523b90cc461ef3a4dec"/>
        <Part Type="punktas" Nr="5.5.5" Abbr="5 pr. 5.5.5 p." DocPartId="4e916dc17cf94ba7b053349094a99844" PartId="8a1300d68761443f80d06a4c1fb3e792"/>
      </Part>
      <Part Type="punktas" Nr="5.6" Abbr="5 pr. 5.6 p." DocPartId="ada97b570948426eb3d23ad143f278d9" PartId="b5063ee6b72b4417bd24978488055897"/>
      <Part Type="punktas" Nr="5.7" Abbr="5 pr. 5.7 p." DocPartId="e513bf2f819949e589166d1c2d2302fd" PartId="3c05797def444c6b9ff5a10dd0e19950"/>
      <Part Type="punktas" Nr="5.8" Abbr="5 pr. 5.8 p." DocPartId="c3176378c35f4bdf94a0c8d37e1ba8ed" PartId="395f82fcf2e549cfb0604d0044543a7f"/>
      <Part Type="punktas" Nr="5.9" Abbr="5 pr. 5.9 p." DocPartId="4d6b2569eb0347e08bfae29624134292" PartId="d649c601636c451bad0f44e208fc1ec7">
        <Part Type="punktas" Nr="5.9.1" Abbr="5 pr. 5.9.1 p." DocPartId="b38b43fb256f433785a19df9eb0dab6c" PartId="33fcec917a034b4a8adf80c0aba9328e"/>
        <Part Type="punktas" Nr="5.9.2" Abbr="5 pr. 5.9.2 p." DocPartId="bd2c127348664db5a6834c22b8b70262" PartId="916854d8e0fb421d997646c3e063e560"/>
        <Part Type="punktas" Nr="5.9.3" Abbr="5 pr. 5.9.3 p." DocPartId="d567f7361bd349728e28032a86e873a0" PartId="49d26e4cf43a4c7492580fa09e97ba8a"/>
        <Part Type="punktas" Nr="5.9.4" Abbr="5 pr. 5.9.4 p." DocPartId="ebd1a7eedbfa4c9bb195f436d5d006fc" PartId="663374bfc32a49f6883e1cb55afbecc7"/>
      </Part>
      <Part Type="punktas" Nr="5.10" Abbr="5 pr. 5.10 p." DocPartId="7d9ef6783f1c46acaf14b9bf7b00c53d" PartId="e3ffaf5ce6fa4074b7128b25da425da1"/>
      <Part Type="punktas" Nr="5.11" Abbr="5 pr. 5.11 p." DocPartId="3bbaf542b25f44cba09a04b2724a0117" PartId="de10a88f08674aff90545f28d0ef20fc"/>
      <Part Type="punktas" Nr="5.12" Abbr="5 pr. 5.12 p." DocPartId="2025aa6491de452697ed9b4e3a9e42e5" PartId="641de453e23e47a78b33cf8d3e5ae9df"/>
    </Part>
    <Part Type="pabaiga" DocPartId="ec17d146415745b0a6ef10b347eab4dd" PartId="ca9e1f2e6aef4f108650d0708e1a4791"/>
  </Part>
  <Part Type="priedas" Abbr="pr." Title="NEINFEKCINIŲ LIGŲ PROFILAKTIKOS IR KONTROLĖS TVARKA" DocPartId="a9ee91f55eda4207951c1586c9c07d67" PartId="e8a2e8c2ee184b4ca735be8a810442a7">
    <Part Type="punktas" Nr="1" Abbr="pr. 1 p." DocPartId="53974db39f004f82a5d7f88d0238f7e7" PartId="f4fd4f1b74e5432ea05fd0b05d5a3334"/>
    <Part Type="punktas" Nr="2" Abbr="pr. 2 p." DocPartId="86bcc02477284e87a25bf4e81ac9e496" PartId="c3dd475fe76c46b99769af8cd74957a1"/>
    <Part Type="punktas" Nr="3" Abbr="pr. 3 p." DocPartId="d4e97572f0094ac7a4a3d411618f6987" PartId="351e11271719482896ddc0794d9f87ea"/>
    <Part Type="punktas" Nr="4" Abbr="pr. 4 p." DocPartId="123bae6b4a2c4424838aeaaae33b1dd0" PartId="c8a10659270a444b95f50a9838e92a5b"/>
    <Part Type="punktas" Nr="5" Abbr="pr. 5 p." DocPartId="88e01d6cbc244ff4b108810a0d5f5ff7" PartId="1a3bb14f36c047f4a86f5eabda2870bf"/>
  </Part>
  <Part Type="priedas" Nr="7" Abbr="7 pr." Title="VAIRUOTOJŲ SVEIKATOS TIKRINIMO REIKALAVIMŲ IR TVARKOS APRAŠAS" DocPartId="2b2a2484d1814949a3b63be4a4fcb94a" PartId="4478c5b5bd2e41a5b907ff5600aa242d">
    <Part Type="skyrius" Nr="1" Title="BENDROSIOS NUOSTATOS" DocPartId="e2149f99f8fd40a6bb09634823f0b917" PartId="88359cb0a5bb43a18b4597425a46f9c3">
      <Part Type="punktas" Nr="1" Abbr="7 pr. 1 p." DocPartId="13e0778fd97b4ede8264883ec24194c3" PartId="72cfb17836a048808178a0b7b325bd54"/>
      <Part Type="punktas" Nr="2" Abbr="7 pr. 2 p." DocPartId="d28c597485284c7ca4b195c1055308ef" PartId="016bca409eb34383a43341de503f0cfe">
        <Part Type="punktas" Nr="2.1" Abbr="7 pr. 2.1 p." DocPartId="665a36997f7f426d9f5d6936a8b3ace7" PartId="2f9572f96cab4c2c811910b3419e54c5"/>
        <Part Type="punktas" Nr="2.2" Abbr="7 pr. 2.2 p." DocPartId="8b8e8da218ee4a5e8a8a55908b143a81" PartId="35d9226dd33c41bea3ad9ad6965c0739">
          <Part Type="punktas" Nr="2.2.1" Abbr="7 pr. 2.2.1 p." DocPartId="f41151e1b326402b9c8790e7b0f711a1" PartId="db0606159d2b43e186f6fc7f18c5aa54"/>
          <Part Type="punktas" Nr="2.2.2" Abbr="7 pr. 2.2.2 p." DocPartId="aeda26465fca4a7a95a205c3dd44407a" PartId="c87cc59b158843fb91aac81b118b160a"/>
        </Part>
      </Part>
      <Part Type="punktas" Nr="3" Abbr="7 pr. 3 p." DocPartId="bdeff937906441fb9dc2c55e32322682" PartId="698a931cc1f24638bc9fb6a5f3e0c0b2"/>
      <Part Type="punktas" Nr="4" Abbr="7 pr. 4 p." DocPartId="011306d39fe045539ae04138be79a95c" PartId="a6fb048b03e14a64ab0323fde91ed2cd"/>
      <Part Type="punktas" Nr="5" Abbr="7 pr. 5 p." DocPartId="fed6036ed4104a6086a63aeec7caf4af" PartId="3da51edbbb5747ab99447069970b2d51"/>
    </Part>
    <Part Type="skyrius" Nr="2" Title="SVEIKATOS TIKRINIMO REIKALAVIMAI IR TVARKA" DocPartId="559203bdf7fe4389a923e0ec28753f03" PartId="c2d8a0d16550498da09ed6a216621212">
      <Part Type="punktas" Nr="6" Abbr="7 pr. 6 p." DocPartId="fa5b16fe79fc409b9323bafcebc72a6a" PartId="c1f506df291e4803a77c3cf708cbd681"/>
      <Part Type="punktas" Nr="7" Abbr="7 pr. 7 p." DocPartId="964934648895415d850771ff6af3136f" PartId="f38e7c27065a4c7384024f370ebc8183"/>
      <Part Type="punktas" Nr="8" Abbr="7 pr. 8 p." DocPartId="bd83f88283c844d98c259040d9ee95c0" PartId="57dfaae7e9784acf91b510d6f97e41bf"/>
      <Part Type="punktas" Nr="9" Abbr="7 pr. 9 p." DocPartId="11633c6a184041a5ade01e1379ed2bfb" PartId="6ec65ebd19bd4e34ac7bb2e0042864b0"/>
      <Part Type="punktas" Nr="10" Abbr="7 pr. 10 p." DocPartId="e1339ea1b678480aaaada0b4dd0c98c4" PartId="e7f3af6fa3f24c4188c547309a2a9784">
        <Part Type="punktas" Nr="10.1" Abbr="7 pr. 10.1 p." DocPartId="d03dc4f7e80f44c5925eecb04012dd3c" PartId="8bb7fb173d214265ac24b4815644c948"/>
        <Part Type="punktas" Nr="10.2" Abbr="7 pr. 10.2 p." DocPartId="57b3ec0040d644c9a9a5fe3ef44c5f32" PartId="5bd25a06bc694c2d902c2753342070b7"/>
        <Part Type="punktas" Nr="10.3" Abbr="10.3 p." DocPartId="22517bb235864e75a887f7858da503da" PartId="1a04e91de0784c36a5a6516fe48a0639"/>
      </Part>
      <Part Type="punktas" Nr="10-1" Abbr="10-1 p." DocPartId="df65b6607aa6420ba460bfa26248343b" PartId="e34205f654ab48348d7793eedf67c273"/>
      <Part Type="punktas" Nr="11" Abbr="7 pr. 11 p." DocPartId="abd619140fae4bca917ea5feb8304267" PartId="388d3c90356a4152a5eca1cccf2c6546"/>
      <Part Type="punktas" Nr="12" Abbr="7 pr. 12 p." DocPartId="3176913347f641f0909870d415a81c0b" PartId="2405ca7a333647d299e25600c54e501a">
        <Part Type="punktas" Nr="12.1" Abbr="7 pr. 12.1 p." DocPartId="b2acbef069644a44ba1a0e4c32e8e056" PartId="1ba517bf78054483870e349dbb126eea"/>
        <Part Type="punktas" Nr="12.2" Abbr="7 pr. 12.2 p." DocPartId="e39660b317604ea9bd2a5993be424bfc" PartId="210c10e780aa4da1b659db7c42ab2573"/>
        <Part Type="punktas" Nr="12.3" Abbr="7 pr. 12.3 p." DocPartId="521ef86de247419b93dc7d512e534bcc" PartId="fb4360f8aae7459e92473f9f11fe7b5d"/>
      </Part>
      <Part Type="punktas" Nr="13" Abbr="7 pr. 13 p." DocPartId="8c993bee945f42d6b6d3e5efa34befff" PartId="931cae19013d43a1867c589a3f30983e"/>
      <Part Type="punktas" Nr="14" Abbr="7 pr. 14 p." DocPartId="4336a1e98602496d88477bfea7d74c4c" PartId="7de7cb5508eb4487b95e24594c81804a"/>
      <Part Type="punktas" Nr="15" Abbr="7 pr. 15 p." DocPartId="1905e601881c4bcf9b6c20c18707be11" PartId="6843f5f8edff4ab88098bdab43be4992"/>
      <Part Type="punktas" Nr="16" Abbr="7 pr. 16 p." DocPartId="0eda108eebdb408a838c92edfdc7fd1a" PartId="ae8e397c11da4debaa4394c81e5ab18a"/>
      <Part Type="punktas" Nr="17" Abbr="7 pr. 17 p." DocPartId="6161ed7a18d64a46a631cf9cba28a27b" PartId="8317bcfafaf44d5e81e9d994ae51a8a9"/>
      <Part Type="punktas" Nr="18" Abbr="7 pr. 18 p." DocPartId="3231dce1bd50489c97ecdac380ba1ae9" PartId="03ae22862c834a69aeaa7b497a34a473"/>
      <Part Type="punktas" Nr="19" Abbr="7 pr. 19 p." DocPartId="9ca913e854f64095b73a2c6b9397a787" PartId="1049cf0e12b7412f93ffa4f390c93f7a"/>
      <Part Type="punktas" Nr="20" Abbr="7 pr. 20 p." DocPartId="1afe0a07390648249e62eef37201a0f7" PartId="20ff8c034f334f6cbcc1e1ec243992b1"/>
      <Part Type="punktas" Nr="21" Abbr="7 pr. 21 p." DocPartId="68673ab899994f508afa421cd3cdf263" PartId="feb43a3182da4a2e9e63525ad9c599d5"/>
      <Part Type="punktas" Nr="22" Abbr="7 pr. 22 p." DocPartId="8d1bbccb8342488b99f68ca7da085700" PartId="b581a4aaa9bb4db2a27c331c8202e819"/>
      <Part Type="punktas" Nr="23" Abbr="7 pr. 23 p." DocPartId="c6204502bf414366b2a671873faa1469" PartId="6f0c3be17c09474ab4c47b98ddf462ec"/>
      <Part Type="punktas" Nr="24" Abbr="7 pr. 24 p." DocPartId="f7eeef3f2a904c4bbd42c42ce45025ac" PartId="18496efe88f44834a6fe78ae8f699003"/>
      <Part Type="punktas" Nr="25" Abbr="7 pr. 25 p." DocPartId="b377d607c7624730805faa2b72c952b7" PartId="52635baee99c47b3b1477af2fa249763"/>
      <Part Type="punktas" Nr="26" Abbr="7 pr. 26 p." DocPartId="5dad2c12448d4f3591cf0a64c557c1e6" PartId="a8bb4113f2ab41e49594e8a530777148"/>
      <Part Type="punktas" Nr="27" Abbr="7 pr. 27 p." DocPartId="9661926e10b74ee3919882263ee79135" PartId="6e80d9179f874a6090207c5ee5bdf808"/>
    </Part>
    <Part Type="skyrius" Nr="3" Title="BAIGIAMOSIOS NUOSTATOS" DocPartId="09b46acd68e64cbe8ef362dc0471cbf3" PartId="209eb8696082471f9039cd2ef495f97e">
      <Part Type="punktas" Nr="28" Abbr="7 pr. 28 p." DocPartId="979ddaaa15fc41dfa63eaced1e29b344" PartId="cc769c43cc01423094aae7a4583f4f19"/>
      <Part Type="punktas" Nr="29" Abbr="7 pr. 29 p." DocPartId="2c828df8cd7e4fd98a85f1ccd5212c26" PartId="98968d0765a54fe59117478563d2cbf0"/>
      <Part Type="punktas" Nr="30" Abbr="7 pr. 30 p." DocPartId="fb36645017834656ab8cf6fad2c0c403" PartId="d19d6ab5e37f4ea9bbf69d13e27ac2da"/>
    </Part>
  </Part>
  <Part Type="lentele" Nr="1" Title="TRANSPORTO PRIEMONIŲ VAIRUOTOJŲ SVEIKATOS TIKRINIMO MASTAS IR PERIODIŠKUMAS" DocPartId="142b301bb7e84762a1200f94fc7218dd" PartId="f76676ed76be4327b794be8afcd92b3e"/>
  <Part Type="lentele" Nr="2" Title="TRANSPORTO PRIEMONIŲ KATEGORIJOS, MINIMALUS VAIRUOTOJŲ AMŽIUS" DocPartId="36fd42b018aa4aae9c5fe82f72c4dc0e" PartId="ddcc24f42f904bf2be6b0a71cb6b7ac0"/>
  <Part Type="lentele" Nr="3" Title="MINIMALIOS FIZINIO IR PSICHIKOS TINKAMUMO NORMOS, TAIKOMOS ASMENIMS, VAIRUOJANTIEMS VARIKLIO VAROMĄ TRANSPORTO PRIEMONĘ" DocPartId="4f0a5ac065614e669245fb31f1e590cc" PartId="7a74db2534bc45fba20256b828e51842">
    <Part Type="pastraipa" DocPartId="347550e61bb44cb787c4b7600d24b476" PartId="88076a29a3b646228878ce38e471d811"/>
    <Part Type="punktas" Nr="1" Abbr="1 p." DocPartId="c77827eef2dd46a4a7e7b13bf2e9a429" PartId="d7d4134afdee4da287f40136be0b9536"/>
    <Part Type="punktas" Nr="2" Abbr="2 p." DocPartId="056d2ab62e3d41e78e007add482ebfd2" PartId="5b417e44656245c3a5d11707b15b9e2d"/>
    <Part Type="punktas" Nr="3" Abbr="3 p." DocPartId="19aef3385cd44f418ea6647b388b0382" PartId="7534734ae4f34e038c59619cb79be104"/>
  </Part>
  <Part Type="lentele" Nr="4" Title="VAIRUOTOJO GARBĖS DEKLARACIJA (SVEIKATOS PATIKRINIMO KLAUSIMYNAS)" DocPartId="d677b145cbcd45dbab1a2c70cc43540c" PartId="53a20ffc4e7c45359dbc9cc855e70581">
    <Part Type="pastraipa" DocPartId="b320d20800b845c1b2abef7288de5499" PartId="51369210f9af477681cc066f76328b85"/>
    <Part Type="pastraipa" DocPartId="15f7fd15f34b408bafb576bf4ff2bacd" PartId="af818a00d0df4e698754cd2fe96b1764"/>
    <Part Type="pastraipa" DocPartId="8b4466334c4e4cb0a53e8e344810f700" PartId="35488bc148c942c6a8626b0be5add652"/>
    <Part Type="pastraipa" DocPartId="f012f000471242b1bb9bd440bff58c2d" PartId="19d556ee372e4a5a89c6928b2a1364a8"/>
    <Part Type="lentele" DocPartId="9f4e918b6dc14dd784668fbdab237ed9" PartId="65fdfe09273c4e8b9e23097ad860a8d8"/>
    <Part Type="pastraipa" DocPartId="5037ce3612f74820916d9abd8570231e" PartId="61aa1e37ce2c47429d4bf57df7472b4e"/>
    <Part Type="pastraipa" DocPartId="98e5988de7e84d059d4343d107f71280" PartId="9776c0303d3b47179565bf5dde4bbedc"/>
    <Part Type="pastraipa" DocPartId="5b62abbbe2da4cbab6eb4802e35d4b94" PartId="2cf9a4c47a7b440990c24ec6951f82fd"/>
  </Part>
  <Part Type="lentele" Nr="5" Title="VAIRUOTOJUI TAIKOMŲ APRIBOJIMŲ KODAI" DocPartId="5c01a10416c64c96ae9969ff1fbc7648" PartId="dbbf82c90b514e19a4cb40a853b0b455">
    <Part Type="pabaiga" DocPartId="adad55d75c064e0bb1f973518bcd1973" PartId="ca8ad32ecd054575bb1e7d2a1ef01c55"/>
  </Part>
  <Part Type="priedas" DocPartId="9e4d5731f64e4611b658ef00b9e5bb43" PartId="cacbc32b0b034471ad3812d97292a3b6"/>
  <Part Type="priedas" Nr="8" Abbr="8 pr." DocPartId="5138adef28ff4ffe832acd60005e49ed" PartId="55fd7fe9e33046209ea3009aeaa8b7b7"/>
  <Part Type="priedas" Nr="9" Abbr="9 pr." Title="VYKSTANČIŲJŲ Į UŽSIENĮ SVEIKATOS TIKRINIMO TVARKA" DocPartId="ee022644b8764ad698f8cfccbe895be7" PartId="d06b380f6ba04718b98617c9e8e69967">
    <Part Type="skyrius" Nr="1" Title="BENDROSIOS NUOSTATOS" DocPartId="c00d680f2950467ebcc6626f943674f9" PartId="1e0067e1fbe24e8491d576eadb5d0fdc">
      <Part Type="punktas" Nr="1" Abbr="9 pr. 1 p." DocPartId="807eb490d8d145e588871cb33b1857ab" PartId="3105c62ba46e48ca882a40ab919bac7d"/>
      <Part Type="punktas" Nr="2" Abbr="9 pr. 2 p." DocPartId="a7dda6330da6455a966f1465d886994c" PartId="fb032c2e61b643a7804a07274024791f"/>
      <Part Type="punktas" Nr="3" Abbr="9 pr. 3 p." DocPartId="45610d2952d24db29703e69a5cd0f8de" PartId="cfc180eacc254d9ea5c8a44e4ea12c7f"/>
      <Part Type="punktas" Nr="4" Abbr="9 pr. 4 p." DocPartId="5c50933d4ee54b389227f64c8b95d18a" PartId="f9550c9b81cb47c39ce672c935b38276"/>
      <Part Type="punktas" Nr="5" Abbr="9 pr. 5 p." DocPartId="d80e2902a525427d92a1349838f4046d" PartId="b28b5c9227244489b3b669692b42b830"/>
      <Part Type="punktas" Nr="6" Abbr="9 pr. 6 p." DocPartId="c087bccb493845cc976caec4741ab6be" PartId="8bc8f654a006472e864f9ce463518658"/>
      <Part Type="punktas" Nr="7" Abbr="9 pr. 7 p." DocPartId="250b1f1b226b4879b4b1a73e797321c7" PartId="6a340326c0b241bc84916f08cea6858a"/>
      <Part Type="punktas" Nr="8" Abbr="9 pr. 8 p." DocPartId="212e93201e5f4183bd7d67119c37e86f" PartId="290f910a086c4955b523b414c882cfe6"/>
      <Part Type="punktas" Nr="9" Abbr="9 pr. 9 p." DocPartId="e801f90e7d0e4b8ea2f739844c589e33" PartId="6e01b5da4ae84645be8638db0c1d920b"/>
      <Part Type="punktas" Nr="10" Abbr="9 pr. 10 p." DocPartId="9367de9055f04c63af09186b580362b8" PartId="844e64cd658c4f3f8da904f9c59a1d2c"/>
      <Part Type="punktas" Nr="11" Abbr="9 pr. 11 p." DocPartId="c0e50da3cc874ccf91970e79c775d458" PartId="824637e270684d09a8c9af6401811b02"/>
      <Part Type="punktas" Nr="12" Abbr="9 pr. 12 p." DocPartId="8c4f514dcd964b338f59e7c10007ca38" PartId="603e139e68b94d8a80fbceb990348967"/>
      <Part Type="punktas" Nr="13" Abbr="9 pr. 13 p." DocPartId="aa82cec1ee994d2a8d3791afc677e73a" PartId="47b67b54582b40878252629db9230767"/>
      <Part Type="punktas" Nr="14" Abbr="9 pr. 14 p." DocPartId="fcbb1f2752e44c65bdac4e60b66aa9d3" PartId="b63e22f1f03a493f9216a58fe10faa4b"/>
      <Part Type="punktas" Nr="15" Abbr="9 pr. 15 p." DocPartId="7941ba660f7c45e899f4669307da3a3f" PartId="c40fae31faf4447989763ec25dad274b"/>
      <Part Type="punktas" Nr="16" Abbr="9 pr. 16 p." DocPartId="d33185bd1ad14c5292bf409aade8e871" PartId="3619143c651944cc95abf309b6174c4e"/>
      <Part Type="punktas" Nr="17" Abbr="9 pr. 17 p." DocPartId="53ad95df9664419da50665e6dcf26137" PartId="787a781a95274489953e83c97959b70d"/>
      <Part Type="punktas" Nr="18" Abbr="9 pr. 18 p." DocPartId="a37a95707e7f451c8c3b79939eb5cda1" PartId="86719377bbe842c280b5d4fe50dcac9d"/>
    </Part>
    <Part Type="skyrius" Nr="2" Title="SVEIKATOS TIKRINIMAS VYKSTANT Į UŽSIENĮ" DocPartId="0f34097da13e491b921cde8785fcf282" PartId="6720eac7dd8449b998fe7b36e2aaae53"/>
  </Part>
  <Part Type="priedas" Nr="10" Abbr="10 pr." Title="LICENCIJUOJAMŲ CIVILINĖS AVIACIJOS SPECIALISTŲ SVEIKATOS BŪKLĖS TIKRINIMO TVARKOS APRAŠAS" DocPartId="ec10566976f143c78fbbdd0ec2f6382a" PartId="82810ee2ef564b7490b94db71340776a">
    <Part Type="punktas" Nr="1" Abbr="10 pr. 1 p." DocPartId="56187d67572a428aa6d4beaae160cd84" PartId="227f06e3adef4b738850f2cd86922c73"/>
    <Part Type="punktas" Nr="2" Abbr="10 pr. 2 p." DocPartId="44ce967aa8a743b0a407f721eea7f847" PartId="6089dc0c6f214efabb500ce1c34465a7"/>
    <Part Type="punktas" Nr="3" Abbr="10 pr. 3 p." DocPartId="0ad82a671eca40d8a6ac9a33575781b1" PartId="f0be24370f7e464588fd33216931977f"/>
    <Part Type="punktas" Nr="4" Abbr="10 pr. 4 p." DocPartId="bcc982fe994f4be5b24eef7c8fad4d53" PartId="dee0611f23534addb7287255f30008d2"/>
    <Part Type="pabaiga" DocPartId="3144c228594f4a55b771d5f4861b7d1c" PartId="e43473c7b5e94a02a3c6c8b1a01d9187"/>
  </Part>
  <Part Type="priedas" Nr="11" Abbr="11 pr." Title="JŪRININKŲ IR VIDAUS VANDENŲ TRANSPORTO SPECIALISTŲ BEI MOTORINIŲ PRAMOGINIŲ LAIVŲ IR KITŲ MOTORINIŲ PLAUKIOJIMO PRIEMONIŲ LAIVAVEDŽIŲ SVEIKATOS TIKRINIMO TVARKOS APRAŠAS" DocPartId="e12e9c1b56374166b0d11fa541410a3d" PartId="8d7263feddb942499b31d04640026346">
    <Part Type="skyrius" Nr="1" Title="BENDROSIOS NUOSTATOS" DocPartId="7256befb92804e04aae028112cf23c0a" PartId="32ccb9ddeb984219866be6e01bb775c9">
      <Part Type="punktas" Nr="1" Abbr="11 pr. 1 p." DocPartId="727feef86bc74612b6a74501cd2c95b6" PartId="ba16f3e960ea4d37bf1a7b1dca6f2706"/>
      <Part Type="punktas" Nr="2" Abbr="11 pr. 2 p." DocPartId="bba8317d26b949aba1932e36383ca44d" PartId="d69d8b7f0e2142d58322719293013b09"/>
      <Part Type="punktas" Nr="3" Abbr="11 pr. 3 p." DocPartId="a9ef9a217ba34726a88622fa829a8103" PartId="1f802939952749c3bc1103154a44051c"/>
      <Part Type="punktas" Nr="4" Abbr="11 pr. 4 p." DocPartId="30ea7d39b6ab4f3f96fd2610bdf20a96" PartId="23bfcc2cf4b04ad1ae921748c138157c"/>
      <Part Type="punktas" Nr="5" Abbr="11 pr. 5 p." DocPartId="0ed78b871ba64d3888587bc9b36bf9f2" PartId="39b390a6ea1646e7beb4d715472d9983"/>
      <Part Type="punktas" Nr="6" Abbr="11 pr. 6 p." DocPartId="db22e6f3a2a146579e46e6d8ac3f095d" PartId="6eb442ae5d8340f398b3ff32bbefc6c5">
        <Part Type="papunktis" Nr="6.1" Abbr="11 pr. 6.1 pp." DocPartId="b43e2fb5ead14a2ba3469d5489b9e827" PartId="4d8aeef1fd13476fa19a116863d4db2c"/>
        <Part Type="papunktis" Nr="6.2" Abbr="11 pr. 6.2 pp." DocPartId="32c51bab8c284b2fbe7039a5b97d88ee" PartId="16871eef5095407f91cc3f88e4248a9c"/>
        <Part Type="papunktis" Nr="6.3" Abbr="11 pr. 6.3 pp." DocPartId="339ae66d7f424d86b1c890ab5ec3ba30" PartId="75a22cd5d0354d8192af865fad289721"/>
        <Part Type="papunktis" Nr="6.4" Abbr="11 pr. 6.4 pp." DocPartId="8069e174709f46ac9cf23d977ac8aad5" PartId="b8f59eae25804e5bb09f445503be3151"/>
      </Part>
    </Part>
    <Part Type="skyrius" Nr="2" Title="SVEIKATOS TIKRINIMO REIKALAVIMAI IR TVARKA" DocPartId="e8d509785afb4042b4da31d9dd2747a9" PartId="a42700b424784c29a5c42d99b641e3ed">
      <Part Type="punktas" Nr="7" Abbr="11 pr. 7 p." DocPartId="ae667787937e4d6dbfb43c9ca055185a" PartId="323439abc2094e6f92afb22f5a72fb07"/>
      <Part Type="punktas" Nr="8" Abbr="11 pr. 8 p." DocPartId="f2e0842af27c46d0aad32f41c48738f2" PartId="e4ce3d842bd8444fbda0d0a560761142"/>
      <Part Type="punktas" Nr="9" Abbr="11 pr. 9 p." DocPartId="9378a5974860421bbf3d5cd2b3911eed" PartId="c6a797db6e354c69bfec3e0333a3413b"/>
      <Part Type="punktas" Nr="10" Abbr="11 pr. 10 p." DocPartId="ebe129fc664e4b4787313fdc1a8779ec" PartId="5997fe6c03344b7fab10d6bce125ebb0"/>
      <Part Type="punktas" Nr="11" Abbr="11 pr. 11 p." DocPartId="3d0c19cbf96a420fb39fe246b2c15601" PartId="ece33cd7cb6a4881a315031e2c44b39b"/>
      <Part Type="punktas" Nr="11-1" Abbr="11-1 p." DocPartId="d3815629b6cd4e459815fe1148f1661f" PartId="0b8179516254450db17acd32605c9498"/>
      <Part Type="punktas" Nr="12" Abbr="11 pr. 12 p." DocPartId="4ce46395d860484db27bf6b5c5fbc66d" PartId="1bee4c3f52314253b25caecd3375f1fe">
        <Part Type="papunktis" Nr="12.1" Abbr="11 pr. 12.1 pp." DocPartId="f3d1cc86f9e1456f8e75f8bf973c6d7e" PartId="79b5c9b9b76346ad86f883f004924037"/>
        <Part Type="papunktis" Nr="12.2" Abbr="11 pr. 12.2 pp." DocPartId="8a796a4cafcd4086bcec62ab578ca3f4" PartId="b8eb1e5c3ab94a2b8a3d56d6da95c7e3"/>
        <Part Type="papunktis" Nr="12.3" Abbr="11 pr. 12.3 pp." DocPartId="a2f7e65105ad490b9e302c8c50fe5302" PartId="81252915cf6c416aad9ebdb8b8ce5f2c"/>
        <Part Type="papunktis" Nr="12.4" Abbr="11 pr. 12.4 pp." DocPartId="8593904fb3304ba5bf95023f10a36838" PartId="16bf25cbef4341a1aac6ee432ff58af5"/>
        <Part Type="papunktis" Nr="12.5" Abbr="11 pr. 12.5 pp." DocPartId="989ac1b27f1f4ddca7a4011acd1fc5b2" PartId="9bff474624024fa284e47b9e02277aee"/>
        <Part Type="papunktis" Nr="12.6" Abbr="11 pr. 12.6 pp." DocPartId="4b5ee59fdf2c4f23900f188d21fdd4d6" PartId="31a6ee8c4ae9413a835bd5ff8325be45"/>
        <Part Type="papunktis" Nr="12.7" Abbr="11 pr. 12.7 pp." DocPartId="5a3a21e2f6a740f18d35171f90d34315" PartId="b5a800c2c8144953b9d4e0ec59e42de5"/>
        <Part Type="papunktis" Nr="12.8" Abbr="11 pr. 12.8 pp." DocPartId="f58c0b32e8cc4e87911f921cc400fba5" PartId="5e38ef56177c47df83c409f85ac862ca"/>
        <Part Type="papunktis" Nr="12.9" Abbr="11 pr. 12.9 pp." DocPartId="e2286e1db82e4b3986033ee9b447e0eb" PartId="cc366baf458c4640b5e22941440d5274"/>
        <Part Type="papunktis" Nr="12.10" Abbr="11 pr. 12.10 pp." DocPartId="77cd95297ed2444cbf4bb00a55d6ebf4" PartId="f1df0ff4e1d14a988e62c466a4dc766e"/>
        <Part Type="papunktis" Nr="12.11" Abbr="11 pr. 12.11 pp." DocPartId="fc5cc31255184ac08bf1a847a364062c" PartId="7d2c1f23dc1c47a6a3c268d6f3458b0c"/>
        <Part Type="papunktis" Nr="12.12" Abbr="11 pr. 12.12 pp." DocPartId="2aa550baddbe4dffb5d116f75eb42add" PartId="b1ada84469ef4fdfb8ec0d3a98157e33"/>
        <Part Type="papunktis" Nr="12.13" Abbr="11 pr. 12.13 pp." DocPartId="bbbcb0cac49d4c2a9e13e1cd4acea2e8" PartId="79cd18d2a7d14226965451c7754ffa65"/>
        <Part Type="papunktis" Nr="12.14" Abbr="11 pr. 12.14 pp." DocPartId="bbc3024183aa497fb7dd0b47338d80c5" PartId="74400bf8bfa6482d8a9ba82009b11dfc"/>
        <Part Type="papunktis" Nr="12.15" Abbr="11 pr. 12.15 pp." DocPartId="ed4fb010ffa54d42980616d3d2ef84c2" PartId="f8a31a904f194a17b5c917ef56830ed6"/>
        <Part Type="papunktis" Nr="12.16" Abbr="11 pr. 12.16 pp." DocPartId="b6f8b06ad42a4ecd868c59f991982e27" PartId="1ead58615f744f0eb641ad3f63a790fc"/>
      </Part>
      <Part Type="punktas" Nr="13" Abbr="11 pr. 13 p." DocPartId="b9f5544a4d6f419e9851df13cad80abe" PartId="4e6f5044613d4cda8b71eab1d9180e66"/>
      <Part Type="punktas" Nr="14" Abbr="11 pr. 14 p." DocPartId="070aa394446e4185879f7bf5238e2669" PartId="44ad0c4d0c29454fa76de9c5376a9f17"/>
      <Part Type="punktas" Nr="15" Abbr="11 pr. 15 p." DocPartId="d1c38423a9114da1835eee56997f3566" PartId="0c54a5979c20439b8e92ca4f35ad1f2a"/>
      <Part Type="punktas" Nr="16" Abbr="11 pr. 16 p." DocPartId="fd85df9569c6436b901542d1f0e78cae" PartId="9837561fdedc4663b9b91219b363fc95"/>
      <Part Type="punktas" Nr="17" Abbr="11 pr. 17 p." DocPartId="24a920dc583047a59fcab736530d9e91" PartId="3f763ab8e46f482f86af33906e5a487c"/>
      <Part Type="punktas" Nr="18" Abbr="11 pr. 18 p." DocPartId="8fb5bcaeec2e4df2900b58d47f4d6ae1" PartId="3ecbc56127ff41c2b0575d71f7c4e170"/>
      <Part Type="punktas" Nr="19" Abbr="11 pr. 19 p." DocPartId="6bcbbf61c32b4de69e77ae8a45ffb7c9" PartId="7493f58d73a345fc8d91e79de34b6d40"/>
      <Part Type="punktas" Nr="20" Abbr="11 pr. 20 p." DocPartId="7ad0ab362bcf4498af239e719e9045d6" PartId="aab3a3a23dbf427a93a64e1cb01d3b86"/>
      <Part Type="punktas" Nr="21" Abbr="11 pr. 21 p." DocPartId="ae7ed2173fee4cc1bee0f7c579a10efb" PartId="30adbb396b5d4a25b392821bad73fe90"/>
      <Part Type="punktas" Nr="22" Abbr="11 pr. 22 p." DocPartId="e5ad5f91ef644d559706ad96a3e09c65" PartId="4d1d00e44d2043c1a9f65ce73b4c2b64"/>
    </Part>
    <Part Type="skyrius" Nr="3" Title="JŪRININKŲ IR VIDAUS VANDENŲ TRANSPORTO SPECIALISTŲ BEI MOTORINIŲ PRAMOGINIŲ LAIVŲ IR KITŲ MOTORINIŲ PLAUKIOJIMO PRIEMONIŲ LAIVAVEDŽIŲ SVEIKATOS TIKRINIMŲ PERIODIŠKUMAS" DocPartId="e2ac35e466304cf7a971b71b2c7d579b" PartId="d99e4a60a2894dc9ab0c2cedbc77672c">
      <Part Type="punktas" Nr="23" Abbr="11 pr. 23 p." DocPartId="989237b54f1c4a3bb2720a364c85e852" PartId="62c46a946159434683041306ed1c5aa3">
        <Part Type="papunktis" Nr="23.1" Abbr="11 pr. 23.1 pp." DocPartId="d112ab1dd0154e60b64723e005e0100a" PartId="e9baee25ee2f4f628c37885f07ad429d"/>
        <Part Type="papunktis" Nr="23.2" Abbr="11 pr. 23.2 pp." DocPartId="5cc4afb8185e4d57814d83f86ce77999" PartId="f96f4e6622564d5ea8eae7ca6266bf71"/>
        <Part Type="papunktis" Nr="23.3" Abbr="11 pr. 23.3 pp." DocPartId="801100c697824e85b874afe90a890d07" PartId="d858041a18c74c019a482fc81f4ba896"/>
        <Part Type="papunktis" Nr="23.4" Abbr="11 pr. 23.4 pp." DocPartId="eed0c96961ef4270be7b2bf7419fa98f" PartId="205e1cff86c44a2ebfcfe8aa44acfbb7"/>
        <Part Type="papunktis" Nr="23.5" Abbr="11 pr. 23.5 pp." DocPartId="f29a5e2e352d4a3d9629c08cc039e46a" PartId="e49019a24a6448fe855cb230b6bafe6e"/>
        <Part Type="papunktis" Nr="23.6" Abbr="11 pr. 23.6 pp." DocPartId="273879a24afc46f7af13162f8adcde19" PartId="f1f777d8a5cc4de297492d15c78e1a37"/>
      </Part>
      <Part Type="punktas" Nr="24" Abbr="11 pr. 24 p." DocPartId="da02c39daad14f5a92eed29e76839601" PartId="d98f957738484e3695db3cd48725abe4"/>
      <Part Type="punktas" Nr="25" Abbr="11 pr. 25 p." DocPartId="f7365b636ac94effbdfc4b19d635f6e4" PartId="2073163b9cc54c4faefef829f38f7fe7"/>
      <Part Type="punktas" Nr="26" Abbr="11 pr. 26 p." DocPartId="8d374677d83a4b97829d284052b0bc08" PartId="b119282eeb384e05ad9c0b0dffdabcbe"/>
    </Part>
    <Part Type="skyrius" Nr="4" Title="SVEIKATOS PAŽYMĖJIMŲ IŠDAVIMO TVARKA" DocPartId="43c2a62ac703483ebab37a46472a079d" PartId="158e39d4febf4b3da5b1c5ab40ae0b0f">
      <Part Type="punktas" Nr="27" Abbr="11 pr. 27 p." DocPartId="e8fd86f1ec154e8590ab981e3623c54e" PartId="aa92bfa48e4a4148a885f2362ec2061e">
        <Part Type="papunktis" Nr="27.1" Abbr="11 pr. 27.1 pp." DocPartId="dad35e1279704bea871f4747f27fc37f" PartId="a29365d9188142c996720c4d2bf33669"/>
        <Part Type="papunktis" Nr="27.2" Abbr="11 pr. 27.2 pp." DocPartId="83183bb911544c458b6980bfd14b7958" PartId="079a030b70394a2e94848e1fed0a07c8"/>
      </Part>
      <Part Type="punktas" Nr="28" Abbr="11 pr. 28 p." DocPartId="5b20a86678164e659eb77ce714b0364e" PartId="8a79358e791542adb73d0912b50ee3a5"/>
      <Part Type="punktas" Nr="29" Abbr="11 pr. 29 p." DocPartId="3375c35f3ef74582a4d6d44086728a32" PartId="4bd1c57578874f28836b10f2d34ff6ef"/>
      <Part Type="punktas" Nr="30" Abbr="11 pr. 30 p." DocPartId="610b875ceb7b478a8eb90d7261b86b15" PartId="5e0d7fd257ec4134883dbbc2f186babf"/>
      <Part Type="punktas" Nr="31" Abbr="11 pr. 31 p." DocPartId="f3a1377263dc49aa83431a98ecfa45fe" PartId="22d3fd5784d046668eaaeb9196f8f9b2"/>
      <Part Type="punktas" Nr="32" Abbr="11 pr. 32 p." DocPartId="6083096c331a427497398b470b99a70b" PartId="e695d4d5b641437cbf8d7fe87a607037">
        <Part Type="papunktis" Nr="32.1" Abbr="11 pr. 32.1 pp." DocPartId="ac697d704a334b798033d495389a95c8" PartId="00e43b9c755d4cccb46d618e5e70865c"/>
        <Part Type="papunktis" Nr="32.2" Abbr="11 pr. 32.2 pp." DocPartId="07f80d9ed28043babe9423ad57948841" PartId="49cafaefdebe40ca82f906c2a6fea444"/>
        <Part Type="papunktis" Nr="32.3" Abbr="11 pr. 32.3 pp." DocPartId="49a874fe3671443aa36f1d19dbe7e9c7" PartId="4d6a9134ca1e4b0791d365ea56997d82"/>
        <Part Type="papunktis" Nr="32.4" Abbr="11 pr. 32.4 pp." DocPartId="6d0fe48205d44a8894dd02b3e0ab0198" PartId="06f29c2ce4c44b42ae55fbdde5e256e0"/>
        <Part Type="papunktis" Nr="32.5" Abbr="11 pr. 32.5 pp." DocPartId="dd1621c31b9143e3afec848412c3225b" PartId="4374fdb3cf2948c6a7f5e601e5380ac7"/>
        <Part Type="papunktis" Nr="32.6" Abbr="11 pr. 32.6 pp." DocPartId="ba64302347674f91841944f4758c2647" PartId="168241fa41314e8ca3b86ef82dab9fb4"/>
      </Part>
      <Part Type="punktas" Nr="33" Abbr="11 pr. 33 p." DocPartId="0c1189f1120d418ea9b4735e0617a208" PartId="272124d43b674bbba0d1b0ce466e7d9c"/>
      <Part Type="punktas" Nr="34" Abbr="11 pr. 34 p." DocPartId="0ed6d715ef534eb5ac0cc32ee2b70f6a" PartId="de20ce18618a4bbfa9442f133d3c87c5"/>
      <Part Type="punktas" Nr="35" Abbr="11 pr. 35 p." DocPartId="1f19152ffdc1464eb689da0303fbc3fe" PartId="5a5f6077afe440e29f0343a5aa3f5852"/>
      <Part Type="punktas" Nr="36" Abbr="11 pr. 36 p." DocPartId="6c08261f26b04b93be626aae01b248af" PartId="c0a9d9d7742a4b439e5c3700e181c32b"/>
      <Part Type="punktas" Nr="37" Abbr="11 pr. 37 p." DocPartId="50ff86a146f8406a8f2d20a050a73724" PartId="377d764ef6e54556962b6d1a025fe512"/>
      <Part Type="punktas" Nr="38" Abbr="11 pr. 38 p." DocPartId="8257fbbb1db047578d73c30e2bc98f98" PartId="eea916fcb2d64774891608e4df56703a"/>
      <Part Type="punktas" Nr="39" Abbr="11 pr. 39 p." DocPartId="01dcd34058e3462ca71d06744969b652" PartId="a274cb37eb5c4a75a57bdc266a02a56f"/>
    </Part>
    <Part Type="skyrius" Nr="5" Title="BAIGIAMOSIOS NUOSTATOS" DocPartId="761b2bfcea024bcfa252b3f413171e44" PartId="03fb52190de14fd6b508d83d35f16cf6">
      <Part Type="punktas" Nr="40" Abbr="11 pr. 40 p." DocPartId="1adb27e940e64fd8b0fa56d0d9a263b8" PartId="7fb996fb2def4826af923b43cb3c19ec"/>
      <Part Type="punktas" Nr="41" Abbr="11 pr. 41 p." DocPartId="d527e1da187246aabb889f2ee28abb35" PartId="a8e4e13935ae4671aeafa5caade6edf2"/>
    </Part>
  </Part>
  <Part Type="priedas" Nr="1" Abbr="1 pr." Title="MINIMALŪS SVEIKATOS BŪKLĖS REIKALAVIMAI, TAIKOMI JŪRININKAMS IR VIDAUS VANDENŲ TRANSPORTO SPECIALISTAMS BEI MOTORINIŲ PRAMOGINIŲ LAIVŲ IR KITŲ MOTORINIŲ PLAUKIOJIMO PRIEMONIŲ LAIVAVEDŽIAMS" DocPartId="c2d6770778bc4f97a294f61c949bf185" PartId="852c5890e49a4652a71c1ec7070e4f4a"/>
  <Part Type="priedas" Nr="2" Abbr="2 pr." Title="JŪRININKO AR VIDAUS VANDENŲ TRANSPORTO SPECIALISTO BEI MOTORINIŲ PRAMOGINIŲ LAIVŲ IR KITŲ MOTORINIŲ PLAUKIOJIMO PRIEMONIŲ LAIVAVEDŽIO GARBĖS DEKLARACIJA (SVEIKATOS TIKRINIMO KLAUSIMYNAS) / SEAFARERS OR NAVIGATOR‘S OF MOTOR PLEASURE AND OTHER CRAFT DECLARATION OF HONOUR" DocPartId="da5e9fc17387436e890c9e79fe23b0c2" PartId="6ecd0c54a1c84b008f94cc83bd1aea88"/>
  <Part Type="priedas" Nr="12" Abbr="12 pr." Title="TRAUKINIO MAŠINISTŲ IR DARBUOTOJŲ, ATLIEKANČIŲ EISMO SAUGAI UŽTIKRINTI SVARBIAS UŽDUOTIS, SVEIKATOS TIKRINIMO TVARKOS APRAŠAS" DocPartId="b7ae2708b0a744d29d99c6209b546c6d" PartId="e0739932a7b84df6ac56c5a859829502">
    <Part Type="skyrius" Nr="1" Title="BENDROSIOS NUOSTATOS" DocPartId="f10f6586b0c645ac97636aae23b99c6b" PartId="cbf26392758145acafe93bf6e8b8e334">
      <Part Type="punktas" Nr="1" Abbr="12 pr. 1 p." DocPartId="525ab90d6ab6497487fc7c69acb593fa" PartId="af48608cf66b462a8429d3b3453de04c"/>
      <Part Type="punktas" Nr="2" Abbr="12 pr. 2 p." DocPartId="ee0769561d69439baa9f525219d9facd" PartId="1cabc372d2ff472baf8f2f94992b0be1"/>
      <Part Type="punktas" Nr="3" Abbr="12 pr. 3 p." DocPartId="2687ffbcdd924bd38a7d3119c964980a" PartId="b2e00d1512564aab8639f3d4410f99d0"/>
    </Part>
    <Part Type="skyrius" Nr="2" Title="PRIVALOMO SVEIKATOS TIKRINIMO REIKALAVIMAI IR TVARKA" DocPartId="2e82e0f22747409f898eeda84cc0e9a2" PartId="c865d5b0b7e04d32b8d5893e844bf611">
      <Part Type="punktas" Nr="4" Abbr="12 pr. 4 p." DocPartId="23644cd9d0cf4e419489d6694b6db3d8" PartId="3cf580a15a5e4f8cbb6f03b88984f28d"/>
      <Part Type="punktas" Nr="5" Abbr="12 pr. 5 p." DocPartId="17c2d13dde4b4257a9f4268fd51eed62" PartId="5f0b0bcace1c45fa87f6e25f2e916164"/>
      <Part Type="punktas" Nr="6" Abbr="12 pr. 6 p." DocPartId="66af007d30234bbb90ffe55cde5126ad" PartId="7d106e6cce234fe1b61f62362986ca6e"/>
      <Part Type="punktas" Nr="7" Abbr="12 pr. 7 p." DocPartId="e7fd0efae9b64020bafed538157ae6b8" PartId="7283e0ab9c634fa88580f86150c311e9"/>
      <Part Type="punktas" Nr="8" Abbr="12 pr. 8 p." DocPartId="d44f4810277a451fbfc37a8ec90eb2bf" PartId="1ce91bf4c80a43ffbdcb2f44ffa54ff7"/>
      <Part Type="punktas" Nr="9" Abbr="12 pr. 9 p." DocPartId="3d1438cca49b46e095cc04adc3153d9a" PartId="cf763685cedd4446bdd9913dabe58308"/>
      <Part Type="punktas" Nr="10" Abbr="12 pr. 10 p." DocPartId="8ce871c0b8c14b7ca0761684910c13ea" PartId="adf0a649e9d54e36a9058ce456e3f6e6"/>
      <Part Type="punktas" Nr="11" Abbr="12 pr. 11 p." DocPartId="a1e6b55cf8c443aa80fba7d61dcff47a" PartId="e9a26d532fa048359b5aa2a9931a6c30"/>
      <Part Type="punktas" Nr="12" Abbr="12 pr. 12 p." DocPartId="35cd097c6f8f4975a009d08e72903ab9" PartId="45757292db98446297646de3a04a550d"/>
      <Part Type="punktas" Nr="13" Abbr="12 pr. 13 p." DocPartId="50adb55da5604682bd58b1625446164a" PartId="7187de4b51354128bfa42b5c860a60d4"/>
      <Part Type="punktas" Nr="14" Abbr="12 pr. 14 p." DocPartId="183b4adfe29240cfa5dc51d53dfb596a" PartId="43c8161213bf4ca68de6307c0ed63059"/>
      <Part Type="punktas" Nr="15" Abbr="12 pr. 15 p." DocPartId="33f40b95b34a4506b942cfa596b87442" PartId="c89e871cdda44f518f8c73250ea21d9a"/>
      <Part Type="punktas" Nr="16" Abbr="12 pr. 16 p." DocPartId="dd7a41073cda4a529e8455681b18b6a3" PartId="598fec1947cb4c6a839a4aeccc9d1eec"/>
      <Part Type="punktas" Nr="17" Abbr="12 pr. 17 p." DocPartId="da25a330e14d48e582337d8339ad6a23" PartId="75eec6c5baf44eb1b22d548c4c74685e">
        <Part Type="papunktis" Nr="17.1" Abbr="12 pr. 17.1 pp." DocPartId="618915cd4d074f1685d87a1fe8e02565" PartId="070e91b655b74361a15fddcf1bbe3c5f"/>
        <Part Type="papunktis" Nr="17.2" Abbr="12 pr. 17.2 pp." DocPartId="6e5287cd182a4e528c14e27432f98e39" PartId="e9d28705a5384af4b597cae311e56004"/>
        <Part Type="papunktis" Nr="17.3" Abbr="12 pr. 17.3 pp." DocPartId="bee8c38ed488413b8554bced1b721775" PartId="ed1dbbdf21cc4e27816eac2120613ff3"/>
        <Part Type="papunktis" Nr="17.4" Abbr="12 pr. 17.4 pp." DocPartId="bd003fdb1670432e96eba8f7bfcaafa3" PartId="09389b21e8814de995661fa1afe672a9"/>
      </Part>
      <Part Type="punktas" Nr="18" Abbr="12 pr. 18 p." DocPartId="1342029c6ac24d49b4a0f82b80e85669" PartId="6f86f1de35ae438f8b84ca505d768ff4"/>
      <Part Type="punktas" Nr="19" Abbr="12 pr. 19 p." DocPartId="2ed8d137bf1848eba9c98ea123cd89a2" PartId="b1fd8ec24f664da4a1f55136d17b2171"/>
      <Part Type="punktas" Nr="20" Abbr="12 pr. 20 p." DocPartId="d5442e409131404e866ccf5078fc51bc" PartId="dc8cab33beea45b28c58822f0f26196f"/>
      <Part Type="punktas" Nr="21" Abbr="12 pr. 21 p." DocPartId="13e2b823e4b84c9d8398ce33a828e274" PartId="fd50d5c2f0df48b28f588507fea84942"/>
    </Part>
    <Part Type="skyrius" Nr="3" Title="BENDRIEJI SVEIKATOS BŪKLĖS REIKALAVIMAI" DocPartId="7356cb23a7574cbf8711e6fb3ac5051a" PartId="979f64942bd34386aeef0416f458511f">
      <Part Type="punktas" Nr="22" Abbr="12 pr. 22 p." DocPartId="4dd9dfa37476467dbdcd00b2fae590eb" PartId="296dd2c7c1a74758a52ca43878c2d59b">
        <Part Type="papunktis" Nr="22.1" Abbr="12 pr. 22.1 pp." DocPartId="8998ce0b45dd4819992df67583bb1154" PartId="c6b717bf574c45eb814c12943cde7d38"/>
        <Part Type="papunktis" Nr="22.2" Abbr="12 pr. 22.2 pp." DocPartId="55a19874ef1141d5b891696f612f1d0e" PartId="aad622c11e174c32ab2c49c4ab88ec4b"/>
        <Part Type="papunktis" Nr="22.3" Abbr="12 pr. 22.3 pp." DocPartId="1fa2aae334474ba3869579d5fd6c5556" PartId="dc7fc68bd3144dc28a1d289cd6982870"/>
        <Part Type="papunktis" Nr="22.4" Abbr="12 pr. 22.4 pp." DocPartId="b018d12ba8d74e97a4a49730ec5b6059" PartId="499d71d45feb4fcf8f193b8e3bd000f8"/>
        <Part Type="papunktis" Nr="22.5" Abbr="12 pr. 22.5 pp." DocPartId="f945ea944c04404281021edabafd9168" PartId="6c3553637aa749559827722ed63f5967"/>
      </Part>
      <Part Type="punktas" Nr="23" Abbr="12 pr. 23 p." DocPartId="f22fa64ed8484c8e821024336436ac08" PartId="4aa14005279348769e0efc34de3a0370">
        <Part Type="papunktis" Nr="23.1" Abbr="12 pr. 23.1 pp." DocPartId="47ce50fd63ab4a6ab00af67dfaae2551" PartId="cd3e8c644c0043bebe2634191d766388">
          <Part Type="papunktis" Nr="23.1.1" Abbr="12 pr. 23.1.1 pp." DocPartId="db2ae589ba7349a89b1af7ce1675e945" PartId="794061509081469f91f31e1d7dd99c06"/>
          <Part Type="papunktis" Nr="23.1.2" Abbr="12 pr. 23.1.2 pp." DocPartId="44ae2a5174044414bb210c0b87739bd2" PartId="27e3e392048c498ea5ea6bd7ad676011"/>
        </Part>
        <Part Type="papunktis" Nr="23.2" Abbr="12 pr. 23.2 pp." DocPartId="ce95efb2de8c47b2ac1181162edfe00f" PartId="b9a7d777621d4ea8bc071adf6a908570"/>
        <Part Type="papunktis" Nr="23.3" Abbr="12 pr. 23.3 pp." DocPartId="6ae256d33eee4fa58e0835aa5757d4ca" PartId="8427a6bc6a184aaaa5d0d4d8aa371c59"/>
        <Part Type="papunktis" Nr="23.4" Abbr="12 pr. 23.4 pp." DocPartId="afdf46ab82404be28bff1bf506c9b4be" PartId="47c4c32ec1fb4a58b548ea3e2b0339c9">
          <Part Type="papunktis" Nr="23.4.1" Abbr="12 pr. 23.4.1 pp." DocPartId="bf598490f3d04e2fb7519a996a3b7c0f" PartId="c6a5adac038a4b3daff9473167641287"/>
          <Part Type="papunktis" Nr="23.4.2" Abbr="12 pr. 23.4.2 pp." DocPartId="251119d1cc984372b44e0cd76c848100" PartId="7c0650c591ee4ec6ae7a85b4fa8656f0"/>
        </Part>
        <Part Type="papunktis" Nr="23.5" Abbr="12 pr. 23.5 pp." DocPartId="98f1430893214bf6a727f1482dd67377" PartId="3c7132d4722745e1b201fda340975cf9"/>
        <Part Type="papunktis" Nr="23.6" Abbr="12 pr. 23.6 pp." DocPartId="f9664bca20c24cea8bdc3cff649893f3" PartId="81e83439b21c4dc785e2aa42c3d6ac1c"/>
        <Part Type="papunktis" Nr="23.7" Abbr="12 pr. 23.7 pp." DocPartId="13656693ef8e44d78aa0e1fa8b0f8e17" PartId="3605ec3be7c3436d9cc363f609e7c9c5">
          <Part Type="papunktis" Nr="23.7.1" Abbr="12 pr. 23.7.1 pp." DocPartId="4cbf2d93e51549edace7c2f2a066e6f0" PartId="ebb8558d4da84353ae56dd5f5733efc5"/>
          <Part Type="papunktis" Nr="23.7.2" Abbr="12 pr. 23.7.2 pp." DocPartId="735465cc11f54dfe9435bd0ba95b4a15" PartId="64baf8b620b74bc6a04130d22ccfb414"/>
        </Part>
        <Part Type="papunktis" Nr="23.8" Abbr="12 pr. 23.8 pp." DocPartId="bcacbf091e7841f7afcbb20d23965cf8" PartId="947a50083c7c41cfb62ba3057fdf0e5c">
          <Part Type="papunktis" Nr="23.8.1" Abbr="12 pr. 23.8.1 pp." DocPartId="dee36f8485b84ee78745d1e62d0ef87b" PartId="10c1aed1a6e44ea99fae9e1e5ee2f0e6"/>
          <Part Type="papunktis" Nr="23.8.2" Abbr="12 pr. 23.8.2 pp." DocPartId="a154422a1bb743959ec939424db3d7ce" PartId="8ef1aa65cd8b4bb1b4541bee03fd8cd4"/>
        </Part>
        <Part Type="papunktis" Nr="23.9" Abbr="12 pr. 23.9 pp." DocPartId="dba5a0b90c8e498f865db44316ba7257" PartId="e6ba5e0ec76a45688a319d730dbf0413"/>
        <Part Type="papunktis" Nr="23.10" Abbr="12 pr. 23.10 pp." DocPartId="bbcf03affe5d40abb725365dfb2900f3" PartId="a443ffde998f46e69a243f5a7ba41942"/>
        <Part Type="papunktis" Nr="23.11" Abbr="12 pr. 23.11 pp." DocPartId="1fd2ca14cc8c4a8a9d4528dc7ed5eb08" PartId="daecce9ef2c64104ab1d1f74879eda2c"/>
        <Part Type="papunktis" Nr="23.12" Abbr="12 pr. 23.12 pp." DocPartId="ad59281729024851b35c983913523352" PartId="5b15c798048e40998e1de33517c16562"/>
        <Part Type="papunktis" Nr="23.13" Abbr="12 pr. 23.13 pp." DocPartId="d60f37f9220c4d728fd1e1194521bc23" PartId="395705d6c6d543c5b37a6e3370f826eb"/>
        <Part Type="papunktis" Nr="23.14" Abbr="12 pr. 23.14 pp." DocPartId="51808cd2246c41c18d6c83fca86cdd41" PartId="af03487a1bba4d67b8f77ee5db88bc7e"/>
      </Part>
      <Part Type="punktas" Nr="24" Abbr="12 pr. 24 p." DocPartId="c6b822b87f924b84a6f6bce831319f3a" PartId="2e10b6c3105f4bf0a03dcadc2aca85eb">
        <Part Type="papunktis" Nr="24.1" Abbr="12 pr. 24.1 pp." DocPartId="390d46617b8c4d45823f3ea8fd0c2723" PartId="c682db752eb6435987782b7795a5a541">
          <Part Type="papunktis" Nr="24.1.1" Abbr="12 pr. 24.1.1 pp." DocPartId="38c7bf0af9644f32883683ef0660a64b" PartId="2ee986ef09144020aff38962e0bd3aba"/>
          <Part Type="papunktis" Nr="24.1.2" Abbr="12 pr. 24.1.2 pp." DocPartId="5d841a388f0e48d4ae4b40d2f0ad1f0c" PartId="359ec0d5d94b4eec87477b6f6e5d47eb"/>
        </Part>
        <Part Type="papunktis" Nr="24.2" Abbr="12 pr. 24.2 pp." DocPartId="ad9fc77119014645a6e906dfd92dfc50" PartId="f2e2de960d6c4f01811ddabedd572013"/>
        <Part Type="papunktis" Nr="24.3" Abbr="12 pr. 24.3 pp." DocPartId="547a2cc8497d425f818fc53689e3474c" PartId="201f1f1665bf40c58247b87b09e6af0d"/>
        <Part Type="papunktis" Nr="24.4" Abbr="12 pr. 24.4 pp." DocPartId="50f07cc17fd9412496c7b001983367eb" PartId="f0524ffc02d74e64bc753f5e50ede54a"/>
      </Part>
      <Part Type="punktas" Nr="25" Abbr="12 pr. 25 p." DocPartId="2f08ea8c04c14279949d4670f7fea84b" PartId="f65463c93a7a419a89d4433758972acc">
        <Part Type="papunktis" Nr="25.1" Abbr="12 pr. 25.1 pp." DocPartId="47e0995eb3f443caa913fa96b9b0d39f" PartId="4deaa2a6fd724495b87e54a3d766b9b6"/>
        <Part Type="papunktis" Nr="25.2" Abbr="12 pr. 25.2 pp." DocPartId="b0a7f82fa3b24b9eac1f1d1b5191ad94" PartId="7a4fdeac136d4811857d08d0f39ebdca"/>
        <Part Type="papunktis" Nr="25.3" Abbr="12 pr. 25.3 pp." DocPartId="64f4546ae16044a8989973a3af4763de" PartId="28f8b93c9fd64f1296689ea957fcfb2a"/>
        <Part Type="papunktis" Nr="25.4" Abbr="12 pr. 25.4 pp." DocPartId="3fdc5400ae0d4655b766061209fbf543" PartId="edbfb4cfe27f433f8b345813944c1662"/>
        <Part Type="papunktis" Nr="25.5" Abbr="12 pr. 25.5 pp." DocPartId="1b5fbfa62e6b4ed3aff2cf33f92e9aea" PartId="52ac02df431f47cf9672c2770f3bc447"/>
      </Part>
      <Part Type="punktas" Nr="26" Abbr="12 pr. 26 p." DocPartId="e3476718134046edb597bf2ff408dbed" PartId="ca47eac0396743148a4657879b481fb4"/>
    </Part>
    <Part Type="skyrius" Nr="4" Title="PRIEŠ PRIIMANT Į DARBĄ ATLIKTINI BŪTINIAUSI SVEIKATOS PATIKRINIMAI" DocPartId="1648f6182db64ae2acf815bb9a433501" PartId="6e50a3d78619408da2ea576eb6d3b0d1">
      <Part Type="punktas" Nr="27" Abbr="12 pr. 27 p." DocPartId="a84f5e608c4446098d0e606c14fd5439" PartId="adfbfc443b114e8cbd46684a5a802781"/>
      <Part Type="punktas" Nr="28" Abbr="12 pr. 28 p." DocPartId="1ea794be36ad46e9a6ec6dcecd321b91" PartId="7a0f6e8764d2400ab30913c27e017225">
        <Part Type="papunktis" Nr="28.1" Abbr="12 pr. 28.1 pp." DocPartId="017a8711b5824e43b2a4af2884c6ac1e" PartId="0a07aec1463c4121bf36543783a1c1c7">
          <Part Type="papunktis" Nr="28.1.1" Abbr="12 pr. 28.1.1 pp." DocPartId="a9427280b80d40099eb4cc82c956665b" PartId="fcde1892802f405a9c82c4d180f116a6"/>
          <Part Type="papunktis" Nr="28.1.2" Abbr="12 pr. 28.1.2 pp." DocPartId="85042ca103b6487f8529840ca9a59777" PartId="96ff51868d1346b6bab7513dcf182298"/>
          <Part Type="papunktis" Nr="28.1.3" Abbr="12 pr. 28.1.3 pp." DocPartId="72e11210d49b4f0e8ad0c2c8237b6bfd" PartId="c485632ad56742e9a016119901952931"/>
          <Part Type="papunktis" Nr="28.1.4" Abbr="12 pr. 28.1.4 pp." DocPartId="1322ac1678af4ac7920504f63c00e2f5" PartId="5f4caacd183b49d7bc9510ca24d565d5"/>
          <Part Type="papunktis" Nr="28.1.5" Abbr="12 pr. 28.1.5 pp." DocPartId="dc3d7cb1d3854b93b53c0475f7f8865d" PartId="75804ff98c334c7380a36d2f70130f10"/>
          <Part Type="papunktis" Nr="28.1.6" Abbr="12 pr. 28.1.6 pp." DocPartId="ee5bb286d6be4bfa98c42bd15e21c86d" PartId="461ee5c4d87f409ea0790dc29784e2ad">
            <Part Type="papunktis" Nr="28.1.6.1" Abbr="12 pr. 28.1.6.1 pp." DocPartId="f2453b2e9a974f96899c117944331c09" PartId="111af5f48ad94ab4938a283c526a8c91"/>
            <Part Type="papunktis" Nr="28.1.6.2" Abbr="12 pr. 28.1.6.2 pp." DocPartId="147c83e9702549fabde6cfbc9f9b40d4" PartId="c0ff4917df9c4df19111b86326dc3ce7"/>
          </Part>
          <Part Type="papunktis" Nr="28.1.7" Abbr="12 pr. 28.1.7 pp." DocPartId="fc0bf693c61f4a50830c5630dd82c145" PartId="02a16a42c5a74082ab8fdd75111a50ac"/>
        </Part>
        <Part Type="papunktis" Nr="28.2" Abbr="12 pr. 28.2 pp." DocPartId="3fdf2fe9ad084871b2ac5682dd203c73" PartId="12b37b8335ea4933b8fb50e9161bf662">
          <Part Type="papunktis" Nr="28.2.1" Abbr="12 pr. 28.2.1 pp." DocPartId="c15eabbc4eb34e20b85692b67bb6806b" PartId="559f34cf2df04b099c47f6ddabaa4be5"/>
          <Part Type="papunktis" Nr="28.2.2" Abbr="12 pr. 28.2.2 pp." DocPartId="3a7d9378a6f44ed8b276b2cbce86f043" PartId="187b1df02ac44862aca5db20f8b3d19d"/>
        </Part>
        <Part Type="papunktis" Nr="28.3" Abbr="12 pr. 28.3 pp." DocPartId="cc3c04858454496c85900029890b0a19" PartId="54906c3e37364d778ca9ceda8f0537fd">
          <Part Type="papunktis" Nr="28.3.1" Abbr="12 pr. 28.3.1 pp." DocPartId="96454fb4cfe340c28797e0b261c0c118" PartId="c334464fca15486195f0570e7f3cb599"/>
          <Part Type="papunktis" Nr="28.3.2" Abbr="12 pr. 28.3.2 pp." DocPartId="d28308a6a3a94346b84b11211d4a9bcd" PartId="54e93cf44b6a4603b422eef533b1162f"/>
          <Part Type="papunktis" Nr="28.3.3" Abbr="12 pr. 28.3.3 pp." DocPartId="bfceed993b2c468c93dbd0ed011b0fb2" PartId="55ba4e8b300649b8bd7de06d5996753c"/>
        </Part>
      </Part>
      <Part Type="punktas" Nr="29" Abbr="12 pr. 29 p." DocPartId="cfdd80ae2112453098769081c52bf9a1" PartId="29d943b8f48a495b8818f29f38573599">
        <Part Type="papunktis" Nr="29.1" Abbr="12 pr. 29.1 pp." DocPartId="b3c19a5155cb45179600df44b9f872a8" PartId="9628940eacd74077a7ae2a20cf213a32"/>
        <Part Type="papunktis" Nr="29.2" Abbr="12 pr. 29.2 pp." DocPartId="c816e4ad93b846d096e0af2cf27f6c00" PartId="f051b07493c844b498ada578a653c833"/>
        <Part Type="papunktis" Nr="29.3" Abbr="12 pr. 29.3 pp." DocPartId="1aac3c4ac35941f1bae5de313c73df9e" PartId="2392ae7c169b415280eea5c9e56435a9"/>
      </Part>
      <Part Type="punktas" Nr="30" Abbr="12 pr. 30 p." DocPartId="8d907b5ee4f24861bf8478a48f19c844" PartId="05065254a93048dba4c6335f8fe3f426"/>
      <Part Type="punktas" Nr="31" Abbr="12 pr. 31 p." DocPartId="56554344426d4b9db2b3c25eaba34a83" PartId="1dee15334bb54cabbafdf385583909af"/>
      <Part Type="punktas" Nr="32" Abbr="12 pr. 32 p." DocPartId="0c6ea299c5d34a66b803f719adc3ce1f" PartId="391a1d64129143b881dc7e90059f7128">
        <Part Type="papunktis" Nr="32.1" Abbr="12 pr. 32.1 pp." DocPartId="6f7486a2d3604a16a0bfa85d34d56090" PartId="9a17a1bca4d74b738ff295ffa78e1993">
          <Part Type="papunktis" Nr="32.1.1" Abbr="12 pr. 32.1.1 pp." DocPartId="2c682ffe41764a5496602c82afa7cfb8" PartId="89dfb75fe1fb4092bb87b7c64696d2ea"/>
          <Part Type="papunktis" Nr="32.1.2" Abbr="12 pr. 32.1.2 pp." DocPartId="6e8bed3728ac49dca5c58e067fa5b477" PartId="1f8298589d734309bf038dbbb4ff4e22"/>
          <Part Type="papunktis" Nr="32.1.3" Abbr="12 pr. 32.1.3 pp." DocPartId="b32d813ac4c541139fbb964ece8a205b" PartId="9180daba58b24a959c3dfbce2a49cdb8"/>
          <Part Type="papunktis" Nr="32.1.4" Abbr="12 pr. 32.1.4 pp." DocPartId="b4b09b91a3714a1a8d271239c709e0e8" PartId="eff23dccc61741fda738fed8e676abc9"/>
          <Part Type="papunktis" Nr="32.1.5" Abbr="12 pr. 32.1.5 pp." DocPartId="a065cd1639fb4185ace8aa0a75361471" PartId="7de2ab819c384775b00dfcb78b2986b4"/>
        </Part>
        <Part Type="papunktis" Nr="32.2" Abbr="12 pr. 32.2 pp." DocPartId="05ab195b947f414d9094423018cdfa5e" PartId="2d08a0ff3f1a4a5692339fe7e0e59b74"/>
        <Part Type="papunktis" Nr="32.3" Abbr="12 pr. 32.3 pp." DocPartId="c80f848f0d9b4d0da82958af303eb067" PartId="404be7e83b794d64bee2d9fb39348143"/>
        <Part Type="papunktis" Nr="32.4" Abbr="12 pr. 32.4 pp." DocPartId="e7f396b5510948e2af2be0352e5f5ebf" PartId="83db3fe25afd410b811e3e1e7f169919"/>
      </Part>
      <Part Type="punktas" Nr="33" Abbr="12 pr. 33 p." DocPartId="347a909864234ddea89d3e3f11289a80" PartId="756741070aee474a844b8789bde3fd31">
        <Part Type="papunktis" Nr="33.1" Abbr="12 pr. 33.1 pp." DocPartId="0e3d76227943407ca7ddf0cff7e15454" PartId="a1ea04ffba404ca3af36b8d025a211ac"/>
        <Part Type="papunktis" Nr="33.2" Abbr="12 pr. 33.2 pp." DocPartId="86abf6447efc4e50a6d5b4c4cd264c55" PartId="183372b0fd9d4b6888f66b01f0907c36"/>
      </Part>
      <Part Type="punktas" Nr="34" Abbr="12 pr. 34 p." DocPartId="5ff94d00b7d14c8fb3326981003ebca6" PartId="04accbda376c4644ae43dada1db4a33d"/>
    </Part>
    <Part Type="skyrius" Nr="5" Title="PERIODINIO PRIVALOMO SVEIKATOS PATIKRINIMO REIKALAVIMAI" DocPartId="804048cc71174ded99e6ea15e1925f4f" PartId="833f3a42c09b47d8ab6dca57aaf4ad4e">
      <Part Type="punktas" Nr="35" Abbr="12 pr. 35 p." DocPartId="48df319e5a4c41a4b94c0c4df6378a0f" PartId="bfcfa96c47d64bbab0ecf98755712b1e">
        <Part Type="papunktis" Nr="35.1" Abbr="12 pr. 35.1 pp." DocPartId="19684ffcf0b3418b91f80ceeb5f55ccd" PartId="4023e316f4f44a66bb4bb8cb88de7abc"/>
        <Part Type="papunktis" Nr="35.2" Abbr="12 pr. 35.2 pp." DocPartId="94b81a0469ae4114b4381c8f17dc22c4" PartId="142dd82e7d584f52962e56dd89825ee5"/>
        <Part Type="papunktis" Nr="35.3" Abbr="12 pr. 35.3 pp." DocPartId="1f199d0d698246fd9b0844839a26920b" PartId="bdaf7e5c072d4a8c8e70dbf5cf2b5917"/>
        <Part Type="papunktis" Nr="35.4" Abbr="12 pr. 35.4 pp." DocPartId="453ea9ad27b849be83cf64a34711929c" PartId="50cb512062b143c689fe0e53a505f0d3"/>
        <Part Type="papunktis" Nr="35.5" Abbr="12 pr. 35.5 pp." DocPartId="93f4c89ddfea4086b7612cf92784ca3e" PartId="82c281d2f222415fa38f92419a942a8a">
          <Part Type="papunktis" Nr="35.5.1" Abbr="12 pr. 35.5.1 pp." DocPartId="43fcb3db5baa45908a1df42f9b41e485" PartId="d81cfdfbf8a040159bab15d05082c3e5"/>
          <Part Type="papunktis" Nr="35.5.2" Abbr="12 pr. 35.5.2 pp." DocPartId="7338280bf5bf4e44b3c4f75ff500c38c" PartId="3482922fdca240cab969b272a8d1755a"/>
          <Part Type="papunktis" Nr="35.5.3" Abbr="12 pr. 35.5.3 pp." DocPartId="96d757ed8fcd409eae01cbbfd4238386" PartId="4d622430717445b78dbe29bc829b6572"/>
          <Part Type="papunktis" Nr="35.5.4" Abbr="12 pr. 35.5.4 pp." DocPartId="24738492b9454d2aa188f29d21c97328" PartId="79006177b00741c1876db3ac5a0edd91"/>
        </Part>
      </Part>
      <Part Type="punktas" Nr="36" Abbr="12 pr. 36 p." DocPartId="1873f49cca3b40fe986852f9e08db9bd" PartId="2dc3af7490f14506b89ab74bcced153e">
        <Part Type="papunktis" Nr="36.1" Abbr="12 pr. 36.1 pp." DocPartId="3fde1c424bb54dbaa29c5c80bea0a0ba" PartId="50e0d77d30634a3887ea05bf99f0e137"/>
        <Part Type="papunktis" Nr="36.2" Abbr="12 pr. 36.2 pp." DocPartId="64cff18514584c9d9d1f8fa537f5c029" PartId="1132ca1bd0a9405f9a1c8f9a71a3c0a1"/>
        <Part Type="papunktis" Nr="36.3" Abbr="12 pr. 36.3 pp." DocPartId="951c2cd0bd4e4dbe8d369fab459ff0a1" PartId="472778f8a5224630acf40a56b0168f32"/>
        <Part Type="papunktis" Nr="36.4" Abbr="12 pr. 36.4 pp." DocPartId="dcd792c0e5124bfc8361ea01dfa706d8" PartId="98e3cf20aee14789ae66c9bd9eef3917"/>
        <Part Type="papunktis" Nr="36.5" Abbr="12 pr. 36.5 pp." DocPartId="4b0ca4a9dfd64145b7930465d6041124" PartId="506eb6e6b78d4db6842f3147136ae34d"/>
        <Part Type="papunktis" Nr="36.6" Abbr="12 pr. 36.6 pp." DocPartId="d616f73f8ada4d2891167d689ba32ae1" PartId="d0fb5c9d141749b68750af995ed89b4e"/>
        <Part Type="papunktis" Nr="36.7" Abbr="12 pr. 36.7 pp." DocPartId="f8e9949d35df4195a0b584603c652e0b" PartId="866044860ae848a188a8e625a4e62e51"/>
      </Part>
    </Part>
    <Part Type="skyrius" Nr="6" Title="BAIGIAMOSIOS NUOSTATOS" DocPartId="dcb23bfb8bc844c0bd3d768683a63e29" PartId="5068e0895c2e4fa2835e9d18514fa4e6">
      <Part Type="punktas" Nr="37" Abbr="12 pr. 37 p." DocPartId="b2e13d44dd6844aeb8dd617c0bd30e49" PartId="f3c2f2973be34974bff285b0841d5204"/>
      <Part Type="punktas" Nr="38" Abbr="12 pr. 38 p." DocPartId="9d6d7b4535934c7e96e8a6f452f1d109" PartId="24db75b65785484380e55064df5f7efa"/>
      <Part Type="punktas" Nr="39" Abbr="12 pr. 39 p." DocPartId="02ffcd66920e482686c2056797ade631" PartId="7b327be1141a4af9801229710280b573"/>
      <Part Type="punktas" Nr="40" Abbr="12 pr. 40 p." DocPartId="e956ed3518bc4e328b656f51cb0652ba" PartId="a3d82b2ce09c4dc5a714f411d6dc4c8e"/>
      <Part Type="punktas" Nr="41" Abbr="12 pr. 41 p." DocPartId="f8e14cc674d3468ea04ccb0275172e23" PartId="7d88dd7780fc4ef8aa3edd7f28528474"/>
    </Part>
    <Part Type="pabaiga" DocPartId="0e523f36f02a4aca95fedfc00f192790" PartId="28dc116ae5814f97b793174ace06e61e"/>
  </Part>
  <Part Type="lentele" Nr="1" Title="KONTRAINDIKACIJOS, TAIKOMOS ASMENIMS, PRIEŠ PRIIMANT Į MOKYMO ĮSTAIGĄ ARBA Į DARBĄ, ARBA DIRBANTIEMS TRAUKINIO MAŠINISTAIS" DocPartId="784e211e90a0442e97858d40fba15ca5" PartId="d9f06a71aefd43cd958038c1762c8543">
    <Part Type="pabaiga" DocPartId="d35df1d0b7284573883d508dcdf082fd" PartId="427c9a40825445dab7b3aef59832eb0e"/>
  </Part>
  <Part Type="lentele" Nr="2" Title="TRAUKINIO MAŠINISTO GARBĖS DEKLARACIJA (SVEIKATOS PATIKRINIMO KLAUSIMYNAS)" DocPartId="b893400999f4430a9920b40f5d257f10" PartId="a37fe52ad1244cbf8e16430bc460d543">
    <Part Type="pabaiga" DocPartId="1f6e38946922421db4e490ca86884daa" PartId="ec8ff8777386419aaec669859b59440b"/>
  </Part>
  <Part Type="priedas" Nr="13" Abbr="13 pr." Title="ASMENŲ, DIRBANČIŲ DARBO APLINKOJE, KURIOJE GALIMA PROFESINĖ RIZIKA (KENKSMINGŲ VEIKSNIŲ POVEIKIS IR (AR) PAVOJINGAS DARBAS), PRIVALOMO SVEIKATOS TIKRINIMO TVARKOS APRAŠAS" DocPartId="a665bb884ec043e7936f77c673fc2492" PartId="b101185e35f745a2afbf4472d2c10920">
    <Part Type="skyrius" Nr="1" Title="BENDROSIOS NUOSTATOS" DocPartId="ae9014495e994994a06703c2fab0796d" PartId="5f06be7b7457448182516d0cc4b48329">
      <Part Type="punktas" Nr="1" Abbr="13 pr. 1 p." DocPartId="b719bc1c94f448a6808d0a18da709156" PartId="41be27b444ff4b2fb994620af8dd4310"/>
      <Part Type="punktas" Nr="2" Abbr="13 pr. 2 p." DocPartId="42b069b0d296470fa1809f297d661238" PartId="cdff958ff76f44e9a2f2b5d9532b319d"/>
      <Part Type="punktas" Nr="3" Abbr="13 pr. 3 p." DocPartId="40a1ed09eca046bba1c0f685505a2e47" PartId="349fd1768c8242ebaf240b0f5d93352d"/>
      <Part Type="punktas" Nr="4" Abbr="13 pr. 4 p." DocPartId="81492ac278ab438eaabbc3fcbf432f90" PartId="c5c12852c3664cb19878a10e03f90cb8"/>
      <Part Type="punktas" Nr="5" Abbr="13 pr. 5 p." DocPartId="75f621dec49d4982ad435bba864496d7" PartId="28dfbc2a02c04180ab5b358d2f327581">
        <Part Type="punktas" Nr="5.1" Abbr="13 pr. 5.1 p." DocPartId="f5d19306e4bc4efaa1b4a0569c8c2eeb" PartId="9c024c3a8ce94270b36acac793660938"/>
        <Part Type="punktas" Nr="5.2" Abbr="13 pr. 5.2 p." DocPartId="1f28c6d2834d4b3dae703930fc9476af" PartId="2891d33f5d3949dbb20a75777abe1726"/>
        <Part Type="punktas" Nr="5.3" Abbr="13 pr. 5.3 p." DocPartId="8539d7523bb74367b93d55ac23772fe6" PartId="07eb0034cc7e44df90b634cbf4099105"/>
        <Part Type="punktas" Nr="5.4" Abbr="13 pr. 5.4 p." DocPartId="e2764847f6a947c0b3a270d66e83bc62" PartId="444282bd612d41c0acc3cc9d61d1269e"/>
      </Part>
      <Part Type="punktas" Nr="6" Abbr="13 pr. 6 p." DocPartId="d06d82edad094090a22ad95b694b7f13" PartId="a749b58c9b384a1189eae48242a4777d"/>
    </Part>
    <Part Type="skyrius" Nr="2" Title="PRIVALOMO SVEIKATOS TIKRINIMO TVARKA" DocPartId="6c285bd91ded46df8f09bde7e4995783" PartId="9ebb2ce01cc84154a4908eb5fd2cca07">
      <Part Type="punktas" Nr="7" Abbr="13 pr. 7 p." DocPartId="30680798527648cfa6c2736827734f05" PartId="32a4cc2ce30b44ab8c51914a52c15d1f">
        <Part Type="punktas" Nr="7.1" Abbr="13 pr. 7.1 p." DocPartId="9913f58f45124fea8bb0bb9916b4f248" PartId="85c087a482b04a348ab0092b594ce724"/>
        <Part Type="punktas" Nr="7.2" Abbr="13 pr. 7.2 p." DocPartId="0cf292a12d6a4ba8adbe3393a40ea9aa" PartId="61682c05cf454b8a870f1756fb58ea64"/>
        <Part Type="punktas" Nr="7.3" Abbr="13 pr. 7.3 p." DocPartId="b0ab1b8ab8844126b4e08274153934f5" PartId="a26b63efab0e4781abed941e26b39f1b"/>
        <Part Type="punktas" Nr="7.4" Abbr="13 pr. 7.4 p." DocPartId="0049d2997ca94b89b7c3d2cc3dafeab5" PartId="8aecf1a8f76d45698c53f4d4ff73e0b8"/>
        <Part Type="punktas" Nr="7.5" Abbr="13 pr. 7.5 p." DocPartId="d3a9f71fe5964dbaad7df6dbb3e8e065" PartId="993fea31494f4f9d8624d2442b99dbe5"/>
      </Part>
      <Part Type="punktas" Nr="8" Abbr="13 pr. 8 p." DocPartId="57a71d9430934e508d250d8005253f99" PartId="fc6c45806ee040729bf833f15545695c"/>
      <Part Type="punktas" Nr="9" Abbr="13 pr. 9 p." DocPartId="acaf84c5085b4b4b8717bc713bedf7ab" PartId="2ff4ab6837be459aabb1d06417a4934c">
        <Part Type="punktas" Nr="9.1" Abbr="13 pr. 9.1 p." DocPartId="a86efe8c450c488dacf42335aaab5825" PartId="ea9b77c0747041d481b019b8da03e7df"/>
        <Part Type="punktas" Nr="9.2" Abbr="13 pr. 9.2 p." DocPartId="73c46465f1524d088a7d06b8c3496464" PartId="24a1969a2bfb4d88a3796141424a3826"/>
        <Part Type="punktas" Nr="9.3" Abbr="13 pr. 9.3 p." DocPartId="c6f0ec3b47d74723b34182dedd9f1131" PartId="48bda42fb75b4ea79b87139ced7ca5f3"/>
        <Part Type="punktas" Nr="9.4" Abbr="13 pr. 9.4 p." DocPartId="2307bd7931c54a449494c5c130ac4abf" PartId="8c8fcee348574820be1040944d63d890"/>
        <Part Type="papunktis" Nr="9.5" Abbr="9.5 pp." DocPartId="eb8fcbc1df6d47f585396b858e119f3f" PartId="c418961bc12249fb98eb0f29c3c15b10"/>
      </Part>
      <Part Type="punktas" Nr="10" Abbr="13 pr. 10 p." DocPartId="183319e4171c4e55af316db0e8a6b844" PartId="ec32ceb8b0e847ab9d3266b313649c3d">
        <Part Type="punktas" Nr="10.1" Abbr="13 pr. 10.1 p." DocPartId="559eabb679944498a63f58c369856341" PartId="81dd46e298504a81a1a0dab5eee966cc"/>
        <Part Type="punktas" Nr="10.2" Abbr="13 pr. 10.2 p." DocPartId="e8b509baa1c64a5cbf3c41a2385ee4f9" PartId="a65127d43b924d68928beace3d0e578e"/>
        <Part Type="punktas" Nr="10.3" Abbr="13 pr. 10.3 p." DocPartId="c00f46a13681427286bcedda2211daf3" PartId="22774cdfd4af40a9b6eadb1ddc0597ed"/>
        <Part Type="punktas" Nr="10.4" Abbr="13 pr. 10.4 p." DocPartId="1612858aa219479c96793522dc4c8af2" PartId="6f6426ca9d53490dba3127077b716561"/>
      </Part>
      <Part Type="punktas" Nr="11" Abbr="13 pr. 11 p." DocPartId="594cd81cd0bc482487f228adddb36a8b" PartId="969a7b4f91f74f4da923f3504c7e3d30"/>
      <Part Type="punktas" Nr="12" Abbr="13 pr. 12 p." DocPartId="8db55781ba5a4c9ea91ec273849b4609" PartId="e6017dafec2b42bc9b6528846b8eab89"/>
      <Part Type="punktas" Nr="13" Abbr="13 pr. 13 p." DocPartId="5c80f85334ef4775bf6cbaa125a1caed" PartId="f7d9d10e0ed54428982d701534bc7025"/>
      <Part Type="punktas" Nr="14" Abbr="13 pr. 14 p." DocPartId="47b5921b74384ec0b688e8ee2fb5640b" PartId="57d9d70244934bd282542798d790af49"/>
      <Part Type="punktas" Nr="15" Abbr="13 pr. 15 p." DocPartId="bd7b185fef614998b870a125626769e3" PartId="d06974d490d44256973f10c2e9473188"/>
      <Part Type="punktas" Nr="16" Abbr="13 pr. 16 p." DocPartId="b7ed9d86cc984c8f9ae485f9f6698bc5" PartId="eb291956967e46549038a277e255779f"/>
      <Part Type="punktas" Nr="17" Abbr="13 pr. 17 p." DocPartId="84c36619c9b54f1b8cc786692f207e4a" PartId="215ed7b52a1044edae884ba078e5063f">
        <Part Type="punktas" Nr="17.1" Abbr="13 pr. 17.1 p." DocPartId="1b01d388e0c14abca4f38c4ea058896c" PartId="9bfaf8fceec64882ba793ce1c455e0da"/>
        <Part Type="punktas" Nr="17.2" Abbr="13 pr. 17.2 p." DocPartId="90d8fb43de6b436da6892af7873e25b7" PartId="4fb737dfe0a34e1db3ba3f6c9ffef544"/>
        <Part Type="punktas" Nr="17.3" Abbr="13 pr. 17.3 p." DocPartId="c2845a653cf9452c9b34600bc80fb6fe" PartId="22ed9193e9b04a2584cb896fabcb2248"/>
        <Part Type="punktas" Nr="17.4" Abbr="13 pr. 17.4 p." DocPartId="8164bd4efa5b4af5a6e64d8748e6a370" PartId="91f52745d0b24fe6bca5366c9f17366d"/>
        <Part Type="punktas" Nr="17.5" Abbr="13 pr. 17.5 p." DocPartId="8058af85913b4044a1b059f7e7382d11" PartId="72184eebbac24ed9bd3179ff90cd5be6"/>
        <Part Type="punktas" Nr="17.6" Abbr="13 pr. 17.6 p." DocPartId="8fdb2d90d23d493084cf85fd488c7474" PartId="c0a9f321358940f58657503fbdcb3353"/>
      </Part>
      <Part Type="punktas" Nr="18" Abbr="13 pr. 18 p." DocPartId="6cc3df896cea4e0cad64a56a60a8d45f" PartId="6f3bf7521a794d05b56dea416a12e9a8"/>
      <Part Type="punktas" Nr="19" Abbr="13 pr. 19 p." DocPartId="6b938baf89104e6ca87b31c8a52c6519" PartId="a3d877e0cd114ec892d3b01867b1eae1">
        <Part Type="papunktis" Nr="19.1" Abbr="19.1 pp." DocPartId="9edb485ad67c42398f80f78422ba7f67" PartId="cb8ee80f82084bbdb61b058855fd2eb7"/>
        <Part Type="papunktis" Nr="19.2" Abbr="19.2 pp." DocPartId="d9d6907d6ab44feba4e3c6224f380d13" PartId="9bcbc80f0fb3408590d5644c6802337a"/>
        <Part Type="papunktis" Nr="19.3" Abbr="13 pr. 19.3 pp." DocPartId="ea82319a690b40ac824144f9602bd27b" PartId="b96c42fcf15d4169a0fe0e910a61fb38"/>
      </Part>
      <Part Type="punktas" Nr="19-1" Abbr="13 pr. 19-1 p." DocPartId="53fe2a66ed2546f7878ae649522397c8" PartId="fa03475a15524312a30b2ded0d959143"/>
    </Part>
    <Part Type="skyrius" Nr="3" Title="LIGŲ IR SVEIKATOS PROBLEMŲ, DĖL KURIŲ DRAUDŽIAMA DIRBTI DARBO APLINKOJE PROFESINĖS RIZIKOS (KENKSMINGŲ VEIKSNIŲ POVEIKIS IR (AR) PAVOJINGAS DARBAS) SĄLYGOMIS, SĄRAŠAS (BENDROSIOS KONTRAINDIKACIJOS)" DocPartId="22e85093c37141aca93dde7655fd56bc" PartId="8a420506ee0a4fb88ef17ae34c237da7">
      <Part Type="punktas" Nr="20" Abbr="13 pr. 20 p." DocPartId="a62f7bf3d51148f4a018efe25bb55b29" PartId="a32bbbff8bc540388f7566efa337bbda">
        <Part Type="punktas" Nr="20.1" Abbr="13 pr. 20.1 p." DocPartId="341ae1b0216a4553a55f0850611d5e79" PartId="f3ff7fc5cb6148c1b8d9b674b972d7e4"/>
        <Part Type="punktas" Nr="20.2" Abbr="13 pr. 20.2 p." DocPartId="285c3c7ae1d64bd1903e974e19e95b96" PartId="0760fe57aca0494bb634378c2bbb791d"/>
        <Part Type="punktas" Nr="20.3" Abbr="13 pr. 20.3 p." DocPartId="36258db585ec4fa486dc7ed71d8aa615" PartId="6cd69d21c5d24a6096b7b5f2a2e485d9"/>
        <Part Type="punktas" Nr="20.4" Abbr="13 pr. 20.4 p." DocPartId="0c71c3b6e061419182c472ec9110504e" PartId="264cdf4e07434a5595db188583ec76f1"/>
      </Part>
      <Part Type="punktas" Nr="21" Abbr="13 pr. 21 p." DocPartId="f94b787c18bf4579a9553294d7309fbf" PartId="b0b1c7185578481384e00309f53d421a">
        <Part Type="punktas" Nr="21.1" Abbr="13 pr. 21.1 p." DocPartId="ce2ac75aea0547ccbb4d061b9ff61628" PartId="db62ee7a076749e9af6cbafa7e4cfaaa"/>
        <Part Type="punktas" Nr="21.2" Abbr="13 pr. 21.2 p." DocPartId="f70af44825c44123a10730f695fc8b91" PartId="125b5bc5b4c44b32a2a1451cbc526b70"/>
        <Part Type="punktas" Nr="21.3" Abbr="13 pr. 21.3 p." DocPartId="c71de8a5d1704685b9006b5ad53bfe78" PartId="405e8d2ecb8f4734822551ff84b4b516"/>
        <Part Type="punktas" Nr="21.4" Abbr="13 pr. 21.4 p." DocPartId="2a09036f493542a4baf03b02548d3d68" PartId="2c81ac40b1c44e86aa26ae147f7cc17a">
          <Part Type="punktas" Nr="21.4.1" Abbr="13 pr. 21.4.1 p." DocPartId="d64ef0dbbcbf49bc94109baf93add6f7" PartId="93c5d6bfcb0742ed822492029b065179"/>
          <Part Type="punktas" Nr="21.4.2" Abbr="13 pr. 21.4.2 p." DocPartId="feca1d51fbc941ed96faeb227756fe6d" PartId="0fe85792ae6e4bfdbe3805b5d204553a"/>
          <Part Type="punktas" Nr="21.4.3" Abbr="13 pr. 21.4.3 p." DocPartId="a4f7cf9f3b4449038a826fe34099ccc6" PartId="2a50b04df63f4a5babea9a29bd99e5b5"/>
        </Part>
        <Part Type="punktas" Nr="21.5" Abbr="13 pr. 21.5 p." DocPartId="5a97c8bddf8240d8bdc6b43c5a1894ab" PartId="b4e6ce34c8bb4751a0a428b32d999392"/>
        <Part Type="punktas" Nr="21.6" Abbr="13 pr. 21.6 p." DocPartId="243eb3aaf3e54e31a3654060aaa5f1f8" PartId="8975c739c00049deafc0283be38ec3e8"/>
      </Part>
    </Part>
    <Part Type="skyrius" Nr="4" Title="BAIGIAMOSIOS NUOSTATOS" DocPartId="6364f87fe51247ed8865205f69c610ad" PartId="b5c728a06ab44851b2568b63233e8a70">
      <Part Type="punktas" Nr="22" Abbr="13 pr. 22 p." DocPartId="e2f60361aeeb4a7b80f5ee7e49e12f36" PartId="6fe199d2046d4464a9a88571df9276ed"/>
      <Part Type="punktas" Nr="23" Abbr="13 pr. 23 p." DocPartId="b2c502bd55224b3d96f55faa8ee2216e" PartId="c8e8cb92b08a4264a5e588d5afe4bfbb"/>
      <Part Type="punktas" Nr="24" Abbr="13 pr. 24 p." DocPartId="dd6f8d7ffce2442d8342cfb8ba54ca70" PartId="29610328ceef454b8ee05c4fff66e229"/>
      <Part Type="punktas" Nr="25" Abbr="13 pr. 25 p." DocPartId="1689c2f61b544607a89105d72235b50a" PartId="192ea6384b5a4f40a7fcc02496f0d619"/>
      <Part Type="punktas" Nr="26" Abbr="13 pr. 26 p." DocPartId="ac3f5f8b2857431199dc023b8be5730d" PartId="2343db4f87854c02bf94ee33b551d36c"/>
      <Part Type="punktas" Nr="27" Abbr="13 pr. 27 p." DocPartId="fa1ffa994ce6473484ea153aa520ddab" PartId="2c3677f1232d494983ffdf60d08d784b"/>
      <Part Type="punktas" Nr="28" Abbr="13 pr. 28 p." DocPartId="c2b35c69aa7845bc93c960d3e4f37d63" PartId="90a81f93255b488390317978c46725a4"/>
      <Part Type="punktas" Nr="29" Abbr="13 pr. 29 p." DocPartId="e606bd45af99426d968b5610f7221d66" PartId="54cf3303a93442c69da2581b7bf3ad43"/>
      <Part Type="punktas" Nr="30" Abbr="13 pr. 30 p." DocPartId="c5855d15a06a4797be5a3556869e5e5d" PartId="45766f2e2e1f4880a4b0132b5970d7ed"/>
      <Part Type="punktas" Nr="31" Abbr="13 pr. 31 p." DocPartId="435357ad3d3e41c9b547c52a1e8d027d" PartId="01bfcdd64dd74bc9b0c2893e6dc6c605"/>
      <Part Type="punktas" Nr="32" Abbr="13 pr. 32 p." DocPartId="b4b27b9e5b42472fb882909879a2613d" PartId="7861c5eb2fbb4d258dc58640112de86e"/>
      <Part Type="punktas" Nr="33" Abbr="13 pr. 33 p." DocPartId="bbcf1a613189404db8921b2fb50c3c18" PartId="f68e0d66bc1d4b57a460d6ec957df00c"/>
      <Part Type="lentele" Nr="1" DocPartId="68c03ab3af1e4a819e23fd442b431297" PartId="3499587077194d49878499fb7fc83cd6"/>
      <Part Type="lentele" Nr="2" DocPartId="5ed6fab794e84cbba18b948369d94066" PartId="c12415770c504feaa9af4b3be98e5e12"/>
      <Part Type="lentele" Nr="3" Title="PAVYZDINIS PROTOKOLAS" DocPartId="8829b828000a4c39a39d6d9d3eb62fc1" PartId="fe84a7c8da6649f5ae31ab99e5f9a70c">
        <Part Type="skirsnis" Title="PROTOKOLAS" DocPartId="cd919f96e70a43b680d87b696e68371b" PartId="89c0df95c14c4cd1819ea8a6dc04edb7">
          <Part Type="punktas" Nr="200" Abbr="13 pr. 200 p." DocPartId="a58f46b8285d49089b9c9ceb75f9fa58" PartId="be0958740bd147479ef6b8addb801973"/>
        </Part>
        <Part Type="skirsnis" Title="Dėl asmenų, dirbančių galimos profesinės rizikos sąlygomis, sveikatos tikrinimo" DocPartId="b8e2230101224245b8b7bdb4c9f94ff5" PartId="4d3e7ca4abf24c3393f54bac95296bc3">
          <Part Type="punktas" Nr="1" Abbr="13 pr. 1 p." DocPartId="72109f715e1f4eb1b439856d6362811a" PartId="b73a34da9ca44c2881405de7ac62184c"/>
          <Part Type="punktas" Nr="2" Abbr="13 pr. 2 p." DocPartId="fb9bd4ac02c84f739b2b0ec1cf4e5f6a" PartId="ad7c93319de54f1da04fb75c50f4fb3c"/>
          <Part Type="punktas" Nr="3" Abbr="13 pr. 3 p." DocPartId="00459188ecbc4f0c8a7837113df3ff5b" PartId="adb6e8e62ec844cfb39e03130ff62487"/>
          <Part Type="punktas" Nr="4" Abbr="13 pr. 4 p." DocPartId="a44792d363c04b3ca9b79197b3a30810" PartId="31470062180c4d71b3f5d7f7b735a64d">
            <Part Type="punktas" Nr="4.1" Abbr="13 pr. 4.1 p." DocPartId="de45b15be89548b9af55bf18ca5cced9" PartId="f59816ec77884423b6c9571ff20a5ac3"/>
            <Part Type="punktas" Nr="4.2" Abbr="13 pr. 4.2 p." DocPartId="6475f83a2a9d426baccc05c44a5312f9" PartId="deb46bf600d24d2090065763213bfbf6"/>
            <Part Type="punktas" Nr="4.3" Abbr="13 pr. 4.3 p." DocPartId="511869ecda8945aea0e4d6db0b1fe422" PartId="2984e5fe057947eab12160cf989c762e"/>
          </Part>
        </Part>
        <Part Type="pabaiga" DocPartId="96162ab611124aa4a4177e6e63a32b42" PartId="f9964173ee2a4b89a1a3afa977e4b92e"/>
      </Part>
    </Part>
  </Part>
  <Part Type="priedas" Nr="14" Abbr="14 pr." Title="ASMENŲ, KURIEMS LEIDŽIAMA DIRBTI TIK IŠ ANKSTO PASITIKRINUS IR VĖLIAU PERIODIŠKAI BESITIKRINANTIEMS SVEIKATĄ DĖL UŽKREČIAMŲJŲ LIGŲ, SVEIKATOS TIKRINIMO TVARKA" DocPartId="5a7c5d4dcb0f44ff9583e250e0ac90c6" PartId="2fdcd7c0cfd84c7b9b74f1415695a5bb"/>
  <Part Type="priedas" Nr="15" Abbr="15 pr." Title="„GYDYTOJŲ, NORINČIŲ GAUTI MEDICINOS PRAKTIKOS LICENCIJĄ, SVEIKATOS TIKRINIMO TVARKA“" DocPartId="da428097ad304c3b917c63a7b9cd59fe" PartId="ad4efd8c177b4a289b600a2975af93d6"/>
  <Part Type="priedas" Nr="16" Abbr="16 pr." Title="ASMENŲ, NORINČIŲ BŪTI ADVOKATAIS, SVEIKATOS TIKRINIMO TVARKA" DocPartId="972d96aff5b140328c87cbb94e6d9132" PartId="7ad791ab7dd94f85be58aa9d4360274a"/>
  <Part Type="priedas" Nr="17" Abbr="17 pr." Title="ASMENŲ, NORINČIŲ SUSITUOKTI, SVEIKATOS TIKRINIMO TVARKA" DocPartId="20707f64cac9423399bf3dc8f67ac8cb" PartId="8b0d19f6b5e94bb7ae372cc42e2efe46">
    <Part Type="punktas" Nr="1" Abbr="17 pr. 1 p." DocPartId="35eb2e2f8d78493282df2316deebcd41" PartId="8968eaa6cd5045f09329620d6ea9d1ff"/>
    <Part Type="punktas" Nr="2" Abbr="17 pr. 2 p." DocPartId="a81366ed222e4457bf0b6e311ec7e943" PartId="4196ae8d5fba4079b5f1fc78144a4f50"/>
  </Part>
  <Part Type="priedas" Nr="18" Abbr="18 pr." Title="PROFILAKTINIŲ SVEIKATOS TIKRINIMŲ, UŽ KURIUOS MOKA PATS DARBUOTOJAS, DARBDAVYS AR KITI ASMENYS, KAINŲ SĄRAŠAS" DocPartId="c84ba4b4f0764c449991f18e6019364e" PartId="c9fbee2fbb374148a1aad8071661e4ff"/>
  <Part Type="priedas" Nr="19" Abbr="19 pr." Title="AMBULATORINIŲ SLAUGOS IR AKUŠERIJOS ANKSTYVOSIOS INTERVENCIJOS PASLAUGŲ ŠEIMOMS TEIKIMO REIKALAVIMŲ TVARKOS APRAŠAS" DocPartId="a6804cfc98f44d0a8871f3357e8eb800" PartId="53cf551dfe634e139bc01a235fa94131">
    <Part Type="skyrius" Nr="1" Title="BENDROSIOS NUOSTATOS" DocPartId="f2bbd3b298df4b158d88f6eb28041116" PartId="9d2620b321894f3d8dae5656988db748">
      <Part Type="punktas" Nr="1" Abbr="19 pr. 1 p." DocPartId="517eb8c42c8842a5b4943efb25713784" PartId="0e646788d7c049a7901995b088f6c307"/>
      <Part Type="punktas" Nr="2" Abbr="19 pr. 2 p." DocPartId="d38d4b1bd351409d88b13334e37ca4eb" PartId="6e6221fa225a43de9f36cefac8cbe88b">
        <Part Type="papunktis" Nr="2.1" Abbr="19 pr. 2.1 pp." DocPartId="bd95d8a1d48e441388c20317229f6779" PartId="2867305f39404669bcd8d00ac7943c98"/>
        <Part Type="papunktis" Nr="2.2" Abbr="19 pr. 2.2 pp." DocPartId="ed21de7622674027a68224e54578dc73" PartId="db5c15f403d84937a259f9a0f17e1805"/>
        <Part Type="papunktis" Nr="2.3" Abbr="19 pr. 2.3 pp." DocPartId="b179565c1c4d4933914c73140e6b348f" PartId="fda79335a5e54f59bc158d1cb57656d9"/>
        <Part Type="papunktis" Nr="2.4" Abbr="19 pr. 2.4 pp." DocPartId="8ab27a919ec64a18af99c427b0a0664b" PartId="b82eb301f1f548749308b71cf62e5d2d"/>
      </Part>
      <Part Type="punktas" Nr="3" Abbr="19 pr. 3 p." DocPartId="787e8a6447654b90856c91f2236d3d62" PartId="41b7cf33bc014a6a8330e80425b341f2"/>
    </Part>
    <Part Type="skyrius" Nr="2" Title="REIKALAVIMAI SPECIALISTAMS IR PATALPOMS" DocPartId="4cdc792210eb4423b0500d0237e754e1" PartId="fac5d8ad3ca1441aaa0578e48e6d9fbc">
      <Part Type="punktas" Nr="4" Abbr="19 pr. 4 p." DocPartId="2081174f9d0243e9abfb53bff5f73cb2" PartId="d0ee0c955bf84465b4c9cf732ef21755"/>
      <Part Type="punktas" Nr="5" Abbr="19 pr. 5 p." DocPartId="559efad926184d50bbe1576cdc299f4e" PartId="fbae2e8659174fe7911e96abb13b9d62">
        <Part Type="papunktis" Nr="5.1" Abbr="19 pr. 5.1 pp." DocPartId="fb986d0a09cb4838bbb897ee1d3c1a02" PartId="ce5cb421a7e149fb913463784ef3000e"/>
        <Part Type="papunktis" Nr="5.2" Abbr="19 pr. 5.2 pp." DocPartId="ec11a44a7c0c417386b60653c7adc85c" PartId="5d68f5fcbb864f4aa77d3e0cba6ff517"/>
        <Part Type="papunktis" Nr="5.3" Abbr="19 pr. 5.3 pp." DocPartId="e3125a3cad4541e888c2f6c0cb95a2ae" PartId="d0137727167e4c3c8878cd7dd313c7e8"/>
      </Part>
    </Part>
    <Part Type="skyrius" Nr="3" Title="REIKALAVIMAI MEDICINOS PRIEMONĖMS (PRIETAISAMS) IR KITOMS DARBO PRIEMONĖMS" DocPartId="2e2ea4dae7c14bd796ea04c101b2995e" PartId="4978185419284edda4d736458de859b2">
      <Part Type="punktas" Nr="6" Abbr="19 pr. 6 p." DocPartId="745d25a7200a47e4a8493807d0ceebe8" PartId="694c4f05a0cf43cea749254a2d65287d">
        <Part Type="papunktis" Nr="6.1" Abbr="19 pr. 6.1 pp." DocPartId="c716ba2a98bb4adfa7a02ca39741a9ad" PartId="1ea89b0b2b2f428bb5ac410e5f938b47">
          <Part Type="papunktis" Nr="6.1.1" Abbr="19 pr. 6.1.1 pp." DocPartId="110b6da94bbe4e409cb607582742953f" PartId="0cdc6248393147f287dc126dcf303295"/>
          <Part Type="papunktis" Nr="6.1.2" Abbr="19 pr. 6.1.2 pp." DocPartId="b3f200f88651458c910f1e749d079e2b" PartId="1fb9ce867167434f844dda253a355512"/>
          <Part Type="papunktis" Nr="6.1.3" Abbr="19 pr. 6.1.3 pp." DocPartId="0efff5ba7f9142239056a6d16b494e61" PartId="195ae3a8ac694ac4a6391b3474bc006e"/>
          <Part Type="papunktis" Nr="6.1.4" Abbr="19 pr. 6.1.4 pp." DocPartId="4064a5bb2ab64c348abc6a33a13f3279" PartId="d520d63326494793977ed0d13a5698e9"/>
          <Part Type="papunktis" Nr="6.1.5" Abbr="19 pr. 6.1.5 pp." DocPartId="31783a431ea142108909de63c15f124c" PartId="d166fc827cc545ab803efffb4787f198"/>
          <Part Type="papunktis" Nr="6.1.6" Abbr="19 pr. 6.1.6 pp." DocPartId="d96b5c2d644342c7b6a86f79335c8e91" PartId="87adc4de0ff44904a8d39e0e5eef6e48"/>
          <Part Type="papunktis" Nr="6.1.7" Abbr="19 pr. 6.1.7 pp." DocPartId="a5bb129a314c4b558bd9d761e6764b04" PartId="1e14ef716c2043408df1f9a7c6f7736e"/>
          <Part Type="papunktis" Nr="6.1.8" Abbr="19 pr. 6.1.8 pp." DocPartId="2d128ff621ec459dba5a2335922258e0" PartId="f2ad8b3c41174a3589f2909951c30f19"/>
        </Part>
        <Part Type="papunktis" Nr="6.2" Abbr="19 pr. 6.2 pp." DocPartId="3e716a1bbec8425498c29b3a89b9ae87" PartId="fd48aa83b0c24e9486838303be142838">
          <Part Type="papunktis" Nr="6.2.1" Abbr="19 pr. 6.2.1 pp." DocPartId="172b852c184248a1a1be284802e7b8db" PartId="24a696b888414345bef7c8efbf753c11"/>
          <Part Type="papunktis" Nr="6.2.2" Abbr="19 pr. 6.2.2 pp." DocPartId="deb8b05ce7fd4d72a246c75b80ae76ac" PartId="50340b70adf84688bb3e02e44ad5acf1"/>
          <Part Type="papunktis" Nr="6.2.3" Abbr="19 pr. 6.2.3 pp." DocPartId="5034532d97584bb183c8c871a2c4a7c7" PartId="6455875628474745a28f66f8ef11da40"/>
          <Part Type="papunktis" Nr="6.2.4" Abbr="19 pr. 6.2.4 pp." DocPartId="cc3ea7e334ac4910b4bbcb5a463faad6" PartId="b973f7dfd27140cea3747f0b704b7aa0"/>
          <Part Type="papunktis" Nr="6.2.5" Abbr="19 pr. 6.2.5 pp." DocPartId="8e3410677d0249a69fe7314927539702" PartId="4d0b8c219faa4659834fa897f6b46c30"/>
        </Part>
        <Part Type="papunktis" Nr="6.3" Abbr="19 pr. 6.3 pp." DocPartId="d2b82f1b46e24a95a7807dfa6285956d" PartId="757bad53399c40ad9428d1bb431b2e27"/>
      </Part>
      <Part Type="punktas" Nr="7" Abbr="19 pr. 7 p." DocPartId="4d97336534f44e4fb952166a5e4b1861" PartId="8ec35b69a15646b189d649ade2781574"/>
      <Part Type="punktas" Nr="8" Abbr="19 pr. 8 p." DocPartId="2c5888ebcae34e2e921aee4fd4ed853a" PartId="e3e1ec4a34524717b6efb06266da8146">
        <Part Type="papunktis" Nr="8.1" Abbr="19 pr. 8.1 pp." DocPartId="08fcc2173fba41c59851335457c22332" PartId="679b47dd5b09450abc888f3f5266560c"/>
        <Part Type="papunktis" Nr="8.2" Abbr="19 pr. 8.2 pp." DocPartId="5e26435955ca4b37b1f068724061d80c" PartId="42ec4ee6b8074703a05554920d980b0c"/>
        <Part Type="papunktis" Nr="8.3" Abbr="19 pr. 8.3 pp." DocPartId="3548ca2c685b411c93078df77d4d9368" PartId="c184a86dc42d490b95c516d41265fc6e"/>
        <Part Type="papunktis" Nr="8.4" Abbr="19 pr. 8.4 pp." DocPartId="76a83a5b624f446382c6d0a1c46e8024" PartId="fb654d50d6724c008ce300a27397b8f3"/>
        <Part Type="papunktis" Nr="8.5" Abbr="19 pr. 8.5 pp." DocPartId="14f605cfc4194eadae29083983920956" PartId="fe5fcb3a5f77453ab11bfcbd89107c20"/>
        <Part Type="papunktis" Nr="8.6" Abbr="19 pr. 8.6 pp." DocPartId="5731455a1a2d4f00aaccb677842d580d" PartId="9f6f05d54df44d38aaa774907a3eadcd"/>
        <Part Type="papunktis" Nr="8.7" Abbr="19 pr. 8.7 pp." DocPartId="12a6f4dcd13e426ebe247aa94037eee6" PartId="0bde40ec696448759a0656c2a9c0409a"/>
      </Part>
      <Part Type="punktas" Nr="9" Abbr="19 pr. 9 p." DocPartId="4db4795792a84807954ae5a9d3461362" PartId="b417f99eafda43b798204efcf444c1c3"/>
    </Part>
    <Part Type="skyrius" Nr="4" Title="ŠEIMŲ LANKYMO PASLAUGŲ ORGANIZAVIMO TVARKA" DocPartId="0e544fdd8c8c4b5982dc8b4e04051bc6" PartId="2435fc60372b4425932160b4b785b61d">
      <Part Type="punktas" Nr="10" Abbr="19 pr. 10 p." DocPartId="fb4999b879ff4968a79cfdffd46ee596" PartId="eb018410330b4f1fbe42672b137596ec"/>
      <Part Type="punktas" Nr="11" Abbr="19 pr. 11 p." DocPartId="db7967758bd448b2ace6aac14b1c2096" PartId="7762d61812344f9ca5801b89c149b35e">
        <Part Type="papunktis" Nr="11.1" Abbr="19 pr. 11.1 pp." DocPartId="71923d2037de45d4bb9b8fb522de144e" PartId="906d9115b8da4af697d3c1abd18272a4"/>
        <Part Type="papunktis" Nr="11.2" Abbr="19 pr. 11.2 pp." DocPartId="f6d7aab1bccc42dcaa92848015c1e507" PartId="f2d1313c970f45868b9e57af4e4fb0c1"/>
      </Part>
      <Part Type="punktas" Nr="12" Abbr="19 pr. 12 p." DocPartId="b03c66e886b44e6c83239f237a51d5d4" PartId="199347ce52b54bffa08adf12b559277f"/>
      <Part Type="punktas" Nr="13" Abbr="19 pr. 13 p." DocPartId="8654458cdc204a68be6d7573410e3606" PartId="6f9419f3dd94468b9668bc9150540c0c"/>
      <Part Type="punktas" Nr="14" Abbr="19 pr. 14 p." DocPartId="56352aa9961f4608829f1c329367ee58" PartId="cf1133818dcb4d90885dd1ede861372f"/>
      <Part Type="punktas" Nr="15" Abbr="19 pr. 15 p." DocPartId="1a000b9399fc4a889292403585aa91b3" PartId="f35b5f0c953648f0a099fb340dcc3ee1"/>
      <Part Type="punktas" Nr="16" Abbr="19 pr. 16 p." DocPartId="136befaf7f0d4c7585528f807c814867" PartId="7165377728b445139745098d8d10afc4"/>
      <Part Type="punktas" Nr="17" Abbr="19 pr. 17 p." DocPartId="d50db4de28dc48b7a049f51e245b3282" PartId="2a1fb2afe60243e1a6bd3d475adf817a">
        <Part Type="papunktis" Nr="17.1" Abbr="19 pr. 17.1 pp." DocPartId="dc67877b5833461788d13f84bf14e0dd" PartId="88d9fffdc1f8461e9edb350994509472"/>
        <Part Type="papunktis" Nr="17.2" Abbr="19 pr. 17.2 pp." DocPartId="bfe3337475224fa08641bf3fe9a21546" PartId="2b8edda6110346c5bbf7fc8eba5a0966"/>
        <Part Type="papunktis" Nr="17.3" Abbr="19 pr. 17.3 pp." DocPartId="e8768ab946f64e689f271fc1a698e645" PartId="3988d0cc69ad4ea680cf3a36b8962f4b"/>
        <Part Type="papunktis" Nr="17.4" Abbr="19 pr. 17.4 pp." DocPartId="987b2db1dd8843bba2c0091031403b02" PartId="f24da1b1c0d544ed8075d90a6e130b67"/>
      </Part>
      <Part Type="punktas" Nr="18" Abbr="19 pr. 18 p." DocPartId="378544b65e524bf49c493e62e14fa5c2" PartId="824c65d26d05496bae002f84cbfe0754"/>
      <Part Type="punktas" Nr="19" Abbr="19 pr. 19 p." DocPartId="125cb431df884aa5a552aaf90a77a175" PartId="98d9f40468a24cf68bd64814d35af76f">
        <Part Type="papunktis" Nr="19.1" Abbr="19 pr. 19.1 pp." DocPartId="b327487e426a40279b428a4cc7e60a60" PartId="7699858aadf645b7ac61f8fbf1e53099"/>
        <Part Type="papunktis" Nr="19.2" Abbr="19 pr. 19.2 pp." DocPartId="bfff2315f8464e39b649873f0d5457bc" PartId="4d6d78c1aac34191aeab3a1a2c9344cf"/>
        <Part Type="papunktis" Nr="19.3" Abbr="19 pr. 19.3 pp." DocPartId="f897692e3ba34b2394a303e43cc52517" PartId="9aa5c91edaad40bfbbeebfdbcd55dcb7"/>
      </Part>
      <Part Type="punktas" Nr="20" Abbr="19 pr. 20 p." DocPartId="fc9df64a249d48acbca95715fefe4303" PartId="fa2527604182481ba2e4a007ab0aef04"/>
      <Part Type="punktas" Nr="21" Abbr="19 pr. 21 p." DocPartId="93cb92d82d65434191e6233dd30d2788" PartId="c40986617c974f19a1883ee9f0b02b04"/>
      <Part Type="punktas" Nr="22" Abbr="19 pr. 22 p." DocPartId="83c6c03a0d86442b8adcdc3561c3f4b3" PartId="29d39627550441abaab38d1a5bdccbb8"/>
      <Part Type="punktas" Nr="23" Abbr="19 pr. 23 p." DocPartId="da0fe3ac325d4b5a8a9f8fbb5e7c2ea5" PartId="cab1c1a862e84889872def9cab4ae2a7"/>
      <Part Type="punktas" Nr="24" Abbr="19 pr. 24 p." DocPartId="77f65c0dd5a342a390e9a3acd2c52821" PartId="4d3e74c11c4e4deb8434b36452341eda">
        <Part Type="papunktis" Nr="24.1" Abbr="19 pr. 24.1 pp." DocPartId="362a0d403a414af9a1ad310421495177" PartId="801af641253d4f5ebcd7ae1f42485810"/>
        <Part Type="papunktis" Nr="24.2" Abbr="19 pr. 24.2 pp." DocPartId="57f12768afda48988f211dac252b2b52" PartId="88133b9f86cd4549922b7aae19916dcb"/>
      </Part>
      <Part Type="punktas" Nr="25" Abbr="19 pr. 25 p." DocPartId="c79777b60b9c4f19b6ac045e39bedfeb" PartId="5b61fc0b7cc6403385520360c83e4fdf"/>
      <Part Type="punktas" Nr="26" Abbr="19 pr. 26 p." DocPartId="17ff0328887e467f857dc10ddabd8363" PartId="df286558bb2347cea7b772f469e45154"/>
    </Part>
    <Part Type="pabaiga" DocPartId="9a708f32c86442aa86c501427e62c7bf" PartId="abcb2f6c27574647a091c77ed13af140"/>
  </Part>
</Parts>
</file>

<file path=customXml/itemProps1.xml><?xml version="1.0" encoding="utf-8"?>
<ds:datastoreItem xmlns:ds="http://schemas.openxmlformats.org/officeDocument/2006/customXml" ds:itemID="{808A37FA-2608-4355-9FE6-11BA09251E24}">
  <ds:schemaRefs>
    <ds:schemaRef ds:uri="http://lrs.lt/TAIS/DocParts"/>
  </ds:schemaRefs>
</ds:datastoreItem>
</file>

<file path=docProps/app.xml><?xml version="1.0" encoding="utf-8"?>
<Properties xmlns="http://schemas.openxmlformats.org/officeDocument/2006/extended-properties">
  <Template>Normal.dotm</Template>
  <TotalTime>305</TotalTime>
  <Pages>283</Pages>
  <Words>382883</Words>
  <Characters>218244</Characters>
  <Application>Microsoft Office Word</Application>
  <DocSecurity>0</DocSecurity>
  <Lines>1818</Lines>
  <Paragraphs>1199</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599928</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2016-04-05T13:39:00Z</dcterms:created>
  <dc:creator>PETRAUSKAITĖ Girmantė</dc:creator>
  <lastModifiedBy>TAMALIŪNIENĖ Vilija</lastModifiedBy>
  <dcterms:modified xsi:type="dcterms:W3CDTF">2025-01-21T06:47:00Z</dcterms:modified>
  <revision>136</revision>
</coreProperties>
</file>