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2010-01-13 iki 2010-03-06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26" w:tgtFrame="_blank" w:history="1">
                <w:r>
                  <w:rPr>
                    <w:color w:val="0000FF" w:themeColor="hyperlink"/>
                    <w:u w:val="single"/>
                  </w:rPr>
                  <w:t>64-2569</w:t>
                </w:r>
              </w:hyperlink>
              <w:r>
                <w:rPr>
                  <w:color w:val="000000"/>
                </w:rPr>
                <w:t xml:space="preserve">), Lietuvos Respublikos darbuotojų saugos ir sveikatos įstatymo (Žin., 2003, Nr. </w:t>
              </w:r>
              <w:hyperlink r:id="rId27" w:tgtFrame="_blank" w:history="1">
                <w:r>
                  <w:rPr>
                    <w:color w:val="0000FF" w:themeColor="hyperlink"/>
                    <w:u w:val="single"/>
                  </w:rPr>
                  <w:t>70-3170</w:t>
                </w:r>
              </w:hyperlink>
              <w:r>
                <w:rPr>
                  <w:color w:val="000000"/>
                </w:rPr>
                <w:t xml:space="preserve">), Lietuvos Respublikos sveikatos sistemos įstatymo (Žin., 1994, Nr. </w:t>
              </w:r>
              <w:hyperlink r:id="rId28" w:tgtFrame="_blank" w:history="1">
                <w:r>
                  <w:rPr>
                    <w:color w:val="0000FF" w:themeColor="hyperlink"/>
                    <w:u w:val="single"/>
                  </w:rPr>
                  <w:t>63-1231</w:t>
                </w:r>
              </w:hyperlink>
              <w:r>
                <w:rPr>
                  <w:color w:val="000000"/>
                </w:rPr>
                <w:t xml:space="preserve">; 1998, Nr. </w:t>
              </w:r>
              <w:hyperlink r:id="rId29" w:tgtFrame="_blank" w:history="1">
                <w:r>
                  <w:rPr>
                    <w:color w:val="0000FF" w:themeColor="hyperlink"/>
                    <w:u w:val="single"/>
                  </w:rPr>
                  <w:t>112-3099</w:t>
                </w:r>
              </w:hyperlink>
              <w:r>
                <w:rPr>
                  <w:color w:val="000000"/>
                </w:rPr>
                <w:t xml:space="preserve">), Lietuvos Respublikos radiacinės saugos įstatymo (Žin., 1999, Nr. </w:t>
              </w:r>
              <w:hyperlink r:id="rId30"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31"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b57048141bfc4afbaec169768221dea1"/>
                <w:lock w:val="sdtLocked"/>
                <w:richText/>
              </w:sdtPr>
              <w:sdtContent>
                <w:p>
                  <w:pPr>
                    <w:widowControl w:val="0"/>
                    <w:suppressAutoHyphens/>
                    <w:ind w:firstLine="709"/>
                    <w:jc w:val="both"/>
                    <w:rPr>
                      <w:color w:val="000000"/>
                    </w:rPr>
                  </w:pPr>
                  <w:sdt>
                    <w:sdtPr>
                      <w:alias w:val="Numeris"/>
                      <w:tag w:val="nr_b57048141bfc4afbaec169768221dea1"/>
                      <w:lock w:val="sdtLocked"/>
                      <w:richText/>
                    </w:sdtPr>
                    <w:sdtContent>
                      <w:r>
                        <w:rPr>
                          <w:color w:val="000000"/>
                        </w:rPr>
                        <w:t>1.12</w:t>
                      </w:r>
                    </w:sdtContent>
                  </w:sdt>
                  <w:r>
                    <w:rPr>
                      <w:color w:val="000000"/>
                    </w:rPr>
                    <w:t>.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32"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33"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34"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35"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36"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37"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8"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9"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40"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41"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42"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43"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4"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5"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46"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47"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4" w:tgtFrame="_blank" w:history="1">
                    <w:r>
                      <w:rPr>
                        <w:color w:val="0000FF" w:themeColor="hyperlink"/>
                        <w:u w:val="single"/>
                      </w:rPr>
                      <w:t>92-2883</w:t>
                    </w:r>
                  </w:hyperlink>
                  <w:r>
                    <w:t xml:space="preserve">; 2007, Nr. </w:t>
                  </w:r>
                  <w:hyperlink r:id="rId55"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6"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d2ee7a32d9ee4707b8a32545e384e6da"/>
                <w:lock w:val="sdtLocked"/>
                <w:richText/>
              </w:sdtPr>
              <w:sdtContent>
                <w:p>
                  <w:pPr>
                    <w:ind w:firstLine="567"/>
                    <w:jc w:val="both"/>
                  </w:pPr>
                  <w:sdt>
                    <w:sdtPr>
                      <w:alias w:val="Numeris"/>
                      <w:tag w:val="nr_d2ee7a32d9ee4707b8a32545e384e6da"/>
                      <w:lock w:val="sdtLocked"/>
                      <w:richText/>
                    </w:sdtPr>
                    <w:sdtContent>
                      <w:r>
                        <w:t>25</w:t>
                      </w:r>
                    </w:sdtContent>
                  </w:sdt>
                  <w:r>
                    <w:t>. Pažyma F Nr. 083-1/a gali būti išduodama asmenims, ne daugiau kaip vienais metais jaunesniems nei nustatytas amžius, nuo kurio leidžiama vairuoti tos kategorijos transporto priemonę.</w:t>
                  </w:r>
                </w:p>
              </w:sdtContent>
            </w:sdt>
            <w:sdt>
              <w:sdtPr>
                <w:alias w:val="7 pr. 26 p."/>
                <w:tag w:val="part_6c06305cea44460da19ee8e04e8d5779"/>
                <w:lock w:val="sdtLocked"/>
                <w:richText/>
              </w:sdtPr>
              <w:sdtContent>
                <w:p>
                  <w:pPr>
                    <w:ind w:firstLine="567"/>
                    <w:jc w:val="both"/>
                  </w:pPr>
                  <w:sdt>
                    <w:sdtPr>
                      <w:alias w:val="Numeris"/>
                      <w:tag w:val="nr_6c06305cea44460da19ee8e04e8d5779"/>
                      <w:lock w:val="sdtLocked"/>
                      <w:richText/>
                    </w:sdtPr>
                    <w:sdtContent>
                      <w:r>
                        <w:t>26</w:t>
                      </w:r>
                    </w:sdtContent>
                  </w:sdt>
                  <w:r>
                    <w:t>. Apie asmenis, kurie dėl sveikatos būklės vairuoti negali, per 5 darbo dienas reikia raštu informuoti policijos komisariatą pagal tikrinamojo gyvenamąją vietą, nurodant tikrinamojo asmens kodą, vardą, pavardę, adresą.</w:t>
                  </w:r>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7" w:tgtFrame="_blank" w:history="1">
                    <w:r>
                      <w:rPr>
                        <w:color w:val="0000FF" w:themeColor="hyperlink"/>
                        <w:u w:val="single"/>
                      </w:rPr>
                      <w:t>13-308</w:t>
                    </w:r>
                  </w:hyperlink>
                  <w:r>
                    <w:t xml:space="preserve">; 2000, Nr. </w:t>
                  </w:r>
                  <w:hyperlink r:id="rId58"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105520a2f8874392859e303b1d7cbbbc"/>
        <w:lock w:val="sdtLocked"/>
        <w:richText/>
      </w:sdtPr>
      <w:sdtContent>
        <w:p>
          <w:pPr/>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pPr/>
        </w:p>
        <w:sdt>
          <w:sdtPr>
            <w:alias w:val="Pavadinimas"/>
            <w:tag w:val="title_105520a2f8874392859e303b1d7cbbbc"/>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w:t>
                </w:r>
              </w:p>
              <w:p>
                <w:pPr>
                  <w:ind w:left="339"/>
                  <w:rPr>
                    <w:sz w:val="22"/>
                  </w:rPr>
                </w:pPr>
                <w:r>
                  <w:rPr>
                    <w:sz w:val="22"/>
                  </w:rPr>
                  <w:t>Akipločio (regėjimo lauko),</w:t>
                </w:r>
              </w:p>
              <w:p>
                <w:pPr>
                  <w:ind w:left="339"/>
                  <w:rPr>
                    <w:sz w:val="22"/>
                  </w:rPr>
                </w:pPr>
                <w:r>
                  <w:rPr>
                    <w:sz w:val="22"/>
                  </w:rPr>
                  <w:t>Regėjimo prieblandoje (adaptacijos tamsai),</w:t>
                </w:r>
              </w:p>
              <w:p>
                <w:pPr>
                  <w:ind w:left="339"/>
                  <w:rPr>
                    <w:sz w:val="22"/>
                  </w:rPr>
                </w:pPr>
                <w:r>
                  <w:rPr>
                    <w:sz w:val="22"/>
                  </w:rPr>
                  <w:t>Akispūdžio matavimas (asmenims nuo 40 m.),</w:t>
                </w:r>
              </w:p>
              <w:p>
                <w:pPr>
                  <w:ind w:left="339"/>
                  <w:rPr>
                    <w:sz w:val="22"/>
                  </w:rPr>
                </w:pPr>
                <w:r>
                  <w:rPr>
                    <w:sz w:val="22"/>
                  </w:rPr>
                  <w:t>Spalvinio jutimo (įsigyjant vairuotojo pažymėjimą),</w:t>
                </w:r>
              </w:p>
              <w:p>
                <w:pPr>
                  <w:ind w:left="339"/>
                  <w:rPr>
                    <w:sz w:val="22"/>
                  </w:rPr>
                </w:pPr>
                <w:r>
                  <w:rPr>
                    <w:sz w:val="22"/>
                  </w:rPr>
                  <w:t>Klausos – šnabždesiu abipus,</w:t>
                </w:r>
              </w:p>
              <w:p>
                <w:pPr>
                  <w:ind w:left="339"/>
                  <w:rPr>
                    <w:sz w:val="22"/>
                  </w:rPr>
                </w:pPr>
                <w:r>
                  <w:rPr>
                    <w:sz w:val="22"/>
                  </w:rPr>
                  <w:t>Vestibulinės funkcijos tyrimai,</w:t>
                </w:r>
              </w:p>
              <w:p>
                <w:pPr>
                  <w:ind w:left="339"/>
                  <w:rPr>
                    <w:sz w:val="22"/>
                  </w:rPr>
                </w:pPr>
                <w:r>
                  <w:rPr>
                    <w:sz w:val="22"/>
                  </w:rPr>
                  <w:t>Kraujo grupės ir Rh faktoriaus nustatymas (asmeniui pageidaujant), EKG,</w:t>
                </w:r>
              </w:p>
              <w:p>
                <w:pPr>
                  <w:ind w:left="339"/>
                  <w:rPr>
                    <w:sz w:val="22"/>
                  </w:rPr>
                </w:pPr>
                <w:r>
                  <w:rPr>
                    <w:sz w:val="22"/>
                  </w:rPr>
                  <w:t>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audiograma, </w:t>
                </w:r>
              </w:p>
              <w:p>
                <w:pPr>
                  <w:ind w:left="320"/>
                  <w:rPr>
                    <w:sz w:val="22"/>
                  </w:rPr>
                </w:pPr>
                <w:r>
                  <w:rPr>
                    <w:sz w:val="22"/>
                  </w:rPr>
                  <w:t>Vestibulinės funkcijos tyrimai,</w:t>
                </w:r>
              </w:p>
              <w:p>
                <w:pPr>
                  <w:ind w:left="320"/>
                  <w:rPr>
                    <w:sz w:val="22"/>
                  </w:rPr>
                </w:pPr>
                <w:r>
                  <w:rPr>
                    <w:sz w:val="22"/>
                  </w:rPr>
                  <w:t xml:space="preserve">Krūtinės ląstos rentgenograma – jei nėra atlikta per dvejus metus, EKG, psichologinės atrankos, reakcijos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lentele"/>
        <w:tag w:val="part_10f6c8ba2c1e410a95a0f38529c76576"/>
        <w:lock w:val="sdtLocked"/>
        <w:richText/>
      </w:sdtPr>
      <w:sdtContent>
        <w:p>
          <w:pPr>
            <w:jc w:val="right"/>
          </w:pPr>
          <w:sdt>
            <w:sdtPr>
              <w:alias w:val="Numeris"/>
              <w:tag w:val="nr_10f6c8ba2c1e410a95a0f38529c76576"/>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10f6c8ba2c1e410a95a0f38529c76576"/>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28784b7b04b44ce9bea3a84fd28f6990"/>
        <w:lock w:val="sdtLocked"/>
        <w:richText/>
      </w:sdtPr>
      <w:sdtContent>
        <w:p>
          <w:pPr>
            <w:jc w:val="right"/>
          </w:pPr>
          <w:sdt>
            <w:sdtPr>
              <w:alias w:val="Numeris"/>
              <w:tag w:val="nr_28784b7b04b44ce9bea3a84fd28f6990"/>
              <w:lock w:val="sdtLocked"/>
              <w:richText/>
            </w:sdtPr>
            <w:sdtContent>
              <w:r>
                <w:t>3</w:t>
              </w:r>
            </w:sdtContent>
          </w:sdt>
          <w:r>
            <w:t xml:space="preserve"> lentelė</w:t>
          </w:r>
        </w:p>
        <w:p>
          <w:pPr>
            <w:jc w:val="both"/>
            <w:rPr>
              <w:bCs/>
            </w:rPr>
          </w:pPr>
        </w:p>
        <w:p>
          <w:pPr>
            <w:jc w:val="center"/>
            <w:rPr>
              <w:b/>
              <w:bCs/>
            </w:rPr>
          </w:pPr>
          <w:sdt>
            <w:sdtPr>
              <w:alias w:val="Pavadinimas"/>
              <w:tag w:val="title_28784b7b04b44ce9bea3a84fd28f699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REGĖJIMAS</w:t>
                </w:r>
              </w:p>
              <w:p>
                <w:pPr>
                  <w:rPr>
                    <w:sz w:val="22"/>
                  </w:rPr>
                </w:pPr>
                <w:r>
                  <w:rPr>
                    <w:sz w:val="22"/>
                  </w:rPr>
                  <w:t>Visi kandidatai į vairuotojus patikrinami gydytojo oftalmologo, siekiant užtikrinti, kad jų regėjimas yra pakankamai aštrus variklio varomoms transporto priemonėms vairuoti. Patikrinimo metu dėmesys kreipiamas ypač į regėjimo aštrumą regėjimo lauką regėjimą prieblandoje bei progresuojančias akių ligas. Šiame priede intraokuliniai lęšiai nelaikomi korekciniais lęšiais.</w:t>
                </w:r>
              </w:p>
              <w:p>
                <w:pPr>
                  <w:rPr>
                    <w:sz w:val="22"/>
                  </w:rPr>
                </w:pPr>
                <w:r>
                  <w:rPr>
                    <w:sz w:val="22"/>
                  </w:rPr>
                  <w:t>1 grupė:</w:t>
                </w:r>
              </w:p>
              <w:p>
                <w:pPr>
                  <w:rPr>
                    <w:sz w:val="22"/>
                  </w:rPr>
                </w:pPr>
                <w:r>
                  <w:rPr>
                    <w:sz w:val="22"/>
                  </w:rPr>
                  <w:t>1. Kandidatų vairuotojo pažymėjimui gauti arba tokiam pažymėjimui atnaujinti binokuliarinio regėjimo aštrumas, jeigu reikia, su korekciniais lęšiais, žiūrint abiem akimis turi būti ne mažesnis kaip 0,5. Vairuotojo pažymėjimas neišduodamas ar neatnaujinamas, jei medicininio patikrinimo metu paaiškėja, jog regėjimo horizontalus laukas mažesnis kaip 120°, išskyrus atskirus atvejus, pripažintus leistinais medikų ar praktinio egzamino metu, arba jei asmuo skundžiasi bet kokiu kitu akių sutrikimu, kuris keltų pavojų saugiam vairavimui. Jei nustatoma ar konstatuojama progresuojanti akių liga, vairuotojo pažymėjimas gali būti išduotas ar atnaujintas reikalaujant, kad kandidatas į vairuotojus būtų reguliariai tikrinamas gydytojo oftalmologo.</w:t>
                </w:r>
              </w:p>
              <w:p>
                <w:pPr>
                  <w:rPr>
                    <w:sz w:val="22"/>
                  </w:rPr>
                </w:pPr>
                <w:r>
                  <w:rPr>
                    <w:sz w:val="22"/>
                  </w:rPr>
                  <w:t>2. Kandidatų vairuotojo pažymėjimui gauti arba atnaujinti, visai nematančių viena akimi arba matančių tik viena akimi, pavyzdžiui, sergant diplopija, regėjimo aštrumas privalo būti, jeigu reikia, su korekciniais lęšiais, ne mažesnis kaip 0,6. Gydytojas oftalmologas privalo patvirtinti, jog tokia monokuliarinio regėjimo būklė tęsiasi pakankamai ilgai, kad prie jos būtų galima prisitaikyti ir kad tos akies regėjimo laukas yra normalus.</w:t>
                </w:r>
              </w:p>
              <w:p>
                <w:pPr>
                  <w:rPr>
                    <w:sz w:val="22"/>
                  </w:rPr>
                </w:pPr>
                <w:r>
                  <w:rPr>
                    <w:sz w:val="22"/>
                  </w:rPr>
                  <w:t>2 grupė:</w:t>
                </w:r>
              </w:p>
              <w:p>
                <w:pPr>
                  <w:rPr>
                    <w:sz w:val="22"/>
                  </w:rPr>
                </w:pPr>
                <w:r>
                  <w:rPr>
                    <w:sz w:val="22"/>
                  </w:rPr>
                  <w:t>6.3. Kandidatų vairuotojo pažymėjimui gauti arba tokiam pažymėjimui atnaujinti sveikesnės akies regėjimo aštrumas, jeigu reikia, su korekciniais lęšiais, privalo būti ne mažesnis kaip 0,8, o silpnesnės akies – ne mažesnis kaip 0,5. Jei korekciniai lęšiai naudojami tam, kad regėjimo aštrumas būtų 0,8 ir 0,5, regėjimo aštrumas kiekviena akimi be korekcinių lęšių privalo būti 0,05 arba minimalus regėjimo aštrumas (0,8 ir 0,5) privalo būti pasiektas nešiojant akinius, kurių stiprumas neturi būti didesnis kaip plius ar minus aštuonios dioptrijos, arba nešiojant kontaktinius lęšius (nekoreguotas regėjimas = 0,05). Korekcija turi būti gerai toleruojama. Vairuotojo pažymėjimai neišduodami tiems kandidatams į vairuotojus ar neatnaujinami tiems vairuotojams, kurių binokuliarinis regėjimo laukas nėra normalus arba kurie serga diplopija.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Akies dangalų lėtinės ligos su regėjimo funkcijos sutrikimu, stabilūs vokų ir jų gleivinės pakitimai, vokų raumenų parezės, trukdantys regėjimui arba ribojantys akies obuolio judesius: H02.0–H02.5, Q10.0–Q10.3</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Lėtinės ašarų maišelio ligos, fistulės, taip pat neišgydomas ašarojimas: H04.2, H04.4, H04.5, H04.6 </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Diplopija ir žvairumas: H49–H50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Regėjimo susilpnėjimas dėl nuolatinio šviesos laužiamųjų skaidrių terpių drumstumo arba akių dugno pakitimų refrakcijos anomalijų ir kitų organinio pobūdžio priežasčių: H 25–H 28, H30–H36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Su apribojimu 01.01, 01.02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Regėjimas su korekcija silpnesnis kaip 0,5 žiūrint abiem akimis: H54.2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Regėjimas su korekcija silpnesnis kaip 0,8 viena ir 0,5 – kita akimi: H54.2 </w:t>
                </w:r>
              </w:p>
              <w:p>
                <w:pPr>
                  <w:rPr>
                    <w:b/>
                    <w:bCs/>
                    <w:sz w:val="22"/>
                  </w:rPr>
                </w:pPr>
                <w:r>
                  <w:rPr>
                    <w:b/>
                    <w:bCs/>
                    <w:sz w:val="22"/>
                  </w:rPr>
                  <w:t>PASTABA:</w:t>
                </w:r>
              </w:p>
              <w:p>
                <w:pPr>
                  <w:rPr>
                    <w:sz w:val="22"/>
                  </w:rPr>
                </w:pPr>
                <w:r>
                  <w:rPr>
                    <w:sz w:val="22"/>
                  </w:rPr>
                  <w:t>Minimalus regėjimo aštrumas (0,8 ir 0,5) privalo būti pasiektas nešiojant akinius, kurių stiprumas neturi būti didesnis kaip plius ar minus aštuonios dioptrijos, arba nešiojant kontaktinius lęšius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Sumažėjus akipločiui mažiau kaip 120°: H53.4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Vienos akies aklumas (regėjimas 0,1 ir mažiau), kai kitos akies regėjimas su korekcija silpnesnis kaip 0,6 ir nesumažėjus akipločiui: H54.1</w:t>
                </w:r>
              </w:p>
              <w:p>
                <w:pPr>
                  <w:rPr>
                    <w:b/>
                    <w:bCs/>
                    <w:sz w:val="22"/>
                  </w:rPr>
                </w:pPr>
                <w:r>
                  <w:rPr>
                    <w:b/>
                    <w:bCs/>
                    <w:sz w:val="22"/>
                  </w:rPr>
                  <w:t>PASTABA:</w:t>
                </w:r>
              </w:p>
              <w:p>
                <w:pPr>
                  <w:rPr>
                    <w:sz w:val="22"/>
                  </w:rPr>
                </w:pPr>
                <w:r>
                  <w:rPr>
                    <w:sz w:val="22"/>
                  </w:rPr>
                  <w:t>Išimties tvarka gydytojų komisija gali leisti vairuoti A; A1; AM; B; B1 ir BE kategorijos transporto priemones, traktorių, neleidžiant užsiimti transporto ūkine veikla, t. y. dirbti pagal darbo sutartis vairuotoju. Pakartotinis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ragenos refrakcinių operacijų (keratotomijos, keratomilezės, keratokoaguliacijos, refrakcinės keratoplastikos):</w:t>
                </w:r>
              </w:p>
              <w:p>
                <w:pPr>
                  <w:rPr>
                    <w:sz w:val="22"/>
                  </w:rPr>
                </w:pPr>
                <w:r>
                  <w:rPr>
                    <w:sz w:val="22"/>
                  </w:rPr>
                  <w:t>H54.2</w:t>
                </w:r>
              </w:p>
              <w:p>
                <w:pPr>
                  <w:rPr>
                    <w:b/>
                    <w:bCs/>
                    <w:sz w:val="22"/>
                  </w:rPr>
                </w:pPr>
                <w:r>
                  <w:rPr>
                    <w:b/>
                    <w:bCs/>
                    <w:sz w:val="22"/>
                  </w:rPr>
                  <w:t>PASTABA:</w:t>
                </w:r>
              </w:p>
              <w:p>
                <w:pPr>
                  <w:rPr>
                    <w:sz w:val="22"/>
                  </w:rPr>
                </w:pPr>
                <w:r>
                  <w:rPr>
                    <w:sz w:val="22"/>
                  </w:rPr>
                  <w:t>Leidžiama vairuoti praėjus 3 mėnesiams po operacijos, kai regėjimas (su korekcija) ne silpnesnis kaip 0,8 viena ir 0,5 – kita akimi (1 kategorijos vairuotojams – kai regėjimas ne silpnesnis kaip 0,5 viena ir 0,2 – kita akimi)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Dichromazijos tipo spalvų jutimo sutrikimas: H53.5</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Tinklainės ir regimojo nervo ligos (pigmentinis retinitas, regimojo nervo atrofija, tinklainės atšokimas ir kt.): H30–H36, H47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Glaukoma, nekompensuotas akispūdis: H40.I–H40.9, H42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Glaukoma, kompensuotas akispūdis: H40.1–H40.9, H42 </w:t>
                </w:r>
              </w:p>
              <w:p>
                <w:pPr>
                  <w:rPr>
                    <w:b/>
                    <w:bCs/>
                    <w:sz w:val="22"/>
                  </w:rPr>
                </w:pPr>
                <w:r>
                  <w:rPr>
                    <w:b/>
                    <w:bCs/>
                    <w:sz w:val="22"/>
                  </w:rPr>
                  <w:t>PASTABA:</w:t>
                </w:r>
              </w:p>
              <w:p>
                <w:pPr>
                  <w:rPr>
                    <w:sz w:val="22"/>
                  </w:rPr>
                </w:pPr>
                <w:r>
                  <w:rPr>
                    <w:sz w:val="22"/>
                  </w:rPr>
                  <w:t>Esant pradinei kompensuotai glaukomos stadijai, kai akies dugnas normalus, regėjimas ne silpnesnis (su korekcija) kaip 0,6 viena ir 0,2 – kita akimi, nesumažėjus akipločiui, leidžiama vairuoti A; A1;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A; A1; AM; B; B1 ir BE kategorijų vairuotojams turi būti nurodyta,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A; A1;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CUKRINIS DIABETAS: E10, E11, E12, E13, E14</w:t>
                </w:r>
              </w:p>
              <w:p>
                <w:pPr>
                  <w:rPr>
                    <w:sz w:val="22"/>
                  </w:rPr>
                </w:pPr>
                <w:r>
                  <w:rPr>
                    <w:sz w:val="22"/>
                  </w:rPr>
                  <w:t xml:space="preserve">Vairuotojo pažymėjimai gali būti išduodami kandidatams į vairuotojus ar atnaujinami vairuotojams, sergantiems cukriniu diabetu, pateikus gydytojo endokrinologo išvadą ir reguliariai atliekant medicinines apžiūras kiekvienu atitinkamu atveju. </w:t>
                </w:r>
              </w:p>
              <w:p>
                <w:pPr>
                  <w:rPr>
                    <w:sz w:val="22"/>
                  </w:rPr>
                </w:pPr>
                <w:r>
                  <w:rPr>
                    <w:sz w:val="22"/>
                  </w:rPr>
                  <w:t>2 grupė:</w:t>
                </w:r>
              </w:p>
              <w:p>
                <w:pPr>
                  <w:rPr>
                    <w:sz w:val="22"/>
                  </w:rPr>
                </w:pPr>
                <w:r>
                  <w:rPr>
                    <w:sz w:val="22"/>
                  </w:rPr>
                  <w:t>Tik ypač išskirtiniais atvejais vairuotojo pažymėjimai gali būti išduodami ar atnaujinami tiems šiai grupei priklausantiems kandidatams į vairuotojus ar vairuotojams, kurie serga cukriniu diabetu ir kuriuos reikia gydyti insulinu, ir tik tuo atveju, kai tai tinkamai pagrindžiama gydytojo endokrinologo išvada ir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Cukrinis diabetas: E10–E14 </w:t>
                </w:r>
              </w:p>
              <w:p>
                <w:pPr>
                  <w:rPr>
                    <w:b/>
                    <w:bCs/>
                    <w:sz w:val="22"/>
                  </w:rPr>
                </w:pPr>
                <w:r>
                  <w:rPr>
                    <w:b/>
                    <w:bCs/>
                    <w:sz w:val="22"/>
                  </w:rPr>
                  <w:t>PASTABA:</w:t>
                </w:r>
              </w:p>
              <w:p>
                <w:pPr>
                  <w:rPr>
                    <w:sz w:val="22"/>
                  </w:rPr>
                </w:pPr>
                <w:r>
                  <w:rPr>
                    <w:sz w:val="22"/>
                  </w:rPr>
                  <w:t>Individualiu sprendimu gali būti leista vairuoti B; B1 ir BE kategorijos transporto priemones (be teisės dirbti pagal darbo sutartis vairuotoju), vadovaujantis gydytojo endokrinologo išvada. Jei būna sąmonės sutrikimų ir komos būsenų, vairuoti neleidžiama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Epilepsija su įvairaus pobūdžio priepuoliais: G40 </w:t>
                </w:r>
              </w:p>
              <w:p>
                <w:pPr>
                  <w:rPr>
                    <w:b/>
                    <w:bCs/>
                    <w:sz w:val="22"/>
                  </w:rPr>
                </w:pPr>
                <w:r>
                  <w:rPr>
                    <w:b/>
                    <w:bCs/>
                    <w:sz w:val="22"/>
                  </w:rPr>
                  <w:t>PASTABOS:</w:t>
                </w:r>
              </w:p>
              <w:p>
                <w:pPr>
                  <w:rPr>
                    <w:sz w:val="22"/>
                  </w:rPr>
                </w:pPr>
                <w:r>
                  <w:rPr>
                    <w:sz w:val="22"/>
                  </w:rPr>
                  <w:t>6.1.1. Po pirmo (vienintelio) epilepsijos priepuolio A; A1; AM; B; B1 ir BE kategorijų vairuotojai negali vairuoti 6 mėnesius, kitų kategorijų – 2 metus.</w:t>
                </w:r>
              </w:p>
              <w:p>
                <w:pPr>
                  <w:rPr>
                    <w:sz w:val="22"/>
                  </w:rPr>
                </w:pPr>
                <w:r>
                  <w:rPr>
                    <w:sz w:val="22"/>
                  </w:rPr>
                  <w:t>6.1.2. Diagnozavus epilepsiją (buvus 2 ir daugiau epilepsijos priepuolių) ir priepuoliams nesikartojant, A; A1; AM; B; B1 ir BE kategorijų vairuotojai negali vairuoti 2 metus, kitų kategorijų – 10 metų.</w:t>
                </w:r>
              </w:p>
              <w:p>
                <w:pPr>
                  <w:rPr>
                    <w:sz w:val="22"/>
                  </w:rPr>
                </w:pPr>
                <w:r>
                  <w:rPr>
                    <w:sz w:val="22"/>
                  </w:rPr>
                  <w:t>6.1.3. Draudžiama vairuoti priešepilepsinių vaistų nutraukimo periodu ir 6 mėnesius po jų nutraukimo.</w:t>
                </w:r>
              </w:p>
              <w:p>
                <w:pPr>
                  <w:rPr>
                    <w:sz w:val="22"/>
                  </w:rPr>
                </w:pPr>
                <w:r>
                  <w:rPr>
                    <w:sz w:val="22"/>
                  </w:rPr>
                  <w:t>6.1.4. Kartojantis priepuoliams tik miego metu, po 2 metų A; A1; AM; B; B1 ir BE kategorijų vairuotojams leidžiama vairuoti tik dienos metu, o kitų kategorijų vairuotojams vairuoti draudžiama.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Kiti sąmonės sutrikimo epizodai: R56.8</w:t>
                </w:r>
              </w:p>
              <w:p>
                <w:pPr>
                  <w:rPr>
                    <w:sz w:val="22"/>
                  </w:rPr>
                </w:pPr>
                <w:r>
                  <w:rPr>
                    <w:sz w:val="22"/>
                  </w:rPr>
                  <w:t>Po nepatikslinto sąmonės sutrikimo epizodo A; A1; AM; B; B1 ir BE kategorijų vairuotojai negali vairuoti 6 mėnesius, kitų kategorijų – 2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Ūminės ir lėtinės (išlikus judesių, jautros sutrikimų) nervų sistemos ligos ir jų liekamieji reiškiniai (išlikus reikšmingiems judėjimo, koordinacijos ir jautros surikimams).</w:t>
                </w:r>
              </w:p>
              <w:p>
                <w:pPr>
                  <w:rPr>
                    <w:b/>
                    <w:bCs/>
                    <w:sz w:val="22"/>
                  </w:rPr>
                </w:pPr>
                <w:r>
                  <w:rPr>
                    <w:b/>
                    <w:bCs/>
                    <w:sz w:val="22"/>
                  </w:rPr>
                  <w:t>PASTABA:</w:t>
                </w:r>
              </w:p>
              <w:p>
                <w:pPr>
                  <w:rPr>
                    <w:sz w:val="22"/>
                  </w:rPr>
                </w:pPr>
                <w:r>
                  <w:rPr>
                    <w:sz w:val="22"/>
                  </w:rPr>
                  <w:t>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ir rankinio valdymo automobilį,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7f2fb510cb484e6183fc2179e1265804"/>
            <w:lock w:val="sdtLocked"/>
            <w:richText/>
          </w:sdtPr>
          <w:sdtContent>
            <w:p>
              <w:pPr>
                <w:jc w:val="both"/>
                <w:rPr>
                  <w:sz w:val="22"/>
                </w:rPr>
              </w:pPr>
              <w:r>
                <w:rPr>
                  <w:sz w:val="22"/>
                </w:rPr>
                <w:t>Pastabos:</w:t>
              </w:r>
            </w:p>
          </w:sdtContent>
        </w:sdt>
        <w:sdt>
          <w:sdtPr>
            <w:alias w:val="1 pr. 1 p."/>
            <w:tag w:val="part_10b8b67c05a14c5cab6ad8cb90dc78e5"/>
            <w:lock w:val="sdtLocked"/>
            <w:richText/>
          </w:sdtPr>
          <w:sdtContent>
            <w:p>
              <w:pPr>
                <w:jc w:val="both"/>
                <w:rPr>
                  <w:sz w:val="22"/>
                </w:rPr>
              </w:pPr>
              <w:sdt>
                <w:sdtPr>
                  <w:alias w:val="Numeris"/>
                  <w:tag w:val="nr_10b8b67c05a14c5cab6ad8cb90dc78e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1 pr. 2 p."/>
            <w:tag w:val="part_10a99937fc8348b2907339e42104cefc"/>
            <w:lock w:val="sdtLocked"/>
            <w:richText/>
          </w:sdtPr>
          <w:sdtContent>
            <w:p>
              <w:pPr>
                <w:jc w:val="both"/>
                <w:rPr>
                  <w:sz w:val="22"/>
                </w:rPr>
              </w:pPr>
              <w:sdt>
                <w:sdtPr>
                  <w:alias w:val="Numeris"/>
                  <w:tag w:val="nr_10a99937fc8348b2907339e42104cefc"/>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1 pr. 3 p."/>
            <w:tag w:val="part_30d2d81de9834ecf94ba440162fbc44a"/>
            <w:lock w:val="sdtLocked"/>
            <w:richText/>
          </w:sdtPr>
          <w:sdtContent>
            <w:p>
              <w:pPr>
                <w:jc w:val="both"/>
              </w:pPr>
              <w:sdt>
                <w:sdtPr>
                  <w:alias w:val="Numeris"/>
                  <w:tag w:val="nr_30d2d81de9834ecf94ba440162fbc44a"/>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8"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9"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0"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1"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2"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9" w:tgtFrame="_blank" w:history="1">
                    <w:r>
                      <w:rPr>
                        <w:color w:val="0000FF" w:themeColor="hyperlink"/>
                        <w:u w:val="single"/>
                      </w:rPr>
                      <w:t>4-27</w:t>
                    </w:r>
                  </w:hyperlink>
                  <w:r>
                    <w:rPr>
                      <w:color w:val="000000"/>
                    </w:rPr>
                    <w:t xml:space="preserve">; 2006, Nr. </w:t>
                  </w:r>
                  <w:hyperlink r:id="rId60"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02e49a6387824559ab43ac93c5d5d912"/>
                <w:lock w:val="sdtLocked"/>
                <w:richText/>
              </w:sdtPr>
              <w:sdtContent>
                <w:p>
                  <w:pPr>
                    <w:widowControl w:val="0"/>
                    <w:suppressAutoHyphens/>
                    <w:ind w:firstLine="567"/>
                    <w:jc w:val="both"/>
                    <w:rPr>
                      <w:color w:val="000000"/>
                    </w:rPr>
                  </w:pPr>
                  <w:sdt>
                    <w:sdtPr>
                      <w:alias w:val="Numeris"/>
                      <w:tag w:val="nr_02e49a6387824559ab43ac93c5d5d912"/>
                      <w:lock w:val="sdtLocked"/>
                      <w:richText/>
                    </w:sdtPr>
                    <w:sdtContent>
                      <w:r>
                        <w:rPr>
                          <w:color w:val="000000"/>
                        </w:rPr>
                        <w:t>11</w:t>
                      </w:r>
                    </w:sdtContent>
                  </w:sdt>
                  <w:r>
                    <w:rPr>
                      <w:color w:val="000000"/>
                    </w:rPr>
                    <w:t>. Privalomus sveikatos tikrinimus atlieka šeimos medicinos paslaugas teikiantys gydytojai, kurie yra išklausę ne mažiau kaip 40 (keturiasdešimt) valandų darbo medicinos kursą (atnaujinant žinias ne rečiau kaip kas 5 metus), kurio programa suderinta su Lietuvos Respublikos sveikatos apsaugos ministerija, arba darbo medicinos gydytojas bei gydytojas psichiatras, privalomai arba prireikus konsultuodamiesi su šiame priede nurodytų profesinių kvalifikacijų gydytojais, psichologais ir skirdami privalomus arba kitus tyrimus – esant indikacijų.</w:t>
                  </w:r>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1" w:tgtFrame="_blank" w:history="1">
                    <w:r>
                      <w:rPr>
                        <w:color w:val="0000FF" w:themeColor="hyperlink"/>
                        <w:u w:val="single"/>
                      </w:rPr>
                      <w:t>47-1365</w:t>
                    </w:r>
                  </w:hyperlink>
                  <w:r>
                    <w:rPr>
                      <w:color w:val="000000"/>
                    </w:rPr>
                    <w:t xml:space="preserve">; 2009, Nr. </w:t>
                  </w:r>
                  <w:hyperlink r:id="rId62"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3"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4"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5"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6"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7"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8"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9"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0"/>
                          <w:footerReference w:type="default" r:id="rId71"/>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ac1e18f299d54bcd8b00310c16679177"/>
        <w:lock w:val="sdtLocked"/>
        <w:richText/>
      </w:sdtPr>
      <w:sdtContent>
        <w:p>
          <w:pPr>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ac1e18f299d54bcd8b00310c16679177"/>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c1e18f299d54bcd8b00310c16679177"/>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2"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3"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4"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5"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6"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7"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b142ac7716a74665a389cb5826bc7cac"/>
                <w:lock w:val="sdtLocked"/>
                <w:richText/>
              </w:sdtPr>
              <w:sdtContent>
                <w:p>
                  <w:pPr>
                    <w:widowControl w:val="0"/>
                    <w:suppressAutoHyphens/>
                    <w:ind w:firstLine="567"/>
                    <w:jc w:val="both"/>
                    <w:rPr>
                      <w:color w:val="000000"/>
                    </w:rPr>
                  </w:pPr>
                  <w:sdt>
                    <w:sdtPr>
                      <w:alias w:val="Numeris"/>
                      <w:tag w:val="nr_b142ac7716a74665a389cb5826bc7cac"/>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40 (keturiasdešimt) valandų darbo medicinos kursą (atnaujinant žinias ne rečiau kaip kas penkeri metai), kurio programa suderinta su Lietuvos Respublikos sveikatos apsaugos ministerija, arba darbo medicinos gydytojas, privalomai arba prireikus konsultuodamiesi su šiame priede nurodytų kitų profesinių kvalifikacijų gydytojais ir skirdami privalomus arba kitus tyrimus – esant indikacijų:</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8"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9"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0"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1"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2"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3"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401f3094811c4ad7ba50f477cf28f254"/>
                <w:lock w:val="sdtLocked"/>
                <w:richText/>
              </w:sdtPr>
              <w:sdtContent>
                <w:p>
                  <w:pPr>
                    <w:widowControl w:val="0"/>
                    <w:suppressAutoHyphens/>
                    <w:ind w:firstLine="567"/>
                    <w:jc w:val="both"/>
                    <w:rPr>
                      <w:color w:val="000000"/>
                    </w:rPr>
                  </w:pPr>
                  <w:sdt>
                    <w:sdtPr>
                      <w:alias w:val="Numeris"/>
                      <w:tag w:val="nr_401f3094811c4ad7ba50f477cf28f254"/>
                      <w:lock w:val="sdtLocked"/>
                      <w:richText/>
                    </w:sdtPr>
                    <w:sdtContent>
                      <w:r>
                        <w:rPr>
                          <w:color w:val="000000"/>
                        </w:rPr>
                        <w:t>21</w:t>
                      </w:r>
                    </w:sdtContent>
                  </w:sdt>
                  <w:r>
                    <w:rPr>
                      <w:color w:val="000000"/>
                    </w:rPr>
                    <w:t>.</w:t>
                  </w:r>
                  <w:r>
                    <w:rPr>
                      <w:b/>
                      <w:bCs/>
                      <w:color w:val="000000"/>
                    </w:rPr>
                    <w:t xml:space="preserve"> </w:t>
                  </w:r>
                  <w:r>
                    <w:rPr>
                      <w:color w:val="000000"/>
                    </w:rPr>
                    <w:t>Ligos ir sveikatos problemos, kurioms esant draudžiama dirbti kenksmingų rizikos veiksnių poveikyje:</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4" w:tgtFrame="_blank" w:history="1">
                    <w:r>
                      <w:rPr>
                        <w:color w:val="0000FF" w:themeColor="hyperlink"/>
                        <w:u w:val="single"/>
                      </w:rPr>
                      <w:t>69-2398</w:t>
                    </w:r>
                  </w:hyperlink>
                  <w:r>
                    <w:rPr>
                      <w:color w:val="000000"/>
                    </w:rPr>
                    <w:t>).</w:t>
                  </w:r>
                </w:p>
              </w:sdtContent>
            </w:sdt>
            <w:sdt>
              <w:sdtPr>
                <w:alias w:val="13 pr. 33 p."/>
                <w:tag w:val="part_741244184e9742f4986c143708cb1354"/>
                <w:lock w:val="sdtLocked"/>
                <w:richText/>
              </w:sdtPr>
              <w:sdtContent>
                <w:p>
                  <w:pPr>
                    <w:widowControl w:val="0"/>
                    <w:suppressAutoHyphens/>
                    <w:ind w:firstLine="567"/>
                    <w:jc w:val="both"/>
                    <w:rPr>
                      <w:color w:val="000000"/>
                    </w:rPr>
                  </w:pPr>
                  <w:sdt>
                    <w:sdtPr>
                      <w:alias w:val="Numeris"/>
                      <w:tag w:val="nr_741244184e9742f4986c143708cb1354"/>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5" w:tgtFrame="_blank" w:history="1">
                    <w:r>
                      <w:rPr>
                        <w:color w:val="0000FF" w:themeColor="hyperlink"/>
                        <w:u w:val="single"/>
                      </w:rPr>
                      <w:t>102-2317</w:t>
                    </w:r>
                  </w:hyperlink>
                  <w:r>
                    <w:rPr>
                      <w:color w:val="000000"/>
                    </w:rPr>
                    <w:t>; 2004,Nr. 115-4284) numatyta tvarka.</w:t>
                  </w:r>
                </w:p>
                <w:p>
                  <w:pPr/>
                </w:p>
                <w:p>
                  <w:pPr>
                    <w:jc w:val="center"/>
                  </w:pPr>
                  <w:r>
                    <w:t>_________________</w:t>
                  </w:r>
                </w:p>
              </w:sdtContent>
            </w:sdt>
            <w:sdt>
              <w:sdtPr>
                <w:alias w:val="lentele"/>
                <w:tag w:val="part_591c74e9aad14317837d6a75a810cc85"/>
                <w:lock w:val="sdtLocked"/>
                <w:richText/>
              </w:sdtPr>
              <w:sdtContent>
                <w:p>
                  <w:pPr/>
                </w:p>
                <w:p>
                  <w:pPr>
                    <w:sectPr>
                      <w:pgSz w:w="11907" w:h="16840" w:code="9"/>
                      <w:pgMar w:top="1134" w:right="1134" w:bottom="1134" w:left="1701" w:header="567" w:footer="284" w:gutter="0"/>
                      <w:cols w:space="1296"/>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 xml:space="preserve">Vadovaujamasi „Laivyno darbuotojų sveikatos tikrinimo tvarka“, patvirtinta Lietuvos Respublikos sveikatos apsaugos ministro 2000 m. gegužės 31 d. įsakymo Nr. 301 „Dėl profilaktinių sveikatos tikrinimų sveikatos priežiūros įstaigose“ (Žin., 2000, Nr. </w:t>
                        </w:r>
                        <w:hyperlink r:id="rId86" w:tgtFrame="_blank" w:history="1">
                          <w:r>
                            <w:rPr>
                              <w:color w:val="0000FF" w:themeColor="hyperlink"/>
                              <w:sz w:val="18"/>
                              <w:szCs w:val="18"/>
                              <w:u w:val="single"/>
                            </w:rPr>
                            <w:t>47-1365</w:t>
                          </w:r>
                        </w:hyperlink>
                        <w:r>
                          <w:rPr>
                            <w:sz w:val="18"/>
                            <w:szCs w:val="18"/>
                          </w:rPr>
                          <w:t xml:space="preserve">; 2005, Nr. </w:t>
                        </w:r>
                        <w:hyperlink r:id="rId87" w:tgtFrame="_blank" w:history="1">
                          <w:r>
                            <w:rPr>
                              <w:color w:val="0000FF" w:themeColor="hyperlink"/>
                              <w:sz w:val="18"/>
                              <w:szCs w:val="18"/>
                              <w:u w:val="single"/>
                            </w:rPr>
                            <w:t>128-4637</w:t>
                          </w:r>
                        </w:hyperlink>
                        <w:r>
                          <w:rPr>
                            <w:sz w:val="18"/>
                            <w:szCs w:val="18"/>
                          </w:rPr>
                          <w:t>)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8" w:tgtFrame="_blank" w:history="1">
                          <w:r>
                            <w:rPr>
                              <w:color w:val="0000FF" w:themeColor="hyperlink"/>
                              <w:sz w:val="18"/>
                              <w:szCs w:val="18"/>
                              <w:u w:val="single"/>
                            </w:rPr>
                            <w:t>47-1365</w:t>
                          </w:r>
                        </w:hyperlink>
                        <w:r>
                          <w:rPr>
                            <w:sz w:val="18"/>
                            <w:szCs w:val="18"/>
                          </w:rPr>
                          <w:t xml:space="preserve">; 2005, Nr. </w:t>
                        </w:r>
                        <w:hyperlink r:id="rId89" w:tgtFrame="_blank" w:history="1">
                          <w:r>
                            <w:rPr>
                              <w:color w:val="0000FF" w:themeColor="hyperlink"/>
                              <w:sz w:val="18"/>
                              <w:szCs w:val="18"/>
                              <w:u w:val="single"/>
                            </w:rPr>
                            <w:t>128-4637</w:t>
                          </w:r>
                        </w:hyperlink>
                        <w:r>
                          <w:rPr>
                            <w:sz w:val="18"/>
                            <w:szCs w:val="18"/>
                          </w:rPr>
                          <w:t xml:space="preserve">; 2008, Nr. </w:t>
                        </w:r>
                        <w:hyperlink r:id="rId90"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1" w:tgtFrame="_blank" w:history="1">
                          <w:r>
                            <w:rPr>
                              <w:color w:val="0000FF" w:themeColor="hyperlink"/>
                              <w:sz w:val="18"/>
                              <w:szCs w:val="18"/>
                              <w:u w:val="single"/>
                            </w:rPr>
                            <w:t>47-1365</w:t>
                          </w:r>
                        </w:hyperlink>
                        <w:r>
                          <w:rPr>
                            <w:sz w:val="18"/>
                            <w:szCs w:val="18"/>
                          </w:rPr>
                          <w:t xml:space="preserve">; 2005, Nr. </w:t>
                        </w:r>
                        <w:hyperlink r:id="rId92" w:tgtFrame="_blank" w:history="1">
                          <w:r>
                            <w:rPr>
                              <w:color w:val="0000FF" w:themeColor="hyperlink"/>
                              <w:sz w:val="18"/>
                              <w:szCs w:val="18"/>
                              <w:u w:val="single"/>
                            </w:rPr>
                            <w:t>128-4637</w:t>
                          </w:r>
                        </w:hyperlink>
                        <w:r>
                          <w:rPr>
                            <w:sz w:val="18"/>
                            <w:szCs w:val="18"/>
                          </w:rPr>
                          <w:t xml:space="preserve">; 2008, Nr. </w:t>
                        </w:r>
                        <w:hyperlink r:id="rId93"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sdtContent>
            </w:sdt>
            <w:sdt>
              <w:sdtPr>
                <w:alias w:val="lentele"/>
                <w:tag w:val="part_81ad80e5ed054ded87dabe20bff9b7e3"/>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c6439a2f6037438daea2eb8f14a5dbf6"/>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c6439a2f6037438daea2eb8f14a5dbf6"/>
                    <w:lock w:val="sdtLocked"/>
                    <w:richText/>
                  </w:sdtPr>
                  <w:sdtContent>
                    <w:p>
                      <w:pPr>
                        <w:jc w:val="center"/>
                        <w:rPr>
                          <w:b/>
                          <w:caps/>
                        </w:rPr>
                      </w:pPr>
                      <w:r>
                        <w:rPr>
                          <w:b/>
                          <w:caps/>
                        </w:rPr>
                        <w:t>Pavyzdinis PROTOKOLAS</w:t>
                      </w:r>
                    </w:p>
                  </w:sdtContent>
                </w:sdt>
                <w:p>
                  <w:pPr/>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pPr/>
                        <w:r>
                          <w:t>Įstaigos (įmonės) pavadinimas</w:t>
                        </w:r>
                      </w:p>
                    </w:tc>
                  </w:tr>
                  <w:tr>
                    <w:tc>
                      <w:tcPr>
                        <w:tcW w:w="9070" w:type="dxa"/>
                        <w:gridSpan w:val="3"/>
                        <w:tcBorders>
                          <w:top w:val="single" w:sz="6" w:space="0" w:color="auto"/>
                          <w:bottom w:val="single" w:sz="6" w:space="0" w:color="auto"/>
                        </w:tcBorders>
                      </w:tcPr>
                      <w:p>
                        <w:pPr/>
                        <w:r>
                          <w:t>Adresas</w:t>
                        </w:r>
                      </w:p>
                    </w:tc>
                  </w:tr>
                  <w:tr>
                    <w:tc>
                      <w:tcPr>
                        <w:tcW w:w="1990" w:type="dxa"/>
                        <w:tcBorders>
                          <w:bottom w:val="single" w:sz="6" w:space="0" w:color="auto"/>
                        </w:tcBorders>
                      </w:tcPr>
                      <w:p>
                        <w:pPr/>
                        <w:r>
                          <w:t>Tel.,</w:t>
                        </w:r>
                      </w:p>
                    </w:tc>
                    <w:tc>
                      <w:tcPr>
                        <w:tcW w:w="1990" w:type="dxa"/>
                        <w:tcBorders>
                          <w:bottom w:val="single" w:sz="6" w:space="0" w:color="auto"/>
                        </w:tcBorders>
                      </w:tcPr>
                      <w:p>
                        <w:pPr/>
                        <w:r>
                          <w:t>faks.</w:t>
                        </w:r>
                      </w:p>
                    </w:tc>
                    <w:tc>
                      <w:tcPr>
                        <w:tcW w:w="5090" w:type="dxa"/>
                        <w:tcBorders>
                          <w:bottom w:val="single" w:sz="6" w:space="0" w:color="auto"/>
                        </w:tcBorders>
                      </w:tcPr>
                      <w:p>
                        <w:pPr/>
                        <w:r>
                          <w:t xml:space="preserve">el. paštas </w:t>
                        </w:r>
                      </w:p>
                    </w:tc>
                  </w:tr>
                </w:tbl>
                <w:p>
                  <w:pPr/>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4"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2eca8011606e435592b93cc5cfc03f41"/>
                        <w:lock w:val="sdtLocked"/>
                        <w:richText/>
                      </w:sdtPr>
                      <w:sdtContent>
                        <w:p>
                          <w:pPr>
                            <w:jc w:val="both"/>
                          </w:pPr>
                          <w:sdt>
                            <w:sdtPr>
                              <w:alias w:val="Numeris"/>
                              <w:tag w:val="nr_2eca8011606e435592b93cc5cfc03f41"/>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pPr/>
                              </w:p>
                            </w:tc>
                            <w:tc>
                              <w:tcPr>
                                <w:tcW w:w="5580" w:type="dxa"/>
                              </w:tcPr>
                              <w:p>
                                <w:pPr/>
                              </w:p>
                            </w:tc>
                          </w:tr>
                          <w:tr>
                            <w:tc>
                              <w:tcPr>
                                <w:tcW w:w="4428" w:type="dxa"/>
                              </w:tcPr>
                              <w:p>
                                <w:pPr/>
                              </w:p>
                            </w:tc>
                            <w:tc>
                              <w:tcPr>
                                <w:tcW w:w="5580" w:type="dxa"/>
                              </w:tcPr>
                              <w:p>
                                <w:pPr/>
                              </w:p>
                            </w:tc>
                          </w:tr>
                          <w:tr>
                            <w:tc>
                              <w:tcPr>
                                <w:tcW w:w="4428" w:type="dxa"/>
                              </w:tcPr>
                              <w:p>
                                <w:pPr/>
                              </w:p>
                            </w:tc>
                            <w:tc>
                              <w:tcPr>
                                <w:tcW w:w="5580" w:type="dxa"/>
                              </w:tcPr>
                              <w:p>
                                <w:pPr/>
                              </w:p>
                            </w:tc>
                          </w:tr>
                        </w:tbl>
                        <w:p>
                          <w:pPr/>
                        </w:p>
                      </w:sdtContent>
                    </w:sdt>
                    <w:sdt>
                      <w:sdtPr>
                        <w:alias w:val="13 pr. 2 p."/>
                        <w:tag w:val="part_683b4b85b26146279cae2b9d8d1dc8de"/>
                        <w:lock w:val="sdtLocked"/>
                        <w:richText/>
                      </w:sdtPr>
                      <w:sdtContent>
                        <w:p>
                          <w:pPr/>
                          <w:sdt>
                            <w:sdtPr>
                              <w:alias w:val="Numeris"/>
                              <w:tag w:val="nr_683b4b85b26146279cae2b9d8d1dc8de"/>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pPr/>
                                <w:r>
                                  <w:t>Tikrinimo duomenys</w:t>
                                </w:r>
                              </w:p>
                            </w:tc>
                            <w:tc>
                              <w:tcPr>
                                <w:tcW w:w="1080" w:type="dxa"/>
                              </w:tcPr>
                              <w:p>
                                <w:pPr/>
                                <w:r>
                                  <w:t>Vyrai</w:t>
                                </w:r>
                              </w:p>
                            </w:tc>
                            <w:tc>
                              <w:tcPr>
                                <w:tcW w:w="1080" w:type="dxa"/>
                              </w:tcPr>
                              <w:p>
                                <w:pPr/>
                                <w:r>
                                  <w:t>Moterys</w:t>
                                </w:r>
                              </w:p>
                            </w:tc>
                            <w:tc>
                              <w:tcPr>
                                <w:tcW w:w="720" w:type="dxa"/>
                              </w:tcPr>
                              <w:p>
                                <w:pPr/>
                                <w:r>
                                  <w:t>Iš viso</w:t>
                                </w:r>
                              </w:p>
                            </w:tc>
                          </w:tr>
                          <w:tr>
                            <w:tc>
                              <w:tcPr>
                                <w:tcW w:w="6948" w:type="dxa"/>
                                <w:gridSpan w:val="5"/>
                              </w:tcPr>
                              <w:p>
                                <w:pPr/>
                                <w:r>
                                  <w:t>Reikėjo patikrinti</w:t>
                                </w:r>
                              </w:p>
                            </w:tc>
                            <w:tc>
                              <w:tcPr>
                                <w:tcW w:w="1080" w:type="dxa"/>
                              </w:tcPr>
                              <w:p>
                                <w:pPr/>
                              </w:p>
                            </w:tc>
                            <w:tc>
                              <w:tcPr>
                                <w:tcW w:w="1080" w:type="dxa"/>
                              </w:tcPr>
                              <w:p>
                                <w:pPr/>
                              </w:p>
                            </w:tc>
                            <w:tc>
                              <w:tcPr>
                                <w:tcW w:w="720" w:type="dxa"/>
                              </w:tcPr>
                              <w:p>
                                <w:pPr/>
                              </w:p>
                            </w:tc>
                          </w:tr>
                          <w:tr>
                            <w:tc>
                              <w:tcPr>
                                <w:tcW w:w="6948" w:type="dxa"/>
                                <w:gridSpan w:val="5"/>
                              </w:tcPr>
                              <w:p>
                                <w:pPr/>
                                <w:r>
                                  <w:t>Patikrinta</w:t>
                                </w:r>
                              </w:p>
                            </w:tc>
                            <w:tc>
                              <w:tcPr>
                                <w:tcW w:w="1080" w:type="dxa"/>
                              </w:tcPr>
                              <w:p>
                                <w:pPr/>
                              </w:p>
                            </w:tc>
                            <w:tc>
                              <w:tcPr>
                                <w:tcW w:w="1080" w:type="dxa"/>
                              </w:tcPr>
                              <w:p>
                                <w:pPr/>
                              </w:p>
                            </w:tc>
                            <w:tc>
                              <w:tcPr>
                                <w:tcW w:w="720" w:type="dxa"/>
                              </w:tcPr>
                              <w:p>
                                <w:pPr/>
                              </w:p>
                            </w:tc>
                          </w:tr>
                          <w:tr>
                            <w:trPr>
                              <w:cantSplit/>
                            </w:trPr>
                            <w:tc>
                              <w:tcPr>
                                <w:tcW w:w="918" w:type="dxa"/>
                              </w:tcPr>
                              <w:p>
                                <w:pPr/>
                                <w:r>
                                  <w:t>Eil. Nr.</w:t>
                                </w:r>
                              </w:p>
                            </w:tc>
                            <w:tc>
                              <w:tcPr>
                                <w:tcW w:w="2070" w:type="dxa"/>
                              </w:tcPr>
                              <w:p>
                                <w:pPr/>
                                <w:r>
                                  <w:t>vardas, pavardė</w:t>
                                </w:r>
                              </w:p>
                            </w:tc>
                            <w:tc>
                              <w:tcPr>
                                <w:tcW w:w="990" w:type="dxa"/>
                              </w:tcPr>
                              <w:p>
                                <w:pPr/>
                                <w:r>
                                  <w:t>gim. m.</w:t>
                                </w:r>
                              </w:p>
                            </w:tc>
                            <w:tc>
                              <w:tcPr>
                                <w:tcW w:w="1080" w:type="dxa"/>
                              </w:tcPr>
                              <w:p>
                                <w:pPr/>
                                <w:r>
                                  <w:t>profesija</w:t>
                                </w:r>
                              </w:p>
                            </w:tc>
                            <w:tc>
                              <w:tcPr>
                                <w:tcW w:w="1890" w:type="dxa"/>
                              </w:tcPr>
                              <w:p>
                                <w:pPr/>
                                <w:r>
                                  <w:t>profesinės rizikos veiksnys</w:t>
                                </w:r>
                              </w:p>
                            </w:tc>
                            <w:tc>
                              <w:tcPr>
                                <w:tcW w:w="1080" w:type="dxa"/>
                              </w:tcPr>
                              <w:p>
                                <w:pPr/>
                              </w:p>
                            </w:tc>
                            <w:tc>
                              <w:tcPr>
                                <w:tcW w:w="1080" w:type="dxa"/>
                              </w:tcPr>
                              <w:p>
                                <w:pPr/>
                              </w:p>
                            </w:tc>
                            <w:tc>
                              <w:tcPr>
                                <w:tcW w:w="720" w:type="dxa"/>
                              </w:tcPr>
                              <w:p>
                                <w:pPr/>
                              </w:p>
                            </w:tc>
                          </w:tr>
                          <w:tr>
                            <w:trPr>
                              <w:cantSplit/>
                            </w:trPr>
                            <w:tc>
                              <w:tcPr>
                                <w:tcW w:w="918" w:type="dxa"/>
                              </w:tcPr>
                              <w:p>
                                <w:pPr/>
                                <w:r>
                                  <w:t>1.</w:t>
                                </w:r>
                              </w:p>
                            </w:tc>
                            <w:tc>
                              <w:tcPr>
                                <w:tcW w:w="2070" w:type="dxa"/>
                              </w:tcPr>
                              <w:p>
                                <w:pPr/>
                              </w:p>
                            </w:tc>
                            <w:tc>
                              <w:tcPr>
                                <w:tcW w:w="990" w:type="dxa"/>
                              </w:tcPr>
                              <w:p>
                                <w:pPr/>
                              </w:p>
                            </w:tc>
                            <w:tc>
                              <w:tcPr>
                                <w:tcW w:w="1080" w:type="dxa"/>
                              </w:tcPr>
                              <w:p>
                                <w:pPr/>
                              </w:p>
                            </w:tc>
                            <w:tc>
                              <w:tcPr>
                                <w:tcW w:w="1890" w:type="dxa"/>
                              </w:tcPr>
                              <w:p>
                                <w:pPr/>
                              </w:p>
                            </w:tc>
                            <w:tc>
                              <w:tcPr>
                                <w:tcW w:w="1080" w:type="dxa"/>
                              </w:tcPr>
                              <w:p>
                                <w:pPr/>
                              </w:p>
                            </w:tc>
                            <w:tc>
                              <w:tcPr>
                                <w:tcW w:w="1080" w:type="dxa"/>
                              </w:tcPr>
                              <w:p>
                                <w:pPr/>
                              </w:p>
                            </w:tc>
                            <w:tc>
                              <w:tcPr>
                                <w:tcW w:w="720" w:type="dxa"/>
                              </w:tcPr>
                              <w:p>
                                <w:pPr/>
                              </w:p>
                            </w:tc>
                          </w:tr>
                          <w:tr>
                            <w:trPr>
                              <w:cantSplit/>
                            </w:trPr>
                            <w:tc>
                              <w:tcPr>
                                <w:tcW w:w="918" w:type="dxa"/>
                              </w:tcPr>
                              <w:p>
                                <w:pPr/>
                                <w:r>
                                  <w:t>2.</w:t>
                                </w:r>
                              </w:p>
                            </w:tc>
                            <w:tc>
                              <w:tcPr>
                                <w:tcW w:w="2070" w:type="dxa"/>
                              </w:tcPr>
                              <w:p>
                                <w:pPr/>
                              </w:p>
                            </w:tc>
                            <w:tc>
                              <w:tcPr>
                                <w:tcW w:w="990" w:type="dxa"/>
                              </w:tcPr>
                              <w:p>
                                <w:pPr/>
                              </w:p>
                            </w:tc>
                            <w:tc>
                              <w:tcPr>
                                <w:tcW w:w="1080" w:type="dxa"/>
                              </w:tcPr>
                              <w:p>
                                <w:pPr/>
                              </w:p>
                            </w:tc>
                            <w:tc>
                              <w:tcPr>
                                <w:tcW w:w="1890" w:type="dxa"/>
                              </w:tcPr>
                              <w:p>
                                <w:pPr/>
                              </w:p>
                            </w:tc>
                            <w:tc>
                              <w:tcPr>
                                <w:tcW w:w="1080" w:type="dxa"/>
                              </w:tcPr>
                              <w:p>
                                <w:pPr/>
                              </w:p>
                            </w:tc>
                            <w:tc>
                              <w:tcPr>
                                <w:tcW w:w="1080" w:type="dxa"/>
                              </w:tcPr>
                              <w:p>
                                <w:pPr/>
                              </w:p>
                            </w:tc>
                            <w:tc>
                              <w:tcPr>
                                <w:tcW w:w="720" w:type="dxa"/>
                              </w:tcPr>
                              <w:p>
                                <w:pPr/>
                              </w:p>
                            </w:tc>
                          </w:tr>
                          <w:tr>
                            <w:trPr>
                              <w:cantSplit/>
                            </w:trPr>
                            <w:tc>
                              <w:tcPr>
                                <w:tcW w:w="918" w:type="dxa"/>
                              </w:tcPr>
                              <w:p>
                                <w:pPr/>
                                <w:r>
                                  <w:t>3.</w:t>
                                </w:r>
                              </w:p>
                            </w:tc>
                            <w:tc>
                              <w:tcPr>
                                <w:tcW w:w="2070" w:type="dxa"/>
                              </w:tcPr>
                              <w:p>
                                <w:pPr/>
                              </w:p>
                            </w:tc>
                            <w:tc>
                              <w:tcPr>
                                <w:tcW w:w="990" w:type="dxa"/>
                              </w:tcPr>
                              <w:p>
                                <w:pPr/>
                              </w:p>
                            </w:tc>
                            <w:tc>
                              <w:tcPr>
                                <w:tcW w:w="1080" w:type="dxa"/>
                              </w:tcPr>
                              <w:p>
                                <w:pPr/>
                              </w:p>
                            </w:tc>
                            <w:tc>
                              <w:tcPr>
                                <w:tcW w:w="1890" w:type="dxa"/>
                              </w:tcPr>
                              <w:p>
                                <w:pPr/>
                              </w:p>
                            </w:tc>
                            <w:tc>
                              <w:tcPr>
                                <w:tcW w:w="1080" w:type="dxa"/>
                              </w:tcPr>
                              <w:p>
                                <w:pPr/>
                              </w:p>
                            </w:tc>
                            <w:tc>
                              <w:tcPr>
                                <w:tcW w:w="1080" w:type="dxa"/>
                              </w:tcPr>
                              <w:p>
                                <w:pPr/>
                              </w:p>
                            </w:tc>
                            <w:tc>
                              <w:tcPr>
                                <w:tcW w:w="720" w:type="dxa"/>
                              </w:tcPr>
                              <w:p>
                                <w:pPr/>
                              </w:p>
                            </w:tc>
                          </w:tr>
                        </w:tbl>
                        <w:p>
                          <w:pPr/>
                        </w:p>
                      </w:sdtContent>
                    </w:sdt>
                    <w:sdt>
                      <w:sdtPr>
                        <w:alias w:val="13 pr. 3 p."/>
                        <w:tag w:val="part_1e8e88a65b1b44c99ce758d2f39e3056"/>
                        <w:lock w:val="sdtLocked"/>
                        <w:richText/>
                      </w:sdtPr>
                      <w:sdtContent>
                        <w:p>
                          <w:pPr/>
                          <w:sdt>
                            <w:sdtPr>
                              <w:alias w:val="Numeris"/>
                              <w:tag w:val="nr_1e8e88a65b1b44c99ce758d2f39e3056"/>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pPr/>
                                <w:r>
                                  <w:t>Eil. Nr.</w:t>
                                </w:r>
                              </w:p>
                            </w:tc>
                            <w:tc>
                              <w:tcPr>
                                <w:tcW w:w="4770" w:type="dxa"/>
                                <w:tcBorders>
                                  <w:top w:val="single" w:sz="6" w:space="0" w:color="auto"/>
                                  <w:left w:val="single" w:sz="6" w:space="0" w:color="auto"/>
                                  <w:bottom w:val="single" w:sz="6" w:space="0" w:color="auto"/>
                                  <w:right w:val="single" w:sz="6" w:space="0" w:color="auto"/>
                                </w:tcBorders>
                              </w:tcPr>
                              <w:p>
                                <w:pPr/>
                                <w:r>
                                  <w:t>Tyrimai</w:t>
                                </w:r>
                              </w:p>
                            </w:tc>
                            <w:tc>
                              <w:tcPr>
                                <w:tcW w:w="3420" w:type="dxa"/>
                                <w:tcBorders>
                                  <w:top w:val="single" w:sz="6" w:space="0" w:color="auto"/>
                                  <w:bottom w:val="single" w:sz="6" w:space="0" w:color="auto"/>
                                  <w:right w:val="single" w:sz="6" w:space="0" w:color="auto"/>
                                </w:tcBorders>
                              </w:tcPr>
                              <w:p>
                                <w:pPr/>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1.</w:t>
                                </w:r>
                              </w:p>
                            </w:tc>
                            <w:tc>
                              <w:tcPr>
                                <w:tcW w:w="4770" w:type="dxa"/>
                              </w:tcPr>
                              <w:p>
                                <w:pPr/>
                                <w:r>
                                  <w:t>Klinikiniai kraujo tyrimai (Hb, leukocitai, ENG)</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2.</w:t>
                                </w:r>
                              </w:p>
                            </w:tc>
                            <w:tc>
                              <w:tcPr>
                                <w:tcW w:w="4770" w:type="dxa"/>
                              </w:tcPr>
                              <w:p>
                                <w:pPr/>
                                <w:r>
                                  <w:t>Šlapimo tyrimai</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3.</w:t>
                                </w:r>
                              </w:p>
                            </w:tc>
                            <w:tc>
                              <w:tcPr>
                                <w:tcW w:w="4770" w:type="dxa"/>
                              </w:tcPr>
                              <w:p>
                                <w:pPr/>
                                <w:r>
                                  <w:t>Krūtinės ląstos rentgenogramos</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4.</w:t>
                                </w:r>
                              </w:p>
                            </w:tc>
                            <w:tc>
                              <w:tcPr>
                                <w:tcW w:w="4770" w:type="dxa"/>
                              </w:tcPr>
                              <w:p>
                                <w:pPr/>
                                <w:r>
                                  <w:t>Biocheminiai kraujo tyrimai</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 xml:space="preserve">5. </w:t>
                                </w:r>
                              </w:p>
                            </w:tc>
                            <w:tc>
                              <w:tcPr>
                                <w:tcW w:w="4770" w:type="dxa"/>
                              </w:tcPr>
                              <w:p>
                                <w:pPr/>
                                <w:r>
                                  <w:t>Mikroprecipitacijos reakcijos</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6.</w:t>
                                </w:r>
                              </w:p>
                            </w:tc>
                            <w:tc>
                              <w:tcPr>
                                <w:tcW w:w="4770" w:type="dxa"/>
                              </w:tcPr>
                              <w:p>
                                <w:pPr/>
                                <w:r>
                                  <w:t>Audiogramos</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7.</w:t>
                                </w:r>
                              </w:p>
                            </w:tc>
                            <w:tc>
                              <w:tcPr>
                                <w:tcW w:w="4770" w:type="dxa"/>
                              </w:tcPr>
                              <w:p>
                                <w:pPr/>
                                <w:r>
                                  <w:t>EKG</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8.</w:t>
                                </w:r>
                              </w:p>
                            </w:tc>
                            <w:tc>
                              <w:tcPr>
                                <w:tcW w:w="4770" w:type="dxa"/>
                              </w:tcPr>
                              <w:p>
                                <w:pPr/>
                                <w:r>
                                  <w:t>Tyrimai ultragarsu</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9.</w:t>
                                </w:r>
                              </w:p>
                            </w:tc>
                            <w:tc>
                              <w:tcPr>
                                <w:tcW w:w="4770" w:type="dxa"/>
                              </w:tcPr>
                              <w:p>
                                <w:pPr/>
                                <w:r>
                                  <w:t>Kvėpavimo funkcijos tyrimai</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 xml:space="preserve">10. </w:t>
                                </w:r>
                              </w:p>
                            </w:tc>
                            <w:tc>
                              <w:tcPr>
                                <w:tcW w:w="4770" w:type="dxa"/>
                              </w:tcPr>
                              <w:p>
                                <w:pPr/>
                                <w:r>
                                  <w:t>Skreplių citologiniai tyrimai</w:t>
                                </w:r>
                              </w:p>
                            </w:tc>
                            <w:tc>
                              <w:tcPr>
                                <w:tcW w:w="3420" w:type="dxa"/>
                              </w:tcPr>
                              <w:p>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pPr/>
                                <w:r>
                                  <w:t xml:space="preserve">11. </w:t>
                                </w:r>
                              </w:p>
                            </w:tc>
                            <w:tc>
                              <w:tcPr>
                                <w:tcW w:w="4770" w:type="dxa"/>
                              </w:tcPr>
                              <w:p>
                                <w:pPr/>
                                <w:r>
                                  <w:t>Kiti tyrimai</w:t>
                                </w:r>
                              </w:p>
                            </w:tc>
                            <w:tc>
                              <w:tcPr>
                                <w:tcW w:w="3420" w:type="dxa"/>
                              </w:tcPr>
                              <w:p>
                                <w:pPr/>
                              </w:p>
                            </w:tc>
                          </w:tr>
                        </w:tbl>
                        <w:p>
                          <w:pPr/>
                        </w:p>
                      </w:sdtContent>
                    </w:sdt>
                    <w:sdt>
                      <w:sdtPr>
                        <w:alias w:val="13 pr. 4 p."/>
                        <w:tag w:val="part_7cbcaa02482b4dde8bba39079773e7a1"/>
                        <w:lock w:val="sdtLocked"/>
                        <w:richText/>
                      </w:sdtPr>
                      <w:sdtContent>
                        <w:p>
                          <w:pPr/>
                          <w:sdt>
                            <w:sdtPr>
                              <w:alias w:val="Numeris"/>
                              <w:tag w:val="nr_7cbcaa02482b4dde8bba39079773e7a1"/>
                              <w:lock w:val="sdtLocked"/>
                              <w:richText/>
                            </w:sdtPr>
                            <w:sdtContent>
                              <w:r>
                                <w:t>4</w:t>
                              </w:r>
                            </w:sdtContent>
                          </w:sdt>
                          <w:r>
                            <w:t>. Pateiktos išvados:</w:t>
                          </w:r>
                        </w:p>
                        <w:sdt>
                          <w:sdtPr>
                            <w:alias w:val="13 pr. 4.1 p."/>
                            <w:tag w:val="part_90a71ac010a44a4cac27ec09489b1212"/>
                            <w:lock w:val="sdtLocked"/>
                            <w:richText/>
                          </w:sdtPr>
                          <w:sdtContent>
                            <w:p>
                              <w:pPr/>
                              <w:sdt>
                                <w:sdtPr>
                                  <w:alias w:val="Numeris"/>
                                  <w:tag w:val="nr_90a71ac010a44a4cac27ec09489b1212"/>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pPr/>
                                    <w:r>
                                      <w:t>Eil. Nr.</w:t>
                                    </w:r>
                                  </w:p>
                                </w:tc>
                                <w:tc>
                                  <w:tcPr>
                                    <w:tcW w:w="1701" w:type="dxa"/>
                                  </w:tcPr>
                                  <w:p>
                                    <w:pPr/>
                                    <w:r>
                                      <w:t>Vardas, pavardė</w:t>
                                    </w:r>
                                  </w:p>
                                </w:tc>
                                <w:tc>
                                  <w:tcPr>
                                    <w:tcW w:w="972" w:type="dxa"/>
                                  </w:tcPr>
                                  <w:p>
                                    <w:pPr/>
                                    <w:r>
                                      <w:t>Gim. m.</w:t>
                                    </w:r>
                                  </w:p>
                                </w:tc>
                                <w:tc>
                                  <w:tcPr>
                                    <w:tcW w:w="1170" w:type="dxa"/>
                                  </w:tcPr>
                                  <w:p>
                                    <w:pPr/>
                                    <w:r>
                                      <w:t>Profesija</w:t>
                                    </w:r>
                                  </w:p>
                                </w:tc>
                                <w:tc>
                                  <w:tcPr>
                                    <w:tcW w:w="1530" w:type="dxa"/>
                                  </w:tcPr>
                                  <w:p>
                                    <w:pPr/>
                                    <w:r>
                                      <w:t>Profesinės rizikos veiksnys</w:t>
                                    </w:r>
                                  </w:p>
                                </w:tc>
                                <w:tc>
                                  <w:tcPr>
                                    <w:tcW w:w="1620" w:type="dxa"/>
                                  </w:tcPr>
                                  <w:p>
                                    <w:pPr/>
                                    <w:r>
                                      <w:t>Apribojimai</w:t>
                                    </w:r>
                                  </w:p>
                                </w:tc>
                                <w:tc>
                                  <w:tcPr>
                                    <w:tcW w:w="2250" w:type="dxa"/>
                                  </w:tcPr>
                                  <w:p>
                                    <w:pPr/>
                                    <w:r>
                                      <w:t>Siūlymai darbdaviui ir darbuotojui</w:t>
                                    </w:r>
                                  </w:p>
                                </w:tc>
                              </w:tr>
                              <w:tr>
                                <w:tc>
                                  <w:tcPr>
                                    <w:tcW w:w="675" w:type="dxa"/>
                                    <w:tcBorders>
                                      <w:top w:val="nil"/>
                                    </w:tcBorders>
                                  </w:tcPr>
                                  <w:p>
                                    <w:pPr/>
                                    <w:r>
                                      <w:t>1.</w:t>
                                    </w:r>
                                  </w:p>
                                </w:tc>
                                <w:tc>
                                  <w:tcPr>
                                    <w:tcW w:w="1701" w:type="dxa"/>
                                    <w:tcBorders>
                                      <w:top w:val="nil"/>
                                    </w:tcBorders>
                                  </w:tcPr>
                                  <w:p>
                                    <w:pPr/>
                                  </w:p>
                                </w:tc>
                                <w:tc>
                                  <w:tcPr>
                                    <w:tcW w:w="972" w:type="dxa"/>
                                    <w:tcBorders>
                                      <w:top w:val="nil"/>
                                    </w:tcBorders>
                                  </w:tcPr>
                                  <w:p>
                                    <w:pPr/>
                                  </w:p>
                                </w:tc>
                                <w:tc>
                                  <w:tcPr>
                                    <w:tcW w:w="1170" w:type="dxa"/>
                                    <w:tcBorders>
                                      <w:top w:val="nil"/>
                                    </w:tcBorders>
                                  </w:tcPr>
                                  <w:p>
                                    <w:pPr/>
                                  </w:p>
                                </w:tc>
                                <w:tc>
                                  <w:tcPr>
                                    <w:tcW w:w="1530" w:type="dxa"/>
                                    <w:tcBorders>
                                      <w:top w:val="nil"/>
                                    </w:tcBorders>
                                  </w:tcPr>
                                  <w:p>
                                    <w:pPr/>
                                  </w:p>
                                </w:tc>
                                <w:tc>
                                  <w:tcPr>
                                    <w:tcW w:w="1620" w:type="dxa"/>
                                    <w:tcBorders>
                                      <w:top w:val="nil"/>
                                    </w:tcBorders>
                                  </w:tcPr>
                                  <w:p>
                                    <w:pPr/>
                                  </w:p>
                                </w:tc>
                                <w:tc>
                                  <w:tcPr>
                                    <w:tcW w:w="2250" w:type="dxa"/>
                                    <w:tcBorders>
                                      <w:top w:val="nil"/>
                                    </w:tcBorders>
                                  </w:tcPr>
                                  <w:p>
                                    <w:pPr/>
                                  </w:p>
                                </w:tc>
                              </w:tr>
                              <w:tr>
                                <w:tc>
                                  <w:tcPr>
                                    <w:tcW w:w="675" w:type="dxa"/>
                                  </w:tcPr>
                                  <w:p>
                                    <w:pPr/>
                                    <w:r>
                                      <w:t>2.</w:t>
                                    </w:r>
                                  </w:p>
                                </w:tc>
                                <w:tc>
                                  <w:tcPr>
                                    <w:tcW w:w="1701" w:type="dxa"/>
                                  </w:tcPr>
                                  <w:p>
                                    <w:pPr/>
                                  </w:p>
                                </w:tc>
                                <w:tc>
                                  <w:tcPr>
                                    <w:tcW w:w="972" w:type="dxa"/>
                                  </w:tcPr>
                                  <w:p>
                                    <w:pPr/>
                                  </w:p>
                                </w:tc>
                                <w:tc>
                                  <w:tcPr>
                                    <w:tcW w:w="1170" w:type="dxa"/>
                                  </w:tcPr>
                                  <w:p>
                                    <w:pPr/>
                                  </w:p>
                                </w:tc>
                                <w:tc>
                                  <w:tcPr>
                                    <w:tcW w:w="1530" w:type="dxa"/>
                                  </w:tcPr>
                                  <w:p>
                                    <w:pPr/>
                                  </w:p>
                                </w:tc>
                                <w:tc>
                                  <w:tcPr>
                                    <w:tcW w:w="1620" w:type="dxa"/>
                                  </w:tcPr>
                                  <w:p>
                                    <w:pPr/>
                                  </w:p>
                                </w:tc>
                                <w:tc>
                                  <w:tcPr>
                                    <w:tcW w:w="2250" w:type="dxa"/>
                                  </w:tcPr>
                                  <w:p>
                                    <w:pPr/>
                                  </w:p>
                                </w:tc>
                              </w:tr>
                              <w:tr>
                                <w:tc>
                                  <w:tcPr>
                                    <w:tcW w:w="675" w:type="dxa"/>
                                  </w:tcPr>
                                  <w:p>
                                    <w:pPr/>
                                    <w:r>
                                      <w:t>3.</w:t>
                                    </w:r>
                                  </w:p>
                                </w:tc>
                                <w:tc>
                                  <w:tcPr>
                                    <w:tcW w:w="1701" w:type="dxa"/>
                                  </w:tcPr>
                                  <w:p>
                                    <w:pPr/>
                                  </w:p>
                                </w:tc>
                                <w:tc>
                                  <w:tcPr>
                                    <w:tcW w:w="972" w:type="dxa"/>
                                  </w:tcPr>
                                  <w:p>
                                    <w:pPr/>
                                  </w:p>
                                </w:tc>
                                <w:tc>
                                  <w:tcPr>
                                    <w:tcW w:w="1170" w:type="dxa"/>
                                  </w:tcPr>
                                  <w:p>
                                    <w:pPr/>
                                  </w:p>
                                </w:tc>
                                <w:tc>
                                  <w:tcPr>
                                    <w:tcW w:w="1530" w:type="dxa"/>
                                  </w:tcPr>
                                  <w:p>
                                    <w:pPr/>
                                  </w:p>
                                </w:tc>
                                <w:tc>
                                  <w:tcPr>
                                    <w:tcW w:w="1620" w:type="dxa"/>
                                  </w:tcPr>
                                  <w:p>
                                    <w:pPr/>
                                  </w:p>
                                </w:tc>
                                <w:tc>
                                  <w:tcPr>
                                    <w:tcW w:w="2250" w:type="dxa"/>
                                  </w:tcPr>
                                  <w:p>
                                    <w:pPr/>
                                  </w:p>
                                </w:tc>
                              </w:tr>
                            </w:tbl>
                            <w:p>
                              <w:pPr/>
                            </w:p>
                          </w:sdtContent>
                        </w:sdt>
                        <w:sdt>
                          <w:sdtPr>
                            <w:alias w:val="13 pr. 4.2 p."/>
                            <w:tag w:val="part_5483e6c0fb2545aab52ae730b862fc8e"/>
                            <w:lock w:val="sdtLocked"/>
                            <w:richText/>
                          </w:sdtPr>
                          <w:sdtContent>
                            <w:p>
                              <w:pPr/>
                              <w:sdt>
                                <w:sdtPr>
                                  <w:alias w:val="Numeris"/>
                                  <w:tag w:val="nr_5483e6c0fb2545aab52ae730b862fc8e"/>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pPr/>
                                    <w:r>
                                      <w:t>Eil. Nr.</w:t>
                                    </w:r>
                                  </w:p>
                                </w:tc>
                                <w:tc>
                                  <w:tcPr>
                                    <w:tcW w:w="1683" w:type="dxa"/>
                                  </w:tcPr>
                                  <w:p>
                                    <w:pPr/>
                                    <w:r>
                                      <w:t>Vardas, pavardė</w:t>
                                    </w:r>
                                  </w:p>
                                </w:tc>
                                <w:tc>
                                  <w:tcPr>
                                    <w:tcW w:w="990" w:type="dxa"/>
                                  </w:tcPr>
                                  <w:p>
                                    <w:pPr/>
                                    <w:r>
                                      <w:t>Gim. m.</w:t>
                                    </w:r>
                                  </w:p>
                                </w:tc>
                                <w:tc>
                                  <w:tcPr>
                                    <w:tcW w:w="1170" w:type="dxa"/>
                                  </w:tcPr>
                                  <w:p>
                                    <w:pPr/>
                                    <w:r>
                                      <w:t>Profesija</w:t>
                                    </w:r>
                                  </w:p>
                                </w:tc>
                                <w:tc>
                                  <w:tcPr>
                                    <w:tcW w:w="1530" w:type="dxa"/>
                                  </w:tcPr>
                                  <w:p>
                                    <w:pPr/>
                                    <w:r>
                                      <w:t>Profesinės rizikos veiksnys</w:t>
                                    </w:r>
                                  </w:p>
                                </w:tc>
                                <w:tc>
                                  <w:tcPr>
                                    <w:tcW w:w="1620" w:type="dxa"/>
                                  </w:tcPr>
                                  <w:p>
                                    <w:pPr/>
                                    <w:r>
                                      <w:t>Įtariama diagnozė</w:t>
                                    </w:r>
                                  </w:p>
                                </w:tc>
                                <w:tc>
                                  <w:tcPr>
                                    <w:tcW w:w="2250" w:type="dxa"/>
                                  </w:tcPr>
                                  <w:p>
                                    <w:pPr/>
                                    <w:r>
                                      <w:t xml:space="preserve">Siūlymai darbdaviui ir darbuotojui </w:t>
                                    </w:r>
                                  </w:p>
                                </w:tc>
                              </w:tr>
                              <w:tr>
                                <w:tc>
                                  <w:tcPr>
                                    <w:tcW w:w="675" w:type="dxa"/>
                                  </w:tcPr>
                                  <w:p>
                                    <w:pPr/>
                                    <w:r>
                                      <w:t>1.</w:t>
                                    </w:r>
                                  </w:p>
                                </w:tc>
                                <w:tc>
                                  <w:tcPr>
                                    <w:tcW w:w="1683" w:type="dxa"/>
                                  </w:tcPr>
                                  <w:p>
                                    <w:pPr/>
                                  </w:p>
                                </w:tc>
                                <w:tc>
                                  <w:tcPr>
                                    <w:tcW w:w="990" w:type="dxa"/>
                                  </w:tcPr>
                                  <w:p>
                                    <w:pPr/>
                                  </w:p>
                                </w:tc>
                                <w:tc>
                                  <w:tcPr>
                                    <w:tcW w:w="1170" w:type="dxa"/>
                                  </w:tcPr>
                                  <w:p>
                                    <w:pPr/>
                                  </w:p>
                                </w:tc>
                                <w:tc>
                                  <w:tcPr>
                                    <w:tcW w:w="1530" w:type="dxa"/>
                                  </w:tcPr>
                                  <w:p>
                                    <w:pPr/>
                                  </w:p>
                                </w:tc>
                                <w:tc>
                                  <w:tcPr>
                                    <w:tcW w:w="1620" w:type="dxa"/>
                                  </w:tcPr>
                                  <w:p>
                                    <w:pPr/>
                                  </w:p>
                                </w:tc>
                                <w:tc>
                                  <w:tcPr>
                                    <w:tcW w:w="2250" w:type="dxa"/>
                                  </w:tcPr>
                                  <w:p>
                                    <w:pPr/>
                                  </w:p>
                                </w:tc>
                              </w:tr>
                              <w:tr>
                                <w:tc>
                                  <w:tcPr>
                                    <w:tcW w:w="675" w:type="dxa"/>
                                  </w:tcPr>
                                  <w:p>
                                    <w:pPr/>
                                    <w:r>
                                      <w:t>2.</w:t>
                                    </w:r>
                                  </w:p>
                                </w:tc>
                                <w:tc>
                                  <w:tcPr>
                                    <w:tcW w:w="1683" w:type="dxa"/>
                                  </w:tcPr>
                                  <w:p>
                                    <w:pPr/>
                                  </w:p>
                                </w:tc>
                                <w:tc>
                                  <w:tcPr>
                                    <w:tcW w:w="990" w:type="dxa"/>
                                  </w:tcPr>
                                  <w:p>
                                    <w:pPr/>
                                  </w:p>
                                </w:tc>
                                <w:tc>
                                  <w:tcPr>
                                    <w:tcW w:w="1170" w:type="dxa"/>
                                  </w:tcPr>
                                  <w:p>
                                    <w:pPr/>
                                  </w:p>
                                </w:tc>
                                <w:tc>
                                  <w:tcPr>
                                    <w:tcW w:w="1530" w:type="dxa"/>
                                  </w:tcPr>
                                  <w:p>
                                    <w:pPr/>
                                  </w:p>
                                </w:tc>
                                <w:tc>
                                  <w:tcPr>
                                    <w:tcW w:w="1620" w:type="dxa"/>
                                  </w:tcPr>
                                  <w:p>
                                    <w:pPr/>
                                  </w:p>
                                </w:tc>
                                <w:tc>
                                  <w:tcPr>
                                    <w:tcW w:w="2250" w:type="dxa"/>
                                  </w:tcPr>
                                  <w:p>
                                    <w:pPr/>
                                  </w:p>
                                </w:tc>
                              </w:tr>
                              <w:tr>
                                <w:tc>
                                  <w:tcPr>
                                    <w:tcW w:w="675" w:type="dxa"/>
                                  </w:tcPr>
                                  <w:p>
                                    <w:pPr/>
                                    <w:r>
                                      <w:t>3.</w:t>
                                    </w:r>
                                  </w:p>
                                </w:tc>
                                <w:tc>
                                  <w:tcPr>
                                    <w:tcW w:w="1683" w:type="dxa"/>
                                  </w:tcPr>
                                  <w:p>
                                    <w:pPr/>
                                  </w:p>
                                </w:tc>
                                <w:tc>
                                  <w:tcPr>
                                    <w:tcW w:w="990" w:type="dxa"/>
                                  </w:tcPr>
                                  <w:p>
                                    <w:pPr/>
                                  </w:p>
                                </w:tc>
                                <w:tc>
                                  <w:tcPr>
                                    <w:tcW w:w="1170" w:type="dxa"/>
                                  </w:tcPr>
                                  <w:p>
                                    <w:pPr/>
                                  </w:p>
                                </w:tc>
                                <w:tc>
                                  <w:tcPr>
                                    <w:tcW w:w="1530" w:type="dxa"/>
                                  </w:tcPr>
                                  <w:p>
                                    <w:pPr/>
                                  </w:p>
                                </w:tc>
                                <w:tc>
                                  <w:tcPr>
                                    <w:tcW w:w="1620" w:type="dxa"/>
                                  </w:tcPr>
                                  <w:p>
                                    <w:pPr/>
                                  </w:p>
                                </w:tc>
                                <w:tc>
                                  <w:tcPr>
                                    <w:tcW w:w="2250" w:type="dxa"/>
                                  </w:tcPr>
                                  <w:p>
                                    <w:pPr/>
                                  </w:p>
                                </w:tc>
                              </w:tr>
                            </w:tbl>
                            <w:p>
                              <w:pPr/>
                            </w:p>
                          </w:sdtContent>
                        </w:sdt>
                        <w:sdt>
                          <w:sdtPr>
                            <w:alias w:val="13 pr. 4.3 p."/>
                            <w:tag w:val="part_cc4e04ee9d844291a37db03a334731f3"/>
                            <w:lock w:val="sdtLocked"/>
                            <w:richText/>
                          </w:sdtPr>
                          <w:sdtContent>
                            <w:p>
                              <w:pPr/>
                              <w:sdt>
                                <w:sdtPr>
                                  <w:alias w:val="Numeris"/>
                                  <w:tag w:val="nr_cc4e04ee9d844291a37db03a334731f3"/>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pPr/>
                                    <w:r>
                                      <w:t>Eil. Nr.</w:t>
                                    </w:r>
                                  </w:p>
                                </w:tc>
                                <w:tc>
                                  <w:tcPr>
                                    <w:tcW w:w="1683" w:type="dxa"/>
                                  </w:tcPr>
                                  <w:p>
                                    <w:pPr/>
                                    <w:r>
                                      <w:t>Vardas, pavardė</w:t>
                                    </w:r>
                                  </w:p>
                                </w:tc>
                                <w:tc>
                                  <w:tcPr>
                                    <w:tcW w:w="990" w:type="dxa"/>
                                  </w:tcPr>
                                  <w:p>
                                    <w:pPr/>
                                    <w:r>
                                      <w:t>Gim. m.</w:t>
                                    </w:r>
                                  </w:p>
                                </w:tc>
                                <w:tc>
                                  <w:tcPr>
                                    <w:tcW w:w="1170" w:type="dxa"/>
                                  </w:tcPr>
                                  <w:p>
                                    <w:pPr/>
                                    <w:r>
                                      <w:t>Profesija</w:t>
                                    </w:r>
                                  </w:p>
                                </w:tc>
                                <w:tc>
                                  <w:tcPr>
                                    <w:tcW w:w="2340" w:type="dxa"/>
                                  </w:tcPr>
                                  <w:p>
                                    <w:pPr/>
                                    <w:r>
                                      <w:t>Profesinės rizikos veiksnys</w:t>
                                    </w:r>
                                  </w:p>
                                </w:tc>
                                <w:tc>
                                  <w:tcPr>
                                    <w:tcW w:w="3060" w:type="dxa"/>
                                  </w:tcPr>
                                  <w:p>
                                    <w:pPr/>
                                    <w:r>
                                      <w:t>Siūlymai darbdaviui ir darbuotojui</w:t>
                                    </w:r>
                                  </w:p>
                                </w:tc>
                              </w:tr>
                              <w:tr>
                                <w:tc>
                                  <w:tcPr>
                                    <w:tcW w:w="675" w:type="dxa"/>
                                  </w:tcPr>
                                  <w:p>
                                    <w:pPr/>
                                    <w:r>
                                      <w:t>1.</w:t>
                                    </w:r>
                                  </w:p>
                                </w:tc>
                                <w:tc>
                                  <w:tcPr>
                                    <w:tcW w:w="1683" w:type="dxa"/>
                                  </w:tcPr>
                                  <w:p>
                                    <w:pPr/>
                                  </w:p>
                                </w:tc>
                                <w:tc>
                                  <w:tcPr>
                                    <w:tcW w:w="990" w:type="dxa"/>
                                  </w:tcPr>
                                  <w:p>
                                    <w:pPr/>
                                  </w:p>
                                </w:tc>
                                <w:tc>
                                  <w:tcPr>
                                    <w:tcW w:w="1170" w:type="dxa"/>
                                  </w:tcPr>
                                  <w:p>
                                    <w:pPr/>
                                  </w:p>
                                </w:tc>
                                <w:tc>
                                  <w:tcPr>
                                    <w:tcW w:w="2340" w:type="dxa"/>
                                  </w:tcPr>
                                  <w:p>
                                    <w:pPr/>
                                  </w:p>
                                </w:tc>
                                <w:tc>
                                  <w:tcPr>
                                    <w:tcW w:w="3060" w:type="dxa"/>
                                  </w:tcPr>
                                  <w:p>
                                    <w:pPr/>
                                  </w:p>
                                </w:tc>
                              </w:tr>
                              <w:tr>
                                <w:tc>
                                  <w:tcPr>
                                    <w:tcW w:w="675" w:type="dxa"/>
                                  </w:tcPr>
                                  <w:p>
                                    <w:pPr/>
                                    <w:r>
                                      <w:t>2.</w:t>
                                    </w:r>
                                  </w:p>
                                </w:tc>
                                <w:tc>
                                  <w:tcPr>
                                    <w:tcW w:w="1683" w:type="dxa"/>
                                  </w:tcPr>
                                  <w:p>
                                    <w:pPr/>
                                  </w:p>
                                </w:tc>
                                <w:tc>
                                  <w:tcPr>
                                    <w:tcW w:w="990" w:type="dxa"/>
                                  </w:tcPr>
                                  <w:p>
                                    <w:pPr/>
                                  </w:p>
                                </w:tc>
                                <w:tc>
                                  <w:tcPr>
                                    <w:tcW w:w="1170" w:type="dxa"/>
                                  </w:tcPr>
                                  <w:p>
                                    <w:pPr/>
                                  </w:p>
                                </w:tc>
                                <w:tc>
                                  <w:tcPr>
                                    <w:tcW w:w="2340" w:type="dxa"/>
                                  </w:tcPr>
                                  <w:p>
                                    <w:pPr/>
                                  </w:p>
                                </w:tc>
                                <w:tc>
                                  <w:tcPr>
                                    <w:tcW w:w="3060" w:type="dxa"/>
                                  </w:tcPr>
                                  <w:p>
                                    <w:pPr/>
                                  </w:p>
                                </w:tc>
                              </w:tr>
                              <w:tr>
                                <w:tc>
                                  <w:tcPr>
                                    <w:tcW w:w="675" w:type="dxa"/>
                                  </w:tcPr>
                                  <w:p>
                                    <w:pPr/>
                                    <w:r>
                                      <w:t>3.</w:t>
                                    </w:r>
                                  </w:p>
                                </w:tc>
                                <w:tc>
                                  <w:tcPr>
                                    <w:tcW w:w="1683" w:type="dxa"/>
                                  </w:tcPr>
                                  <w:p>
                                    <w:pPr/>
                                  </w:p>
                                </w:tc>
                                <w:tc>
                                  <w:tcPr>
                                    <w:tcW w:w="990" w:type="dxa"/>
                                  </w:tcPr>
                                  <w:p>
                                    <w:pPr/>
                                  </w:p>
                                </w:tc>
                                <w:tc>
                                  <w:tcPr>
                                    <w:tcW w:w="1170" w:type="dxa"/>
                                  </w:tcPr>
                                  <w:p>
                                    <w:pPr/>
                                  </w:p>
                                </w:tc>
                                <w:tc>
                                  <w:tcPr>
                                    <w:tcW w:w="2340" w:type="dxa"/>
                                  </w:tcPr>
                                  <w:p>
                                    <w:pPr/>
                                  </w:p>
                                </w:tc>
                                <w:tc>
                                  <w:tcPr>
                                    <w:tcW w:w="3060" w:type="dxa"/>
                                  </w:tcPr>
                                  <w:p>
                                    <w:pPr/>
                                  </w:p>
                                </w:tc>
                              </w:tr>
                            </w:tbl>
                            <w:p>
                              <w:pPr/>
                              <w:r>
                                <w:t xml:space="preserve">Protokolas surašomas dviem egzemplioriais (paciento darbdaviui, patikrinimą atlikusiai ASPĮ) </w:t>
                              </w:r>
                            </w:p>
                            <w:p>
                              <w:pPr/>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pPr/>
                                    <w:r>
                                      <w:t>šeimos medicinos paslaugas teikiantis gydytojas arba darbo medicinos gydytojas, tel. ...... (vardas, pavardė) “</w:t>
                                    </w:r>
                                  </w:p>
                                </w:tc>
                                <w:tc>
                                  <w:tcPr>
                                    <w:tcW w:w="4644" w:type="dxa"/>
                                  </w:tcPr>
                                  <w:p>
                                    <w:pPr>
                                      <w:jc w:val="center"/>
                                    </w:pPr>
                                    <w:r>
                                      <w:t>(parašas)</w:t>
                                    </w:r>
                                  </w:p>
                                </w:tc>
                              </w:tr>
                            </w:tbl>
                            <w:p>
                              <w:pPr/>
                            </w:p>
                          </w:sdtContent>
                        </w:sdt>
                      </w:sdtContent>
                    </w:sdt>
                  </w:sdtContent>
                </w:sdt>
                <w:sdt>
                  <w:sdtPr>
                    <w:alias w:val="pabaiga"/>
                    <w:tag w:val="part_fc5719045378400db9f5d8cf21753ebd"/>
                    <w:lock w:val="sdtLocked"/>
                    <w:richText/>
                  </w:sdtPr>
                  <w:sdtContent>
                    <w:p>
                      <w:pPr>
                        <w:jc w:val="center"/>
                      </w:pPr>
                      <w:r>
                        <w:t>_________________</w:t>
                      </w:r>
                    </w:p>
                    <w:p>
                      <w:pPr/>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53"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TimesLT">
    <w:altName w:val="Times New Roman"/>
    <w:charset w:val="BA"/>
    <w:family w:val="roman"/>
    <w:pitch w:val="variable"/>
    <w:sig w:usb0="00000001"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FB7F0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2.xml"/>
  <Relationship Id="rId10" Type="http://schemas.openxmlformats.org/officeDocument/2006/relationships/hyperlink" TargetMode="External" Target="https://www.e-tar.lt/portal/lt/legalAct/TAR.021322AE3753"/>
  <Relationship Id="rId11" Type="http://schemas.openxmlformats.org/officeDocument/2006/relationships/hyperlink" TargetMode="External" Target="https://www.e-tar.lt/portal/lt/legalAct/TAR.04551A50A76D"/>
  <Relationship Id="rId12" Type="http://schemas.openxmlformats.org/officeDocument/2006/relationships/hyperlink" TargetMode="External" Target="https://www.e-tar.lt/portal/lt/legalAct/TAR.31185A622C9F"/>
  <Relationship Id="rId13" Type="http://schemas.openxmlformats.org/officeDocument/2006/relationships/hyperlink" TargetMode="External" Target="https://www.e-tar.lt/portal/lt/legalAct/TAR.6A8A7A3BBCDC"/>
  <Relationship Id="rId14" Type="http://schemas.openxmlformats.org/officeDocument/2006/relationships/hyperlink" TargetMode="External" Target="https://www.e-tar.lt/portal/lt/legalAct/TAR.7083DB116A2E"/>
  <Relationship Id="rId15" Type="http://schemas.openxmlformats.org/officeDocument/2006/relationships/hyperlink" TargetMode="External" Target="https://www.e-tar.lt/portal/lt/legalAct/TAR.95C79D036AA4"/>
  <Relationship Id="rId16" Type="http://schemas.openxmlformats.org/officeDocument/2006/relationships/hyperlink" TargetMode="External" Target="https://www.e-tar.lt/portal/lt/legalAct/TAR.A57CA999DD08"/>
  <Relationship Id="rId17" Type="http://schemas.openxmlformats.org/officeDocument/2006/relationships/hyperlink" TargetMode="External" Target="https://www.e-tar.lt/portal/lt/legalAct/TAR.C6E4170DB704"/>
  <Relationship Id="rId18" Type="http://schemas.openxmlformats.org/officeDocument/2006/relationships/hyperlink" TargetMode="External" Target="https://www.e-tar.lt/portal/lt/legalAct/TAR.E2B2957B9182"/>
  <Relationship Id="rId19" Type="http://schemas.openxmlformats.org/officeDocument/2006/relationships/hyperlink" TargetMode="External" Target="https://www.e-tar.lt/portal/lt/legalAct/TAR.E964CE7A637A"/>
  <Relationship Id="rId2" Type="http://schemas.openxmlformats.org/officeDocument/2006/relationships/header" Target="header23.xml"/>
  <Relationship Id="rId20" Type="http://schemas.openxmlformats.org/officeDocument/2006/relationships/settings" Target="settings.xml"/>
  <Relationship Id="rId21" Type="http://schemas.openxmlformats.org/officeDocument/2006/relationships/styles" Target="styles.xml"/>
  <Relationship Id="rId22" Type="http://schemas.microsoft.com/office/2007/relationships/stylesWithEffects" Target="stylesWithEffects.xml"/>
  <Relationship Id="rId23" Type="http://schemas.openxmlformats.org/officeDocument/2006/relationships/theme" Target="theme/theme1.xml"/>
  <Relationship Id="rId24" Type="http://schemas.openxmlformats.org/officeDocument/2006/relationships/webSettings" Target="webSettings.xml"/>
  <Relationship Id="rId25" Type="http://schemas.openxmlformats.org/officeDocument/2006/relationships/image" Target="media/image3.wmf"/>
  <Relationship Id="rId26" Type="http://schemas.openxmlformats.org/officeDocument/2006/relationships/hyperlink" TargetMode="External" Target="https://www.e-tar.lt/portal/lt/legalAct/TAR.31185A622C9F"/>
  <Relationship Id="rId27" Type="http://schemas.openxmlformats.org/officeDocument/2006/relationships/hyperlink" TargetMode="External" Target="https://www.e-tar.lt/portal/lt/legalAct/TAR.95C79D036AA4"/>
  <Relationship Id="rId28" Type="http://schemas.openxmlformats.org/officeDocument/2006/relationships/hyperlink" TargetMode="External" Target="https://www.e-tar.lt/portal/lt/legalAct/TAR.E2B2957B9182"/>
  <Relationship Id="rId29" Type="http://schemas.openxmlformats.org/officeDocument/2006/relationships/hyperlink" TargetMode="External" Target="https://www.e-tar.lt/portal/lt/legalAct/TAR.E964CE7A637A"/>
  <Relationship Id="rId3" Type="http://schemas.openxmlformats.org/officeDocument/2006/relationships/footer" Target="footer22.xml"/>
  <Relationship Id="rId30" Type="http://schemas.openxmlformats.org/officeDocument/2006/relationships/hyperlink" TargetMode="External" Target="https://www.e-tar.lt/portal/lt/legalAct/TAR.7083DB116A2E"/>
  <Relationship Id="rId31" Type="http://schemas.openxmlformats.org/officeDocument/2006/relationships/hyperlink" TargetMode="External" Target="https://www.e-tar.lt/portal/lt/legalAct/TAR.6A8A7A3BBCDC"/>
  <Relationship Id="rId32" Type="http://schemas.openxmlformats.org/officeDocument/2006/relationships/hyperlink" TargetMode="External" Target="https://www.e-tar.lt/portal/lt/legalAct/TAR.C337D779A343"/>
  <Relationship Id="rId33" Type="http://schemas.openxmlformats.org/officeDocument/2006/relationships/hyperlink" TargetMode="External" Target="https://www.e-tar.lt/portal/lt/legalAct/TAR.A92EEEEF018C"/>
  <Relationship Id="rId34" Type="http://schemas.openxmlformats.org/officeDocument/2006/relationships/hyperlink" TargetMode="External" Target="https://www.e-tar.lt/portal/lt/legalAct/TAR.0BBFE299C915"/>
  <Relationship Id="rId35" Type="http://schemas.openxmlformats.org/officeDocument/2006/relationships/hyperlink" TargetMode="External" Target="https://www.e-tar.lt/portal/lt/legalAct/TAR.C925EFE595C1"/>
  <Relationship Id="rId36" Type="http://schemas.openxmlformats.org/officeDocument/2006/relationships/hyperlink" TargetMode="External" Target="https://www.e-tar.lt/portal/lt/legalAct/TAR.E572CC3872E1"/>
  <Relationship Id="rId37" Type="http://schemas.openxmlformats.org/officeDocument/2006/relationships/hyperlink" TargetMode="External" Target="https://www.e-tar.lt/portal/lt/legalAct/TAR.AB76E5928C64"/>
  <Relationship Id="rId38" Type="http://schemas.openxmlformats.org/officeDocument/2006/relationships/hyperlink" TargetMode="External" Target="https://www.e-tar.lt/portal/lt/legalAct/TAR.5098571C779B"/>
  <Relationship Id="rId39" Type="http://schemas.openxmlformats.org/officeDocument/2006/relationships/hyperlink" TargetMode="External" Target="https://www.e-tar.lt/portal/lt/legalAct/TAR.21897F4DD271"/>
  <Relationship Id="rId4" Type="http://schemas.openxmlformats.org/officeDocument/2006/relationships/footer" Target="footer23.xml"/>
  <Relationship Id="rId40" Type="http://schemas.openxmlformats.org/officeDocument/2006/relationships/hyperlink" TargetMode="External" Target="https://www.e-tar.lt/portal/lt/legalAct/TAR.22504E4941B4"/>
  <Relationship Id="rId41" Type="http://schemas.openxmlformats.org/officeDocument/2006/relationships/hyperlink" TargetMode="External" Target="http://www3.lrs.lt/cgi-bin/preps2?a=92894&amp;b="/>
  <Relationship Id="rId42" Type="http://schemas.openxmlformats.org/officeDocument/2006/relationships/hyperlink" TargetMode="External" Target="http://www3.lrs.lt/cgi-bin/preps2?a=76692&amp;b="/>
  <Relationship Id="rId43" Type="http://schemas.openxmlformats.org/officeDocument/2006/relationships/hyperlink" TargetMode="External" Target="http://www3.lrs.lt/cgi-bin/preps2?a=76692&amp;b="/>
  <Relationship Id="rId44" Type="http://schemas.openxmlformats.org/officeDocument/2006/relationships/hyperlink" TargetMode="External" Target="https://www.e-tar.lt/portal/lt/legalAct/TAR.FC348F73C47A"/>
  <Relationship Id="rId45" Type="http://schemas.openxmlformats.org/officeDocument/2006/relationships/hyperlink" TargetMode="External" Target="https://www.e-tar.lt/portal/lt/legalAct/TAR.FC348F73C47A"/>
  <Relationship Id="rId46" Type="http://schemas.openxmlformats.org/officeDocument/2006/relationships/hyperlink" TargetMode="External" Target="https://www.e-tar.lt/portal/lt/legalAct/TAR.6CFC2AC8617C"/>
  <Relationship Id="rId47" Type="http://schemas.openxmlformats.org/officeDocument/2006/relationships/hyperlink" TargetMode="External" Target="http://www3.lrs.lt/cgi-bin/preps2?a=33065&amp;b="/>
  <Relationship Id="rId48" Type="http://schemas.openxmlformats.org/officeDocument/2006/relationships/hyperlink" TargetMode="External" Target="https://www.e-tar.lt/portal/lt/legalAct/TAR.3394CBFC359C"/>
  <Relationship Id="rId49" Type="http://schemas.openxmlformats.org/officeDocument/2006/relationships/hyperlink" TargetMode="External" Target="http://www3.lrs.lt/cgi-bin/preps2?a=51605&amp;b="/>
  <Relationship Id="rId5" Type="http://schemas.openxmlformats.org/officeDocument/2006/relationships/header" Target="header24.xml"/>
  <Relationship Id="rId50" Type="http://schemas.openxmlformats.org/officeDocument/2006/relationships/hyperlink" TargetMode="External" Target="https://www.e-tar.lt/portal/lt/legalAct/TAR.B7D7BAACDE6B"/>
  <Relationship Id="rId51" Type="http://schemas.openxmlformats.org/officeDocument/2006/relationships/hyperlink" TargetMode="External" Target="http://www3.lrs.lt/cgi-bin/preps2?a=69596&amp;b="/>
  <Relationship Id="rId52" Type="http://schemas.openxmlformats.org/officeDocument/2006/relationships/hyperlink" TargetMode="External" Target="https://www.e-tar.lt/portal/lt/legalAct/TAR.501193BA5D7C"/>
  <Relationship Id="rId53" Type="http://schemas.openxmlformats.org/officeDocument/2006/relationships/hyperlink" TargetMode="External" Target="http://www3.lrs.lt/cgi-bin/preps2?a=79699&amp;b="/>
  <Relationship Id="rId54" Type="http://schemas.openxmlformats.org/officeDocument/2006/relationships/hyperlink" TargetMode="External" Target="https://www.e-tar.lt/portal/lt/legalAct/TAR.5DC1759E42CB"/>
  <Relationship Id="rId55" Type="http://schemas.openxmlformats.org/officeDocument/2006/relationships/hyperlink" TargetMode="External" Target="https://www.e-tar.lt/portal/lt/legalAct/TAR.8D97CD7E1857"/>
  <Relationship Id="rId56" Type="http://schemas.openxmlformats.org/officeDocument/2006/relationships/hyperlink" TargetMode="External" Target="https://www.e-tar.lt/portal/lt/legalAct/TAR.DC61D74561C5"/>
  <Relationship Id="rId57" Type="http://schemas.openxmlformats.org/officeDocument/2006/relationships/hyperlink" TargetMode="External" Target="https://www.e-tar.lt/portal/lt/legalAct/TAR.67B5099C5848"/>
  <Relationship Id="rId58" Type="http://schemas.openxmlformats.org/officeDocument/2006/relationships/hyperlink" TargetMode="External" Target="https://www.e-tar.lt/portal/lt/legalAct/TAR.78FAC7B20AD8"/>
  <Relationship Id="rId59" Type="http://schemas.openxmlformats.org/officeDocument/2006/relationships/hyperlink" TargetMode="External" Target="https://www.e-tar.lt/portal/lt/legalAct/TAR.C7A984833333"/>
  <Relationship Id="rId6" Type="http://schemas.openxmlformats.org/officeDocument/2006/relationships/footer" Target="footer24.xml"/>
  <Relationship Id="rId60" Type="http://schemas.openxmlformats.org/officeDocument/2006/relationships/hyperlink" TargetMode="External" Target="https://www.e-tar.lt/portal/lt/legalAct/TAR.33907EA7C2DC"/>
  <Relationship Id="rId61" Type="http://schemas.openxmlformats.org/officeDocument/2006/relationships/hyperlink" TargetMode="External" Target="https://www.e-tar.lt/portal/lt/legalAct/TAR.DC61D74561C5"/>
  <Relationship Id="rId62" Type="http://schemas.openxmlformats.org/officeDocument/2006/relationships/hyperlink" TargetMode="External" Target="https://www.e-tar.lt/portal/lt/legalAct/TAR.723F49D02CD8"/>
  <Relationship Id="rId63" Type="http://schemas.openxmlformats.org/officeDocument/2006/relationships/hyperlink" TargetMode="External" Target="https://www.e-tar.lt/portal/lt/legalAct/TAR.6A8A7A3BBCDC"/>
  <Relationship Id="rId64" Type="http://schemas.openxmlformats.org/officeDocument/2006/relationships/hyperlink" TargetMode="External" Target="https://www.e-tar.lt/portal/lt/legalAct/TAR.F1D86F455636"/>
  <Relationship Id="rId65" Type="http://schemas.openxmlformats.org/officeDocument/2006/relationships/hyperlink" TargetMode="External" Target="https://www.e-tar.lt/portal/lt/legalAct/TAR.5E3842DF67F8"/>
  <Relationship Id="rId66" Type="http://schemas.openxmlformats.org/officeDocument/2006/relationships/hyperlink" TargetMode="External" Target="https://www.e-tar.lt/portal/lt/legalAct/TAR.668CEF058FF8"/>
  <Relationship Id="rId67" Type="http://schemas.openxmlformats.org/officeDocument/2006/relationships/hyperlink" TargetMode="External" Target="https://www.e-tar.lt/portal/lt/legalAct/TAR.DC61D74561C5"/>
  <Relationship Id="rId68" Type="http://schemas.openxmlformats.org/officeDocument/2006/relationships/hyperlink" TargetMode="External" Target="https://www.e-tar.lt/portal/lt/legalAct/TAR.C6E4170DB704"/>
  <Relationship Id="rId69" Type="http://schemas.openxmlformats.org/officeDocument/2006/relationships/hyperlink" TargetMode="External" Target="https://www.e-tar.lt/portal/lt/legalAct/TAR.668CEF058FF8"/>
  <Relationship Id="rId7" Type="http://schemas.openxmlformats.org/officeDocument/2006/relationships/endnotes" Target="endnotes.xml"/>
  <Relationship Id="rId70" Type="http://schemas.openxmlformats.org/officeDocument/2006/relationships/header" Target="header28.xml"/>
  <Relationship Id="rId71" Type="http://schemas.openxmlformats.org/officeDocument/2006/relationships/footer" Target="footer28.xml"/>
  <Relationship Id="rId72" Type="http://schemas.openxmlformats.org/officeDocument/2006/relationships/hyperlink" TargetMode="External" Target="https://www.e-tar.lt/portal/lt/legalAct/TAR.1B50A305B56B"/>
  <Relationship Id="rId73" Type="http://schemas.openxmlformats.org/officeDocument/2006/relationships/hyperlink" TargetMode="External" Target="https://www.e-tar.lt/portal/lt/legalAct/TAR.A36A799DD928"/>
  <Relationship Id="rId74" Type="http://schemas.openxmlformats.org/officeDocument/2006/relationships/hyperlink" TargetMode="External" Target="https://www.e-tar.lt/portal/lt/legalAct/TAR.7083DB116A2E"/>
  <Relationship Id="rId75" Type="http://schemas.openxmlformats.org/officeDocument/2006/relationships/hyperlink" TargetMode="External" Target="https://www.e-tar.lt/portal/lt/legalAct/TAR.6A8A7A3BBCDC"/>
  <Relationship Id="rId76" Type="http://schemas.openxmlformats.org/officeDocument/2006/relationships/hyperlink" TargetMode="External" Target="https://www.e-tar.lt/portal/lt/legalAct/TAR.F1D86F455636"/>
  <Relationship Id="rId77" Type="http://schemas.openxmlformats.org/officeDocument/2006/relationships/hyperlink" TargetMode="External" Target="https://www.e-tar.lt/portal/lt/legalAct/TAR.751B6F8BF451"/>
  <Relationship Id="rId78" Type="http://schemas.openxmlformats.org/officeDocument/2006/relationships/hyperlink" TargetMode="External" Target="https://www.e-tar.lt/portal/lt/legalAct/TAR.313208361D5D"/>
  <Relationship Id="rId79" Type="http://schemas.openxmlformats.org/officeDocument/2006/relationships/hyperlink" TargetMode="External" Target="https://www.e-tar.lt/portal/lt/legalAct/TAR.64EB889A3B24"/>
  <Relationship Id="rId8" Type="http://schemas.openxmlformats.org/officeDocument/2006/relationships/fontTable" Target="fontTable.xml"/>
  <Relationship Id="rId80" Type="http://schemas.openxmlformats.org/officeDocument/2006/relationships/hyperlink" TargetMode="External" Target="https://www.e-tar.lt/portal/lt/legalAct/TAR.5ED52629C3C4"/>
  <Relationship Id="rId81" Type="http://schemas.openxmlformats.org/officeDocument/2006/relationships/hyperlink" TargetMode="External" Target="https://www.e-tar.lt/portal/lt/legalAct/TAR.0630DF325F2F"/>
  <Relationship Id="rId82" Type="http://schemas.openxmlformats.org/officeDocument/2006/relationships/hyperlink" TargetMode="External" Target="https://www.e-tar.lt/portal/lt/legalAct/TAR.A57CA999DD08"/>
  <Relationship Id="rId83" Type="http://schemas.openxmlformats.org/officeDocument/2006/relationships/hyperlink" TargetMode="External" Target="https://www.e-tar.lt/portal/lt/legalAct/TAR.668CEF058FF8"/>
  <Relationship Id="rId84" Type="http://schemas.openxmlformats.org/officeDocument/2006/relationships/hyperlink" TargetMode="External" Target="https://www.e-tar.lt/portal/lt/legalAct/TAR.04551A50A76D"/>
  <Relationship Id="rId85" Type="http://schemas.openxmlformats.org/officeDocument/2006/relationships/hyperlink" TargetMode="External" Target="https://www.e-tar.lt/portal/lt/legalAct/TAR.C6E4170DB704"/>
  <Relationship Id="rId86" Type="http://schemas.openxmlformats.org/officeDocument/2006/relationships/hyperlink" TargetMode="External" Target="https://www.e-tar.lt/portal/lt/legalAct/TAR.DC61D74561C5"/>
  <Relationship Id="rId87" Type="http://schemas.openxmlformats.org/officeDocument/2006/relationships/hyperlink" TargetMode="External" Target="https://www.e-tar.lt/portal/lt/legalAct/TAR.9A2A80746DED"/>
  <Relationship Id="rId88" Type="http://schemas.openxmlformats.org/officeDocument/2006/relationships/hyperlink" TargetMode="External" Target="https://www.e-tar.lt/portal/lt/legalAct/TAR.DC61D74561C5"/>
  <Relationship Id="rId89" Type="http://schemas.openxmlformats.org/officeDocument/2006/relationships/hyperlink" TargetMode="External" Target="https://www.e-tar.lt/portal/lt/legalAct/TAR.9A2A80746DED"/>
  <Relationship Id="rId9" Type="http://schemas.openxmlformats.org/officeDocument/2006/relationships/footnotes" Target="footnotes.xml"/>
  <Relationship Id="rId90" Type="http://schemas.openxmlformats.org/officeDocument/2006/relationships/hyperlink" TargetMode="External" Target="https://www.e-tar.lt/portal/lt/legalAct/TAR.F7E759DF5DFE"/>
  <Relationship Id="rId91" Type="http://schemas.openxmlformats.org/officeDocument/2006/relationships/hyperlink" TargetMode="External" Target="https://www.e-tar.lt/portal/lt/legalAct/TAR.DC61D74561C5"/>
  <Relationship Id="rId92" Type="http://schemas.openxmlformats.org/officeDocument/2006/relationships/hyperlink" TargetMode="External" Target="https://www.e-tar.lt/portal/lt/legalAct/TAR.9A2A80746DED"/>
  <Relationship Id="rId93" Type="http://schemas.openxmlformats.org/officeDocument/2006/relationships/hyperlink" TargetMode="External" Target="https://www.e-tar.lt/portal/lt/legalAct/TAR.F7E759DF5DFE"/>
  <Relationship Id="rId94" Type="http://schemas.openxmlformats.org/officeDocument/2006/relationships/hyperlink" TargetMode="External" Target="https://www.e-tar.lt/portal/lt/legalAct/TAR.C6E4170DB704"/>
  <Relationship Id="rId95"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b57048141bfc4afbaec169768221dea1"/>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d2ee7a32d9ee4707b8a32545e384e6da"/>
      <Part Type="punktas" Nr="26" Abbr="7 pr. 26 p." DocPartId="5dad2c12448d4f3591cf0a64c557c1e6" PartId="6c06305cea44460da19ee8e04e8d5779"/>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105520a2f8874392859e303b1d7cbbbc"/>
  <Part Type="lentele" Nr="2" Title="TRANSPORTO PRIEMONIŲ KATEGORIJOS, MINIMALUS VAIRUOTOJŲ AMŽIUS" DocPartId="36fd42b018aa4aae9c5fe82f72c4dc0e" PartId="10f6c8ba2c1e410a95a0f38529c76576"/>
  <Part Type="lentele" Nr="3" Title="MINIMALIOS FIZINIO IR PSICHIKOS TINKAMUMO NORMOS, TAIKOMOS ASMENIMS, VAIRUOJANTIEMS VARIKLIO VAROMĄ TRANSPORTO PRIEMONĘ" DocPartId="4f0a5ac065614e669245fb31f1e590cc" PartId="28784b7b04b44ce9bea3a84fd28f6990">
    <Part Type="pastraipa" DocPartId="7dfcf11c63134985b28f440237efb80c" PartId="7f2fb510cb484e6183fc2179e1265804"/>
    <Part Type="punktas" Nr="1" Abbr="1 pr. 1 p." DocPartId="5487dad0f45f41149ed48fe6c055dbf2" PartId="10b8b67c05a14c5cab6ad8cb90dc78e5"/>
    <Part Type="punktas" Nr="2" Abbr="1 pr. 2 p." DocPartId="19849707b6f34366842dd3c58d36b852" PartId="10a99937fc8348b2907339e42104cefc"/>
    <Part Type="punktas" Nr="3" Abbr="1 pr. 3 p." DocPartId="aa8ba1ab3e6b46a89b6d3ff8e6e57ceb" PartId="30d2d81de9834ecf94ba440162fbc44a"/>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02e49a6387824559ab43ac93c5d5d912"/>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ac1e18f299d54bcd8b00310c16679177">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b142ac7716a74665a389cb5826bc7cac">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401f3094811c4ad7ba50f477cf28f254">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741244184e9742f4986c143708cb1354"/>
      <Part Type="lentele" Nr="1" DocPartId="68c03ab3af1e4a819e23fd442b431297" PartId="591c74e9aad14317837d6a75a810cc85"/>
      <Part Type="lentele" Nr="2" DocPartId="5ed6fab794e84cbba18b948369d94066" PartId="81ad80e5ed054ded87dabe20bff9b7e3"/>
      <Part Type="lentele" Nr="3" Title="PAVYZDINIS PROTOKOLAS" DocPartId="8829b828000a4c39a39d6d9d3eb62fc1" PartId="c6439a2f6037438daea2eb8f14a5dbf6">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2eca8011606e435592b93cc5cfc03f41"/>
          <Part Type="punktas" Nr="2" Abbr="13 pr. 2 p." DocPartId="fb9bd4ac02c84f739b2b0ec1cf4e5f6a" PartId="683b4b85b26146279cae2b9d8d1dc8de"/>
          <Part Type="punktas" Nr="3" Abbr="13 pr. 3 p." DocPartId="00459188ecbc4f0c8a7837113df3ff5b" PartId="1e8e88a65b1b44c99ce758d2f39e3056"/>
          <Part Type="punktas" Nr="4" Abbr="13 pr. 4 p." DocPartId="a44792d363c04b3ca9b79197b3a30810" PartId="7cbcaa02482b4dde8bba39079773e7a1">
            <Part Type="punktas" Nr="4.1" Abbr="13 pr. 4.1 p." DocPartId="de45b15be89548b9af55bf18ca5cced9" PartId="90a71ac010a44a4cac27ec09489b1212"/>
            <Part Type="punktas" Nr="4.2" Abbr="13 pr. 4.2 p." DocPartId="6475f83a2a9d426baccc05c44a5312f9" PartId="5483e6c0fb2545aab52ae730b862fc8e"/>
            <Part Type="punktas" Nr="4.3" Abbr="13 pr. 4.3 p." DocPartId="511869ecda8945aea0e4d6db0b1fe422" PartId="cc4e04ee9d844291a37db03a334731f3"/>
          </Part>
        </Part>
        <Part Type="pabaiga" DocPartId="96162ab611124aa4a4177e6e63a32b42" PartId="fc5719045378400db9f5d8cf21753ebd"/>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344AC2A4-263D-4B58-9250-A8EB5B6BDA01}">
  <ds:schemaRefs>
    <ds:schemaRef ds:uri="http://lrs.lt/TAIS/DocParts"/>
  </ds:schemaRefs>
</ds:datastoreItem>
</file>

<file path=docProps/app.xml><?xml version="1.0" encoding="utf-8"?>
<Properties xmlns="http://schemas.openxmlformats.org/officeDocument/2006/extended-properties">
  <Template>Normal.dotm</Template>
  <TotalTime>62</TotalTime>
  <Pages>214</Pages>
  <Words>291329</Words>
  <Characters>166058</Characters>
  <Application>Microsoft Office Word</Application>
  <DocSecurity>0</DocSecurity>
  <Lines>1383</Lines>
  <Paragraphs>912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456475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2017-01-18T13:38:00Z</dcterms:modified>
  <revision>33</revision>
</coreProperties>
</file>