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2019-09-01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31b47089825415abd49b95f4dd3da77"/>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31b47089825415abd49b95f4dd3da77"/>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31b47089825415abd49b95f4dd3da77"/>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682b3a33a62a41e7970732757e845b6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82b3a33a62a41e7970732757e845b61"/>
                          <w:lock w:val="sdtLocked"/>
                          <w:richText/>
                        </w:sdt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700d9c8174d24f52b0626b1e2c6e94be"/>
                    <w:lock w:val="sdtLocked"/>
                    <w:richText/>
                  </w:sdtPr>
                  <w:sdtContent>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700d9c8174d24f52b0626b1e2c6e94be"/>
                          <w:lock w:val="sdtLocked"/>
                          <w:richText/>
                        </w:sdtPr>
                        <w:sdtContent>
                          <w:r>
                            <w:rPr>
                              <w:szCs w:val="24"/>
                            </w:rPr>
                            <w:t>5.3</w:t>
                          </w:r>
                        </w:sdtContent>
                      </w:sdt>
                      <w:r>
                        <w:rPr>
                          <w:szCs w:val="24"/>
                        </w:rPr>
                        <w:t xml:space="preserve">. Profilaktinių sveikatos tikrinimų kainos ir gydytojų specialistų, teikiančių profilaktinių sveikatos tikrinimų paslaugas, apmokamas iš privalomojo sveikatos draudimo fondo biudžeto, paslaugų kainos (18 priedas) </w:t>
                      </w:r>
                      <w:r>
                        <w:rPr>
                          <w:szCs w:val="24"/>
                          <w:lang w:eastAsia="lt-LT"/>
                        </w:rPr>
                        <w:t>patvirtintos Lietuvos Respublikos sveikatos apsaugos ministro 2000 m. gegužės 31 d. įsakymu Nr. 301 „Dėl profilaktinių sveikatos tikrinimų sveikatos priežiūros įstaigose“,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ir iš naujo tvirtinamos ministro įsakymu. Kainos gali būti indeksuojamos, kai koeficientas yra ne mažesnis kaip 1,2</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e89f8d83f6f94118bbb4aca5b6830856"/>
        <w:lock w:val="sdtLocked"/>
        <w:richText/>
      </w:sdtPr>
      <w:sdtContent>
        <w:p>
          <w:pPr>
            <w:tabs>
              <w:tab w:val="left" w:pos="6521"/>
            </w:tabs>
            <w:ind w:left="3888" w:firstLine="2633"/>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e89f8d83f6f94118bbb4aca5b6830856"/>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e89f8d83f6f94118bbb4aca5b6830856"/>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fa627178b95c4d7fbac4bbaa65423f8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fa627178b95c4d7fbac4bbaa65423f8f"/>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elektroninės sveikatos paslaugų ir bendradarbiavimo infrastruktūros informacinėje sistemoje (toliau – ESPBI IS) užpildomas Vaiko sveikatos pažymėjimas</w:t>
                  </w:r>
                  <w:r>
                    <w:rPr>
                      <w:szCs w:val="24"/>
                      <w:lang w:eastAsia="lt-LT"/>
                    </w:rPr>
                    <w:t xml:space="preserve">, </w:t>
                  </w:r>
                  <w:r>
                    <w:rPr>
                      <w:color w:val="000000"/>
                      <w:szCs w:val="24"/>
                      <w:lang w:eastAsia="lt-LT"/>
                    </w:rPr>
                    <w:t xml:space="preserve">kurio forma patvirtinta Lietuvos Respublikos sveikatos apsaugos ministro 2004 m. gruodžio 24 d. įsakymu Nr. V-951 „Dėl statistinės apskaitos formos Nr. 027-1/a „Vaiko sveikatos pažymėjimas“ patvirtinimo“ (toliau – </w:t>
                  </w:r>
                  <w:r>
                    <w:rPr>
                      <w:szCs w:val="24"/>
                    </w:rPr>
                    <w:t>forma Nr. E027-1)</w:t>
                  </w:r>
                  <w:r>
                    <w:rPr>
                      <w:color w:val="000000"/>
                      <w:szCs w:val="24"/>
                      <w:lang w:eastAsia="lt-LT"/>
                    </w:rPr>
                    <w:t xml:space="preserve">, </w:t>
                  </w:r>
                  <w:r>
                    <w:rPr>
                      <w:szCs w:val="24"/>
                      <w:lang w:eastAsia="lt-LT"/>
                    </w:rPr>
                    <w:t>kuriame įrašomi reikiami duomenys, išvados ir rekomendacijos švietimo ar kitai ugdymo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0118e110bc114001937696f02abc728d"/>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shd w:val="clear" w:color="auto" w:fill="FFFFFF"/>
            <w:tabs>
              <w:tab w:val="left" w:pos="5812"/>
            </w:tabs>
            <w:ind w:left="7655"/>
            <w:rPr>
              <w:bCs/>
              <w:szCs w:val="24"/>
            </w:rPr>
          </w:pPr>
          <w:r>
            <w:rPr>
              <w:szCs w:val="24"/>
            </w:rPr>
            <w:t xml:space="preserve">Vaikų </w:t>
          </w:r>
          <w:r>
            <w:rPr>
              <w:bCs/>
              <w:szCs w:val="24"/>
            </w:rPr>
            <w:t xml:space="preserve">ir pilnamečių mokinių, ugdomų </w:t>
          </w:r>
        </w:p>
        <w:p>
          <w:pPr>
            <w:shd w:val="clear" w:color="auto" w:fill="FFFFFF"/>
            <w:tabs>
              <w:tab w:val="left" w:pos="5812"/>
            </w:tabs>
            <w:ind w:left="7655"/>
            <w:rPr>
              <w:szCs w:val="24"/>
            </w:rPr>
          </w:pPr>
          <w:r>
            <w:rPr>
              <w:bCs/>
              <w:szCs w:val="24"/>
            </w:rPr>
            <w:t>pagal bendrojo ugdymo programas,</w:t>
          </w:r>
          <w:r>
            <w:rPr>
              <w:szCs w:val="24"/>
            </w:rPr>
            <w:t xml:space="preserve"> </w:t>
          </w:r>
        </w:p>
        <w:p>
          <w:pPr>
            <w:shd w:val="clear" w:color="auto" w:fill="FFFFFF"/>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0118e110bc114001937696f02abc728d"/>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blPrEx>
              <w:tblCellMar>
                <w:left w:w="108" w:type="dxa"/>
                <w:right w:w="108" w:type="dxa"/>
              </w:tblCellMar>
            </w:tblPrEx>
            <w:trPr>
              <w:trHeight w:val="1405"/>
            </w:trPr>
            <w:tc>
              <w:tcPr>
                <w:tcW w:w="568" w:type="dxa"/>
                <w:vMerge w:val="restart"/>
              </w:tcPr>
              <w:p>
                <w:pPr>
                  <w:tabs>
                    <w:tab w:val="left" w:pos="600"/>
                  </w:tabs>
                  <w:jc w:val="both"/>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Pr>
              <w:p>
                <w:pPr>
                  <w:rPr>
                    <w:szCs w:val="24"/>
                    <w:lang w:eastAsia="lt-LT"/>
                  </w:rPr>
                </w:pPr>
                <w:r>
                  <w:rPr>
                    <w:szCs w:val="24"/>
                    <w:lang w:eastAsia="lt-LT"/>
                  </w:rPr>
                  <w:t>Paauglys, pilnametis mokinys</w:t>
                </w:r>
              </w:p>
              <w:p>
                <w:pPr>
                  <w:ind w:firstLine="62"/>
                  <w:rPr>
                    <w:szCs w:val="24"/>
                    <w:lang w:eastAsia="lt-LT"/>
                  </w:rPr>
                </w:pPr>
              </w:p>
              <w:p>
                <w:pPr>
                  <w:rPr>
                    <w:szCs w:val="24"/>
                    <w:lang w:eastAsia="lt-LT"/>
                  </w:rPr>
                </w:pPr>
              </w:p>
            </w:tc>
            <w:tc>
              <w:tcPr>
                <w:tcW w:w="1701" w:type="dxa"/>
                <w:tcBorders>
                  <w:top w:val="single" w:sz="4" w:space="0" w:color="auto"/>
                </w:tcBorders>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tc>
            <w:tc>
              <w:tcPr>
                <w:tcW w:w="2268" w:type="dxa"/>
                <w:tcBorders>
                  <w:top w:val="single" w:sz="4" w:space="0" w:color="auto"/>
                </w:tcBorders>
              </w:tcPr>
              <w:p>
                <w:pPr>
                  <w:rPr>
                    <w:szCs w:val="24"/>
                    <w:lang w:eastAsia="lt-LT"/>
                  </w:rPr>
                </w:pPr>
                <w:r>
                  <w:rPr>
                    <w:szCs w:val="24"/>
                    <w:lang w:eastAsia="lt-LT"/>
                  </w:rPr>
                  <w:t>Šeimos gydytojas</w:t>
                </w:r>
              </w:p>
              <w:p>
                <w:pPr>
                  <w:rPr>
                    <w:szCs w:val="24"/>
                    <w:lang w:eastAsia="lt-LT"/>
                  </w:rPr>
                </w:pPr>
                <w:r>
                  <w:rPr>
                    <w:szCs w:val="24"/>
                    <w:lang w:eastAsia="lt-LT"/>
                  </w:rPr>
                  <w:t>arba</w:t>
                </w:r>
              </w:p>
              <w:p>
                <w:pPr>
                  <w:rPr>
                    <w:szCs w:val="24"/>
                    <w:lang w:eastAsia="lt-LT"/>
                  </w:rPr>
                </w:pPr>
                <w:r>
                  <w:rPr>
                    <w:szCs w:val="24"/>
                    <w:lang w:eastAsia="lt-LT"/>
                  </w:rPr>
                  <w:t>šeimos medicinos paslaugas teikiantis vaikų ligų gydytojas (tik paaugliams)</w:t>
                </w:r>
              </w:p>
              <w:p>
                <w:pPr>
                  <w:rPr>
                    <w:szCs w:val="24"/>
                    <w:lang w:eastAsia="lt-LT"/>
                  </w:rPr>
                </w:pPr>
                <w:r>
                  <w:rPr>
                    <w:szCs w:val="24"/>
                    <w:lang w:eastAsia="lt-LT"/>
                  </w:rPr>
                  <w:t xml:space="preserve">arba </w:t>
                </w:r>
              </w:p>
              <w:p>
                <w:pPr>
                  <w:rPr>
                    <w:szCs w:val="24"/>
                    <w:lang w:eastAsia="lt-LT"/>
                  </w:rPr>
                </w:pPr>
                <w:r>
                  <w:rPr>
                    <w:szCs w:val="24"/>
                    <w:lang w:eastAsia="lt-LT"/>
                  </w:rPr>
                  <w:t>šeimos medicinos paslaugas teikiantis vidaus ligų gydytojas (tik pilnamečiams mokiniams)</w:t>
                </w:r>
              </w:p>
              <w:p>
                <w:pPr>
                  <w:rPr>
                    <w:szCs w:val="24"/>
                    <w:lang w:eastAsia="lt-LT"/>
                  </w:rPr>
                </w:pPr>
              </w:p>
              <w:p>
                <w:pPr>
                  <w:ind w:firstLine="62"/>
                  <w:rPr>
                    <w:szCs w:val="24"/>
                    <w:lang w:eastAsia="lt-LT"/>
                  </w:rPr>
                </w:pPr>
              </w:p>
            </w:tc>
            <w:tc>
              <w:tcPr>
                <w:tcW w:w="4536" w:type="dxa"/>
              </w:tcPr>
              <w:p>
                <w:pPr>
                  <w:rPr>
                    <w:szCs w:val="24"/>
                    <w:lang w:eastAsia="lt-LT"/>
                  </w:rPr>
                </w:pPr>
                <w:r>
                  <w:rPr>
                    <w:szCs w:val="24"/>
                    <w:lang w:eastAsia="lt-LT"/>
                  </w:rPr>
                  <w:t xml:space="preserve">5.1. Kiekvieno apsilankymo metu įvertinti paciento sveikatos būklę, fizinę būklę, lytinį brendimą, augimą, nubrėžiant  asmenines ūgio ir svorio bei  svorio priklausomybės nuo ūgio kitimo kreives pagal lytį; įvertinti </w:t>
                </w:r>
                <w:r>
                  <w:rPr>
                    <w:szCs w:val="24"/>
                    <w:lang w:val="pl-PL" w:eastAsia="lt-LT"/>
                  </w:rPr>
                  <w:t xml:space="preserve">KMI, </w:t>
                </w:r>
                <w:r>
                  <w:rPr>
                    <w:szCs w:val="24"/>
                    <w:lang w:eastAsia="lt-LT"/>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szCs w:val="24"/>
                    <w:lang w:eastAsia="lt-LT"/>
                  </w:rPr>
                </w:pPr>
                <w:r>
                  <w:rPr>
                    <w:szCs w:val="24"/>
                    <w:lang w:eastAsia="lt-LT"/>
                  </w:rPr>
                  <w:t>5.1.1. asmens higienos;</w:t>
                </w:r>
              </w:p>
              <w:p>
                <w:pPr>
                  <w:rPr>
                    <w:szCs w:val="24"/>
                    <w:lang w:eastAsia="lt-LT"/>
                  </w:rPr>
                </w:pPr>
                <w:r>
                  <w:rPr>
                    <w:szCs w:val="24"/>
                    <w:lang w:eastAsia="lt-LT"/>
                  </w:rPr>
                  <w:t>5.1.2. racionalios mitybos;</w:t>
                </w:r>
              </w:p>
              <w:p>
                <w:pPr>
                  <w:rPr>
                    <w:szCs w:val="24"/>
                    <w:lang w:eastAsia="lt-LT"/>
                  </w:rPr>
                </w:pPr>
                <w:r>
                  <w:rPr>
                    <w:szCs w:val="24"/>
                    <w:lang w:eastAsia="lt-LT"/>
                  </w:rPr>
                  <w:t xml:space="preserve">5.1.3. miego ir budrumo režimo; </w:t>
                </w:r>
              </w:p>
              <w:p>
                <w:pPr>
                  <w:rPr>
                    <w:szCs w:val="24"/>
                    <w:lang w:eastAsia="lt-LT"/>
                  </w:rPr>
                </w:pPr>
                <w:r>
                  <w:rPr>
                    <w:szCs w:val="24"/>
                    <w:lang w:eastAsia="lt-LT"/>
                  </w:rPr>
                  <w:t>5.1.4. burnos sveikatos;</w:t>
                </w:r>
              </w:p>
              <w:p>
                <w:pPr>
                  <w:rPr>
                    <w:szCs w:val="24"/>
                    <w:lang w:eastAsia="lt-LT"/>
                  </w:rPr>
                </w:pPr>
                <w:r>
                  <w:rPr>
                    <w:szCs w:val="24"/>
                    <w:lang w:eastAsia="lt-LT"/>
                  </w:rPr>
                  <w:t>5.1.5. fizinio aktyvumo (rekomenduotina ne mažiau kaip 1 val. kasdien) lauke, ir sveiko gyvenimo būdo;</w:t>
                </w:r>
              </w:p>
              <w:p>
                <w:pPr>
                  <w:rPr>
                    <w:szCs w:val="24"/>
                    <w:lang w:eastAsia="lt-LT"/>
                  </w:rPr>
                </w:pPr>
                <w:r>
                  <w:rPr>
                    <w:szCs w:val="24"/>
                    <w:lang w:eastAsia="lt-LT"/>
                  </w:rPr>
                  <w:t>5.1.6. regėjimo sutrikimų, sukeliamų darbo su videoterminalais, profilaktikos, taisyklingos laikysenos sėdint prie kompiuterio, darbo ir poilsio režimo;</w:t>
                </w:r>
              </w:p>
              <w:p>
                <w:pPr>
                  <w:rPr>
                    <w:szCs w:val="24"/>
                    <w:lang w:eastAsia="lt-LT"/>
                  </w:rPr>
                </w:pPr>
                <w:r>
                  <w:rPr>
                    <w:szCs w:val="24"/>
                    <w:lang w:eastAsia="lt-LT"/>
                  </w:rPr>
                  <w:t>5.1.7. traumų, prievartos, uždusimo, paskendimo, apsinuodijimų, nudegimų ir kitų nelaimingų atsitikimų, saugaus elgesio kelyje ir kitoje aplinkoje profilaktiką, imunoprofilaktiką;</w:t>
                </w:r>
              </w:p>
              <w:p>
                <w:pPr>
                  <w:rPr>
                    <w:szCs w:val="24"/>
                    <w:lang w:eastAsia="lt-LT"/>
                  </w:rPr>
                </w:pPr>
                <w:r>
                  <w:rPr>
                    <w:szCs w:val="24"/>
                    <w:lang w:eastAsia="lt-LT"/>
                  </w:rPr>
                  <w:t xml:space="preserve">5.1.8. žalingų sveikatai įpročių (alkoholio, nikotino ir narkotinių medžiagų vartojimo); </w:t>
                </w:r>
              </w:p>
              <w:p>
                <w:pPr>
                  <w:rPr>
                    <w:szCs w:val="24"/>
                    <w:lang w:eastAsia="lt-LT"/>
                  </w:rPr>
                </w:pPr>
                <w:r>
                  <w:rPr>
                    <w:szCs w:val="24"/>
                    <w:lang w:eastAsia="lt-LT"/>
                  </w:rPr>
                  <w:t>5.1.9. atsparumo rizikingai sveikatai elgsenai;</w:t>
                </w:r>
              </w:p>
              <w:p>
                <w:pPr>
                  <w:rPr>
                    <w:szCs w:val="24"/>
                    <w:lang w:eastAsia="lt-LT"/>
                  </w:rPr>
                </w:pPr>
                <w:r>
                  <w:rPr>
                    <w:szCs w:val="24"/>
                    <w:lang w:eastAsia="lt-LT"/>
                  </w:rPr>
                  <w:t>5.1.10. lytinės elgsenos saugumo;</w:t>
                </w:r>
              </w:p>
              <w:p>
                <w:pPr>
                  <w:rPr>
                    <w:szCs w:val="24"/>
                    <w:lang w:eastAsia="lt-LT"/>
                  </w:rPr>
                </w:pPr>
                <w:r>
                  <w:rPr>
                    <w:szCs w:val="24"/>
                    <w:lang w:eastAsia="lt-LT"/>
                  </w:rPr>
                  <w:t xml:space="preserve">5.1.11. sveikatos priežiūros pagalbos neįgalaus vaiko šeimai. </w:t>
                </w:r>
              </w:p>
            </w:tc>
            <w:tc>
              <w:tcPr>
                <w:tcW w:w="1701"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blPrEx>
              <w:tblCellMar>
                <w:left w:w="108" w:type="dxa"/>
                <w:right w:w="108" w:type="dxa"/>
              </w:tblCellMar>
            </w:tblPrEx>
            <w:trPr>
              <w:trHeight w:val="5538"/>
            </w:trPr>
            <w:tc>
              <w:tcPr>
                <w:tcW w:w="568" w:type="dxa"/>
                <w:vMerge/>
              </w:tcPr>
              <w:p>
                <w:pPr>
                  <w:tabs>
                    <w:tab w:val="left" w:pos="600"/>
                  </w:tabs>
                  <w:jc w:val="both"/>
                  <w:rPr>
                    <w:color w:val="000000"/>
                    <w:szCs w:val="24"/>
                  </w:rPr>
                </w:pPr>
              </w:p>
            </w:tc>
            <w:tc>
              <w:tcPr>
                <w:tcW w:w="1276" w:type="dxa"/>
                <w:vMerge/>
              </w:tcPr>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 xml:space="preserve">1 kartą per 2 metus </w:t>
                </w:r>
              </w:p>
              <w:p>
                <w:pPr>
                  <w:tabs>
                    <w:tab w:val="left" w:pos="600"/>
                  </w:tabs>
                  <w:rPr>
                    <w:color w:val="000000"/>
                    <w:szCs w:val="24"/>
                  </w:rPr>
                </w:pPr>
              </w:p>
            </w:tc>
            <w:tc>
              <w:tcPr>
                <w:tcW w:w="2268" w:type="dxa"/>
              </w:tcPr>
              <w:p>
                <w:pPr>
                  <w:rPr>
                    <w:szCs w:val="24"/>
                    <w:lang w:eastAsia="lt-LT"/>
                  </w:rPr>
                </w:pPr>
                <w:r>
                  <w:rPr>
                    <w:szCs w:val="24"/>
                    <w:lang w:eastAsia="lt-LT"/>
                  </w:rPr>
                  <w:t>Šeimos gydytojas</w:t>
                </w:r>
              </w:p>
              <w:p>
                <w:pPr>
                  <w:rPr>
                    <w:szCs w:val="24"/>
                    <w:lang w:eastAsia="lt-LT"/>
                  </w:rPr>
                </w:pPr>
                <w:r>
                  <w:rPr>
                    <w:szCs w:val="24"/>
                    <w:lang w:eastAsia="lt-LT"/>
                  </w:rPr>
                  <w:t>arba</w:t>
                </w:r>
              </w:p>
              <w:p>
                <w:pPr>
                  <w:rPr>
                    <w:szCs w:val="24"/>
                    <w:lang w:eastAsia="lt-LT"/>
                  </w:rPr>
                </w:pPr>
                <w:r>
                  <w:rPr>
                    <w:szCs w:val="24"/>
                    <w:lang w:eastAsia="lt-LT"/>
                  </w:rPr>
                  <w:t>šeimos medicinos paslaugas teikiantis vaikų ligų gydytojas (tik paaugliams)</w:t>
                </w:r>
              </w:p>
              <w:p>
                <w:pPr>
                  <w:rPr>
                    <w:szCs w:val="24"/>
                    <w:lang w:eastAsia="lt-LT"/>
                  </w:rPr>
                </w:pPr>
                <w:r>
                  <w:rPr>
                    <w:szCs w:val="24"/>
                    <w:lang w:eastAsia="lt-LT"/>
                  </w:rPr>
                  <w:t xml:space="preserve">arba </w:t>
                </w:r>
              </w:p>
              <w:p>
                <w:pPr>
                  <w:rPr>
                    <w:szCs w:val="24"/>
                    <w:lang w:eastAsia="lt-LT"/>
                  </w:rPr>
                </w:pPr>
                <w:r>
                  <w:rPr>
                    <w:szCs w:val="24"/>
                    <w:lang w:eastAsia="lt-LT"/>
                  </w:rPr>
                  <w:t>šeimos medicinos paslaugas teikiantis vidaus ligų gydytojas (tik pilnamečiams mokiniams)</w:t>
                </w:r>
              </w:p>
              <w:p>
                <w:pPr>
                  <w:ind w:firstLine="62"/>
                  <w:rPr>
                    <w:szCs w:val="24"/>
                    <w:lang w:eastAsia="lt-LT"/>
                  </w:rPr>
                </w:pPr>
              </w:p>
            </w:tc>
            <w:tc>
              <w:tcPr>
                <w:tcW w:w="4536" w:type="dxa"/>
              </w:tcPr>
              <w:p>
                <w:pPr>
                  <w:rPr>
                    <w:szCs w:val="24"/>
                    <w:lang w:eastAsia="lt-LT"/>
                  </w:rPr>
                </w:pPr>
                <w:r>
                  <w:rPr>
                    <w:szCs w:val="24"/>
                    <w:lang w:eastAsia="lt-LT"/>
                  </w:rPr>
                  <w:t>5.2. Atlikti ir įvertinti:</w:t>
                </w:r>
              </w:p>
              <w:p>
                <w:pPr>
                  <w:rPr>
                    <w:szCs w:val="24"/>
                    <w:lang w:eastAsia="lt-LT"/>
                  </w:rPr>
                </w:pPr>
                <w:r>
                  <w:rPr>
                    <w:szCs w:val="24"/>
                    <w:lang w:eastAsia="lt-LT"/>
                  </w:rPr>
                  <w:t>5.2.1. bendrą kraujo tyrimą, jei yra šie rizikos veiksniai: neracionali mityba (ypač – vegetarams), gausios menstruacijos, pacientas sportuoja, gyvena blogomis socialinėmis sąlygomis, augimo spurto metu ir jei paauglys netenka kūno masės;</w:t>
                </w:r>
              </w:p>
              <w:p>
                <w:pPr>
                  <w:rPr>
                    <w:szCs w:val="24"/>
                    <w:lang w:eastAsia="lt-LT"/>
                  </w:rPr>
                </w:pPr>
                <w:r>
                  <w:rPr>
                    <w:szCs w:val="24"/>
                    <w:lang w:eastAsia="lt-LT"/>
                  </w:rPr>
                  <w:t>5.2.2. kapiliarinės glikemijos tyrimą, jei yra šie klinikiniai simptomai:</w:t>
                </w:r>
                <w:r>
                  <w:rPr>
                    <w:b/>
                    <w:bCs/>
                    <w:szCs w:val="24"/>
                    <w:lang w:eastAsia="lt-LT"/>
                  </w:rPr>
                  <w:t xml:space="preserve"> </w:t>
                </w:r>
                <w:r>
                  <w:rPr>
                    <w:szCs w:val="24"/>
                    <w:lang w:eastAsia="lt-LT"/>
                  </w:rPr>
                  <w:t>poliurija, polidipsija, svorio kritimas, nuovargis; nuo 10 metų arba prasidėjus lytiniam brendimui, kai KMI viršija 85 procentilę</w:t>
                </w:r>
                <w:r>
                  <w:rPr>
                    <w:b/>
                    <w:bCs/>
                    <w:szCs w:val="24"/>
                    <w:lang w:eastAsia="lt-LT"/>
                  </w:rPr>
                  <w:t xml:space="preserve"> </w:t>
                </w:r>
                <w:r>
                  <w:rPr>
                    <w:szCs w:val="24"/>
                    <w:lang w:eastAsia="lt-LT"/>
                  </w:rPr>
                  <w:t>ir yra rizikos veiksnių, tokių kaip cukrinis diabetas ir (ar) širdies kraujagyslių ligos šeimoje,  atsparumo insulinui požymių (juodoji akantozė, dislipidemija, hipertenzija, policistinių kiaušidžių sindromas);</w:t>
                </w:r>
              </w:p>
              <w:p>
                <w:pPr>
                  <w:rPr>
                    <w:szCs w:val="24"/>
                    <w:lang w:eastAsia="lt-LT"/>
                  </w:rPr>
                </w:pPr>
                <w:r>
                  <w:rPr>
                    <w:szCs w:val="24"/>
                    <w:lang w:eastAsia="lt-LT"/>
                  </w:rPr>
                  <w:t>visiems, kurių KMI viršija 95 procentilę pagal amžių ir lytį;</w:t>
                </w:r>
              </w:p>
              <w:p>
                <w:pPr>
                  <w:rPr>
                    <w:szCs w:val="24"/>
                    <w:lang w:eastAsia="lt-LT"/>
                  </w:rPr>
                </w:pPr>
                <w:r>
                  <w:rPr>
                    <w:szCs w:val="24"/>
                    <w:lang w:eastAsia="lt-LT"/>
                  </w:rPr>
                  <w:t>5.2.3. bendrą šlapimo tyrimą.</w:t>
                </w:r>
              </w:p>
            </w:tc>
            <w:tc>
              <w:tcPr>
                <w:tcW w:w="1701" w:type="dxa"/>
                <w:vMerge/>
              </w:tcPr>
              <w:p>
                <w:pPr>
                  <w:tabs>
                    <w:tab w:val="left" w:pos="600"/>
                  </w:tabs>
                  <w:rPr>
                    <w:color w:val="000000"/>
                    <w:szCs w:val="24"/>
                  </w:rPr>
                </w:pPr>
              </w:p>
            </w:tc>
            <w:tc>
              <w:tcPr>
                <w:tcW w:w="1559" w:type="dxa"/>
                <w:vMerge/>
              </w:tcPr>
              <w:p>
                <w:pPr>
                  <w:tabs>
                    <w:tab w:val="left" w:pos="600"/>
                  </w:tabs>
                  <w:jc w:val="center"/>
                  <w:rPr>
                    <w:color w:val="000000"/>
                    <w:szCs w:val="24"/>
                  </w:rPr>
                </w:pPr>
              </w:p>
            </w:tc>
            <w:tc>
              <w:tcPr>
                <w:tcW w:w="1701" w:type="dxa"/>
                <w:vMerge/>
              </w:tcPr>
              <w:p>
                <w:pPr>
                  <w:rPr>
                    <w:color w:val="000000"/>
                    <w:szCs w:val="24"/>
                  </w:rPr>
                </w:pPr>
              </w:p>
            </w:tc>
          </w:tr>
          <w:tr>
            <w:tblPrEx>
              <w:tblCellMar>
                <w:left w:w="108" w:type="dxa"/>
                <w:right w:w="108" w:type="dxa"/>
              </w:tblCellMar>
            </w:tblPrEx>
            <w:trPr>
              <w:trHeight w:val="92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szCs w:val="24"/>
                    <w:lang w:eastAsia="lt-LT"/>
                  </w:rPr>
                </w:pPr>
                <w:r>
                  <w:rPr>
                    <w:szCs w:val="24"/>
                    <w:lang w:eastAsia="lt-LT"/>
                  </w:rPr>
                  <w:t>Gydytojas odontologas</w:t>
                </w:r>
              </w:p>
              <w:p>
                <w:pPr>
                  <w:rPr>
                    <w:szCs w:val="24"/>
                    <w:lang w:eastAsia="lt-LT"/>
                  </w:rPr>
                </w:pPr>
                <w:r>
                  <w:rPr>
                    <w:szCs w:val="24"/>
                    <w:lang w:eastAsia="lt-LT"/>
                  </w:rPr>
                  <w:t>arba gydytojas odontologas specialistas</w:t>
                </w:r>
              </w:p>
            </w:tc>
            <w:tc>
              <w:tcPr>
                <w:tcW w:w="4536" w:type="dxa"/>
              </w:tcPr>
              <w:p>
                <w:pPr>
                  <w:rPr>
                    <w:szCs w:val="24"/>
                    <w:lang w:eastAsia="lt-LT"/>
                  </w:rPr>
                </w:pPr>
                <w:r>
                  <w:rPr>
                    <w:szCs w:val="24"/>
                    <w:lang w:eastAsia="lt-LT"/>
                  </w:rPr>
                  <w:t xml:space="preserve">5.3. Atlikti dantų ėduonies diagnostiką, krūminių dantų silantavimą – priklausomai nuo dantų dygimo laiko, jei reikia, pagydyti ar skirti gydymo laiką / siųsti gydyti. </w:t>
                </w:r>
              </w:p>
              <w:p>
                <w:pPr>
                  <w:rPr>
                    <w:szCs w:val="24"/>
                    <w:lang w:eastAsia="lt-LT"/>
                  </w:rPr>
                </w:pPr>
                <w:r>
                  <w:rPr>
                    <w:szCs w:val="24"/>
                    <w:lang w:eastAsia="lt-LT"/>
                  </w:rPr>
                  <w:t xml:space="preserve">5.4. Įvertinti nuolatinių dantų sąkandį, nustatyti, ar nėra sąkandžio anomalijų, jei reikia, pagydyti ar siųsti konsultacijos / gydyti.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198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szCs w:val="24"/>
                    <w:lang w:eastAsia="lt-LT"/>
                  </w:rPr>
                </w:pPr>
                <w:r>
                  <w:rPr>
                    <w:szCs w:val="24"/>
                    <w:lang w:eastAsia="lt-LT"/>
                  </w:rPr>
                  <w:t>Gydytojas odontologas</w:t>
                </w:r>
              </w:p>
              <w:p>
                <w:pPr>
                  <w:rPr>
                    <w:szCs w:val="24"/>
                    <w:lang w:eastAsia="lt-LT"/>
                  </w:rPr>
                </w:pPr>
                <w:r>
                  <w:rPr>
                    <w:szCs w:val="24"/>
                    <w:lang w:eastAsia="lt-LT"/>
                  </w:rPr>
                  <w:t xml:space="preserve">arba gydytojas odontologas specialistas, </w:t>
                </w:r>
              </w:p>
              <w:p>
                <w:pPr>
                  <w:rPr>
                    <w:szCs w:val="24"/>
                    <w:lang w:eastAsia="lt-LT"/>
                  </w:rPr>
                </w:pPr>
                <w:r>
                  <w:rPr>
                    <w:szCs w:val="24"/>
                    <w:lang w:eastAsia="lt-LT"/>
                  </w:rPr>
                  <w:t xml:space="preserve">arba burnos higienistas </w:t>
                </w:r>
              </w:p>
            </w:tc>
            <w:tc>
              <w:tcPr>
                <w:tcW w:w="4536" w:type="dxa"/>
              </w:tcPr>
              <w:p>
                <w:pPr>
                  <w:rPr>
                    <w:szCs w:val="24"/>
                    <w:lang w:eastAsia="lt-LT"/>
                  </w:rPr>
                </w:pPr>
                <w:r>
                  <w:rPr>
                    <w:szCs w:val="24"/>
                    <w:lang w:eastAsia="lt-LT"/>
                  </w:rPr>
                  <w:t xml:space="preserve">5.5. Atlikti dantų ėduonies profilaktiką. </w:t>
                </w:r>
                <w:r>
                  <w:rPr>
                    <w:sz w:val="10"/>
                    <w:szCs w:val="10"/>
                    <w:lang w:eastAsia="lt-LT"/>
                  </w:rPr>
                  <w:t> </w:t>
                </w:r>
              </w:p>
              <w:p>
                <w:pPr>
                  <w:rPr>
                    <w:szCs w:val="24"/>
                    <w:lang w:eastAsia="lt-LT"/>
                  </w:rPr>
                </w:pPr>
                <w:r>
                  <w:rPr>
                    <w:szCs w:val="24"/>
                    <w:lang w:eastAsia="lt-LT"/>
                  </w:rPr>
                  <w:t>5.6. Įvertinti burnos higienos būklę ir pamokyti burnos higienos ir racionalios mitybos pagrindų, informuoti apie deimantų ant dantų, auskarų liežuvyje žalą.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20"/>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rPr>
                    <w:color w:val="000000"/>
                    <w:szCs w:val="24"/>
                  </w:rPr>
                </w:pPr>
                <w:r>
                  <w:rPr>
                    <w:color w:val="000000"/>
                    <w:szCs w:val="24"/>
                  </w:rPr>
                  <w:t>1 kartą per metus</w:t>
                </w:r>
              </w:p>
              <w:p>
                <w:pPr>
                  <w:tabs>
                    <w:tab w:val="left" w:pos="600"/>
                  </w:tabs>
                  <w:rPr>
                    <w:color w:val="000000"/>
                    <w:szCs w:val="24"/>
                  </w:rPr>
                </w:pPr>
              </w:p>
            </w:tc>
            <w:tc>
              <w:tcPr>
                <w:tcW w:w="2268" w:type="dxa"/>
              </w:tcPr>
              <w:p>
                <w:pPr>
                  <w:widowControl w:val="0"/>
                  <w:rPr>
                    <w:color w:val="000000"/>
                    <w:szCs w:val="24"/>
                  </w:rPr>
                </w:pPr>
                <w:r>
                  <w:rPr>
                    <w:color w:val="000000"/>
                    <w:szCs w:val="24"/>
                  </w:rPr>
                  <w:t>Slaugytojas</w:t>
                </w:r>
              </w:p>
              <w:p>
                <w:pPr>
                  <w:widowControl w:val="0"/>
                  <w:rPr>
                    <w:color w:val="000000"/>
                    <w:szCs w:val="24"/>
                  </w:rPr>
                </w:pPr>
              </w:p>
            </w:tc>
            <w:tc>
              <w:tcPr>
                <w:tcW w:w="4536" w:type="dxa"/>
              </w:tcPr>
              <w:p>
                <w:pPr>
                  <w:rPr>
                    <w:szCs w:val="24"/>
                    <w:lang w:eastAsia="lt-LT"/>
                  </w:rPr>
                </w:pPr>
                <w:r>
                  <w:rPr>
                    <w:szCs w:val="24"/>
                    <w:lang w:eastAsia="lt-LT"/>
                  </w:rPr>
                  <w:t xml:space="preserve">5.7. Kiekvieno apsilankymo metu pamatuoti paciento AKS, ūgį bei svorį ir šiuos duomenis įrašyti į asmeninę svorio priklausomybės nuo ūgio kitimo diagramą pagal lytį, apskaičiuoti </w:t>
                </w:r>
                <w:r>
                  <w:rPr>
                    <w:szCs w:val="24"/>
                    <w:lang w:val="pl-PL" w:eastAsia="lt-LT"/>
                  </w:rPr>
                  <w:t>KMI.</w:t>
                </w:r>
              </w:p>
              <w:p>
                <w:pPr>
                  <w:rPr>
                    <w:szCs w:val="24"/>
                    <w:lang w:eastAsia="lt-LT"/>
                  </w:rPr>
                </w:pPr>
                <w:r>
                  <w:rPr>
                    <w:szCs w:val="24"/>
                    <w:lang w:eastAsia="lt-LT"/>
                  </w:rPr>
                  <w:t>5.8. Pagal amžiaus ir lyties ypatumus padėti pacientui susiformuoti racionalios mitybos, fizinio aktyvumo, sveiko gyvenimo būdo nuostatas.</w:t>
                </w:r>
              </w:p>
              <w:p>
                <w:pPr>
                  <w:rPr>
                    <w:szCs w:val="24"/>
                    <w:lang w:eastAsia="lt-LT"/>
                  </w:rPr>
                </w:pPr>
                <w:r>
                  <w:rPr>
                    <w:szCs w:val="24"/>
                    <w:lang w:eastAsia="lt-LT"/>
                  </w:rPr>
                  <w:t>5.9. Informuoti apie sveiką gyvenimo būdą,  ligų ir žalingų sveikatai įpročių profilaktiką, imunoprofilaktiką, lytinės elgsenos saugumą.</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 pr."/>
        <w:tag w:val="part_157fffd3966541bd90693ca4016f3032"/>
        <w:lock w:val="sdtLocked"/>
        <w:richText/>
      </w:sdtPr>
      <w:sdtContent>
        <w:p>
          <w:pPr>
            <w:ind w:left="11907"/>
            <w:sectPr>
              <w:headerReference w:type="even" r:id="rId104"/>
              <w:headerReference w:type="default" r:id="rId105"/>
              <w:headerReference w:type="first" r:id="rId106"/>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157fffd3966541bd90693ca4016f3032"/>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157fffd3966541bd90693ca4016f3032"/>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8"/>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9"/>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20"/>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1"/>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22"/>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23"/>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24"/>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5"/>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6"/>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7"/>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8"/>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9"/>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0"/>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31"/>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32"/>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33"/>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4"/>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5"/>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6"/>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7"/>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8"/>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0"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1"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20e23dc59d114cceb6e8e573bbb071d2"/>
        <w:lock w:val="sdtLocked"/>
        <w:richText/>
      </w:sdtPr>
      <w:sdtContent>
        <w:p>
          <w:pPr>
            <w:keepLines/>
            <w:widowControl w:val="0"/>
            <w:suppressAutoHyphens/>
            <w:ind w:left="5102"/>
            <w:sectPr>
              <w:headerReference w:type="even" r:id="rId42"/>
              <w:headerReference w:type="default" r:id="rId43"/>
              <w:footerReference w:type="even" r:id="rId44"/>
              <w:footerReference w:type="default" r:id="rId45"/>
              <w:headerReference w:type="first" r:id="rId46"/>
              <w:footerReference w:type="first" r:id="rId47"/>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20e23dc59d114cceb6e8e573bbb071d2"/>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20e23dc59d114cceb6e8e573bbb071d2"/>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8"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9"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8" w:tgtFrame="_blank" w:history="1">
                    <w:r>
                      <w:rPr>
                        <w:color w:val="0000FF" w:themeColor="hyperlink"/>
                        <w:u w:val="single"/>
                      </w:rPr>
                      <w:t>92-2883</w:t>
                    </w:r>
                  </w:hyperlink>
                  <w:r>
                    <w:t xml:space="preserve">; 2007, Nr. </w:t>
                  </w:r>
                  <w:hyperlink r:id="rId59"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60"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61" w:tgtFrame="_blank" w:history="1">
                    <w:r>
                      <w:rPr>
                        <w:color w:val="0000FF" w:themeColor="hyperlink"/>
                        <w:u w:val="single"/>
                      </w:rPr>
                      <w:t>13-308</w:t>
                    </w:r>
                  </w:hyperlink>
                  <w:r>
                    <w:t xml:space="preserve">; 2000, Nr. </w:t>
                  </w:r>
                  <w:hyperlink r:id="rId62"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da39e86e0365404c80191091e05e5124"/>
        <w:lock w:val="sdtLocked"/>
        <w:richText/>
      </w:sdtPr>
      <w:sdtContent>
        <w:p>
          <w:pPr>
            <w:tabs>
              <w:tab w:val="left" w:pos="8789"/>
            </w:tabs>
            <w:spacing w:line="276" w:lineRule="auto"/>
            <w:ind w:left="4895"/>
            <w:jc w:val="right"/>
            <w:sectPr>
              <w:pgSz w:w="11907" w:h="16840" w:code="9"/>
              <w:pgMar w:top="1134" w:right="1134" w:bottom="1134" w:left="1079" w:header="567" w:footer="567" w:gutter="0"/>
              <w:pgNumType w:start="1"/>
              <w:cols w:space="1296"/>
              <w:titlePg/>
              <w:docGrid w:linePitch="360"/>
            </w:sectPr>
          </w:pPr>
        </w:p>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e950408d9c76469d9e0c98fd7189996e"/>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e950408d9c76469d9e0c98fd7189996e"/>
              <w:lock w:val="sdtLocked"/>
              <w:richText/>
            </w:sdtPr>
            <w:sdtContent>
              <w:r>
                <w:t>3</w:t>
              </w:r>
            </w:sdtContent>
          </w:sdt>
          <w:r>
            <w:t xml:space="preserve"> lentelė</w:t>
          </w:r>
        </w:p>
        <w:p>
          <w:pPr>
            <w:jc w:val="both"/>
            <w:rPr>
              <w:bCs/>
            </w:rPr>
          </w:pPr>
        </w:p>
        <w:p>
          <w:pPr>
            <w:jc w:val="center"/>
            <w:rPr>
              <w:b/>
              <w:bCs/>
            </w:rPr>
          </w:pPr>
          <w:sdt>
            <w:sdtPr>
              <w:alias w:val="Pavadinimas"/>
              <w:tag w:val="title_e950408d9c76469d9e0c98fd7189996e"/>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ASMENYS, TURINTYS JUDĖJIMO SUTRIKIMŲ</w:t>
                </w:r>
              </w:p>
              <w:p>
                <w:pPr>
                  <w:jc w:val="both"/>
                  <w:rPr>
                    <w:bCs/>
                    <w:sz w:val="22"/>
                    <w:szCs w:val="22"/>
                  </w:rPr>
                </w:pPr>
                <w:r>
                  <w:rPr>
                    <w:bCs/>
                    <w:sz w:val="22"/>
                    <w:szCs w:val="22"/>
                  </w:rPr>
                  <w:t>Vairuotojo pažymėjimai neišduodami kandidatams į vairuotojus ir neatnaujinami vairuotojams, kuriems nustatyti judėjimo sistemos sutrikimai, keliantys pavojų saugiam variklio varomos priemonės vairavimui.</w:t>
                </w:r>
              </w:p>
              <w:p>
                <w:pPr>
                  <w:jc w:val="both"/>
                  <w:rPr>
                    <w:bCs/>
                    <w:sz w:val="22"/>
                    <w:szCs w:val="22"/>
                  </w:rPr>
                </w:pPr>
                <w:r>
                  <w:rPr>
                    <w:bCs/>
                    <w:sz w:val="22"/>
                    <w:szCs w:val="22"/>
                  </w:rPr>
                  <w:t>1 grupė:</w:t>
                </w:r>
              </w:p>
              <w:p>
                <w:pPr>
                  <w:jc w:val="both"/>
                  <w:rPr>
                    <w:bCs/>
                    <w:sz w:val="22"/>
                    <w:szCs w:val="22"/>
                  </w:rPr>
                </w:pPr>
                <w:r>
                  <w:rPr>
                    <w:bCs/>
                    <w:sz w:val="22"/>
                    <w:szCs w:val="22"/>
                  </w:rPr>
                  <w:t xml:space="preserve">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 </w:t>
                </w:r>
              </w:p>
              <w:p>
                <w:pPr>
                  <w:jc w:val="both"/>
                  <w:rPr>
                    <w:bCs/>
                    <w:sz w:val="22"/>
                    <w:szCs w:val="22"/>
                  </w:rPr>
                </w:pPr>
                <w:r>
                  <w:rPr>
                    <w:bCs/>
                    <w:sz w:val="22"/>
                    <w:szCs w:val="22"/>
                  </w:rPr>
                  <w:t>Ši išvada turi remtis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bCs/>
                    <w:sz w:val="22"/>
                    <w:szCs w:val="22"/>
                  </w:rPr>
                </w:pPr>
                <w:r>
                  <w:rPr>
                    <w:bCs/>
                    <w:sz w:val="22"/>
                    <w:szCs w:val="22"/>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bCs/>
                    <w:sz w:val="22"/>
                    <w:szCs w:val="22"/>
                  </w:rPr>
                </w:pPr>
                <w:r>
                  <w:rPr>
                    <w:bCs/>
                    <w:sz w:val="22"/>
                    <w:szCs w:val="22"/>
                  </w:rPr>
                  <w:t>Jeigu asmuo, turintis judėjimo sutrikimų, gali vairuoti tik transporto priemonę su automatine pavarų dėže, išvadoje įrašomas transporto priemonės pritaikymo kodas 10.02 (automatinis pavaros perdavimo skaičiaus parinkimas).</w:t>
                </w:r>
              </w:p>
              <w:p>
                <w:pPr>
                  <w:jc w:val="both"/>
                  <w:rPr>
                    <w:bCs/>
                    <w:sz w:val="22"/>
                    <w:szCs w:val="22"/>
                  </w:rPr>
                </w:pPr>
                <w:r>
                  <w:rPr>
                    <w:bCs/>
                    <w:sz w:val="22"/>
                    <w:szCs w:val="22"/>
                  </w:rPr>
                  <w:t>Jeigu asmuo, turintis judėjimo sutrikimų, gali vairuoti tik transporto priemonę su rankinio valdymo sistema, priklausomai nuo to, ar asmuo planuoja vairuoti automobilį su automatine ar mechanine pavarų dėžę, išvadoje įrašomi 3 transporto priemonės pritaikymo kodai:</w:t>
                </w:r>
              </w:p>
              <w:p>
                <w:pPr>
                  <w:jc w:val="both"/>
                  <w:rPr>
                    <w:bCs/>
                    <w:sz w:val="22"/>
                    <w:szCs w:val="22"/>
                  </w:rPr>
                </w:pPr>
                <w:r>
                  <w:rPr>
                    <w:bCs/>
                    <w:sz w:val="22"/>
                    <w:szCs w:val="22"/>
                  </w:rPr>
                  <w:t>a) 20.06 (ranka valdomas stabdys), 25.04 (ranka valdomas akseleratorius) ir 10.02 (automatinis pavaros perdavimo skaičiaus parinkimas) – transporto priemonei su automatine pavarų dėže;</w:t>
                </w:r>
              </w:p>
              <w:p>
                <w:pPr>
                  <w:jc w:val="both"/>
                  <w:rPr>
                    <w:bCs/>
                    <w:sz w:val="22"/>
                    <w:szCs w:val="22"/>
                  </w:rPr>
                </w:pPr>
                <w:r>
                  <w:rPr>
                    <w:bCs/>
                    <w:sz w:val="22"/>
                    <w:szCs w:val="22"/>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bCs/>
                    <w:sz w:val="22"/>
                    <w:szCs w:val="22"/>
                  </w:rPr>
                </w:pPr>
                <w:r>
                  <w:rPr>
                    <w:bCs/>
                    <w:sz w:val="22"/>
                    <w:szCs w:val="22"/>
                  </w:rPr>
                  <w:t>Jeigu gydytojų komisija nusprendžia, kad išvadai dėl tikrinamo asmens sveikatos būklės tinkamumo vairuoti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p>
                <w:pPr>
                  <w:jc w:val="both"/>
                  <w:rPr>
                    <w:bCs/>
                    <w:sz w:val="22"/>
                    <w:szCs w:val="22"/>
                  </w:rPr>
                </w:pPr>
                <w:r>
                  <w:rPr>
                    <w:bCs/>
                    <w:sz w:val="22"/>
                    <w:szCs w:val="22"/>
                  </w:rPr>
                  <w:t>2 grupė:</w:t>
                </w:r>
              </w:p>
              <w:p>
                <w:pPr>
                  <w:jc w:val="both"/>
                  <w:rPr>
                    <w:bCs/>
                    <w:sz w:val="22"/>
                    <w:szCs w:val="22"/>
                  </w:rPr>
                </w:pPr>
                <w:r>
                  <w:rPr>
                    <w:bCs/>
                    <w:sz w:val="22"/>
                    <w:szCs w:val="22"/>
                  </w:rPr>
                  <w:t>2. Gydytojų komisija įvertina papildomą riziką ir pavojus, kurie kyla vairuojant prie šios grupės priskiriamas transporto priemones.</w:t>
                </w:r>
              </w:p>
              <w:p>
                <w:pPr>
                  <w:jc w:val="both"/>
                  <w:rPr>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Rankos, kojos, plaštakos, pėdos ar abiejų plaštakų, pėdų trūkumas, žymios deformacijos, dėl kurių yra sutrikusi lokomotorinė funkcija: Z89.1, Z 89.2, Z 89.3, Z 89.4, Z 89.5, Z 89.6, Z 89.7, Z 89.8, Z 89.9 </w:t>
                </w:r>
              </w:p>
              <w:p>
                <w:pPr>
                  <w:jc w:val="both"/>
                  <w:rPr>
                    <w:bCs/>
                    <w:sz w:val="22"/>
                    <w:szCs w:val="22"/>
                  </w:rPr>
                </w:pPr>
                <w:r>
                  <w:rPr>
                    <w:bCs/>
                    <w:sz w:val="22"/>
                    <w:szCs w:val="22"/>
                  </w:rPr>
                  <w:t xml:space="preserve">PASTABA: </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reikiamą apribojimą</w:t>
                </w:r>
              </w:p>
              <w:p>
                <w:pPr>
                  <w:jc w:val="center"/>
                  <w:rPr>
                    <w:sz w:val="22"/>
                    <w:szCs w:val="22"/>
                  </w:rPr>
                </w:pPr>
                <w:r>
                  <w:rPr>
                    <w:sz w:val="22"/>
                    <w:szCs w:val="22"/>
                  </w:rPr>
                  <w:t>03.01, 03.02</w:t>
                </w:r>
              </w:p>
              <w:p>
                <w:pPr>
                  <w:jc w:val="center"/>
                  <w:rPr>
                    <w:sz w:val="22"/>
                    <w:szCs w:val="22"/>
                  </w:rPr>
                </w:pPr>
                <w:r>
                  <w:rPr>
                    <w:sz w:val="22"/>
                    <w:szCs w:val="22"/>
                  </w:rPr>
                  <w:t>bei nurodant reikalingą transporto priemonės pritaikymo kodą (nuo 10 iki 50), nurodytą 5 lentelėje</w:t>
                </w:r>
              </w:p>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jc w:val="both"/>
                  <w:rPr>
                    <w:b/>
                    <w:bCs/>
                    <w:sz w:val="22"/>
                    <w:szCs w:val="22"/>
                  </w:rPr>
                </w:pPr>
                <w:r>
                  <w:rPr>
                    <w:b/>
                    <w:bCs/>
                    <w:sz w:val="22"/>
                    <w:szCs w:val="22"/>
                  </w:rPr>
                  <w:t>PASTABA:</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jc w:val="both"/>
                  <w:rPr>
                    <w:b/>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apribojimą 03.01</w:t>
                </w:r>
              </w:p>
              <w:p>
                <w:pPr>
                  <w:jc w:val="center"/>
                  <w:rPr>
                    <w:sz w:val="22"/>
                    <w:szCs w:val="22"/>
                  </w:rPr>
                </w:pPr>
                <w:r>
                  <w:rPr>
                    <w:sz w:val="22"/>
                    <w:szCs w:val="22"/>
                  </w:rPr>
                  <w:t>bei nurodant reikalingą transporto priemonės pritaikymo kodą (nuo 10 iki 50), nurodytą 5 lentelėje</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7.10.</w:t>
                </w:r>
              </w:p>
            </w:tc>
            <w:tc>
              <w:tcPr>
                <w:tcW w:w="9109" w:type="dxa"/>
                <w:tcBorders>
                  <w:top w:val="single" w:sz="6" w:space="0" w:color="auto"/>
                  <w:left w:val="single" w:sz="6" w:space="0" w:color="auto"/>
                  <w:bottom w:val="single" w:sz="6" w:space="0" w:color="auto"/>
                  <w:right w:val="single" w:sz="6" w:space="0" w:color="auto"/>
                </w:tcBorders>
              </w:tcPr>
              <w:p>
                <w:pPr>
                  <w:rPr>
                    <w:strike/>
                    <w:sz w:val="22"/>
                    <w:szCs w:val="22"/>
                    <w:lang w:eastAsia="lt-LT"/>
                  </w:rPr>
                </w:pPr>
                <w:r>
                  <w:rPr>
                    <w:sz w:val="22"/>
                    <w:szCs w:val="22"/>
                    <w:lang w:eastAsia="lt-LT"/>
                  </w:rPr>
                  <w:t xml:space="preserve">Protinis atsilikimas F70–F71 </w:t>
                </w:r>
              </w:p>
              <w:p>
                <w:pPr>
                  <w:rPr>
                    <w:sz w:val="22"/>
                    <w:szCs w:val="22"/>
                    <w:lang w:eastAsia="lt-LT"/>
                  </w:rPr>
                </w:pPr>
                <w:r>
                  <w:rPr>
                    <w:sz w:val="22"/>
                    <w:szCs w:val="22"/>
                    <w:lang w:eastAsia="lt-LT"/>
                  </w:rPr>
                  <w:t>(dėl leidimo vairuoti A, A1, A2, AM, B, B1, BE kategorijų transporto priemones (be teisės užsiimti transporto ūkine veikla), traktorių, remiantis gydytojo psichiatro išvada, sprendžiama individualiai, atsižvelgiant į praktinius vairavimo įgūdžius bei adaptacijos kokybę).</w:t>
                </w:r>
              </w:p>
              <w:p>
                <w:pPr>
                  <w:rPr>
                    <w:sz w:val="22"/>
                    <w:szCs w:val="22"/>
                  </w:rPr>
                </w:pPr>
                <w:r>
                  <w:rPr>
                    <w:sz w:val="22"/>
                    <w:szCs w:val="22"/>
                    <w:lang w:eastAsia="lt-LT"/>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PASTABA: Psichozinio lygio sutrikimų atveju kokybiška remisija turėtų trukti ne trumpiau kaip 3 metus Nepsichozinio lygio psichikos sutrikimų atveju remisija turėtų trukti ne trumpiau kaip 1 metus Galima taikyti 68 apribojimą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ALKOHOLIS</w:t>
                </w:r>
              </w:p>
              <w:p>
                <w:pPr>
                  <w:rPr>
                    <w:sz w:val="22"/>
                    <w:szCs w:val="22"/>
                  </w:rPr>
                </w:pPr>
                <w:r>
                  <w:rPr>
                    <w:sz w:val="22"/>
                    <w:szCs w:val="22"/>
                  </w:rPr>
                  <w:t>Alkoholio vartojimas kelia didžiulį pavojų kelių eismo saugumui. Atsižvelgiant į problemos mastą, medikai turi būti ypač budrūs.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priklausomiems nuo alkoholio arba negalintiems susilaikyti negėrus ir nevairavus esant neblaiviems.</w:t>
                </w:r>
              </w:p>
              <w:p>
                <w:pPr>
                  <w:rPr>
                    <w:sz w:val="22"/>
                    <w:szCs w:val="22"/>
                  </w:rPr>
                </w:pPr>
                <w:r>
                  <w:rPr>
                    <w:sz w:val="22"/>
                    <w:szCs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Priklausomybės ligos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NARKOTIKAI IR VAISTAI</w:t>
                </w:r>
              </w:p>
              <w:p>
                <w:pPr>
                  <w:rPr>
                    <w:sz w:val="22"/>
                    <w:szCs w:val="22"/>
                  </w:rPr>
                </w:pPr>
                <w:r>
                  <w:rPr>
                    <w:sz w:val="22"/>
                    <w:szCs w:val="22"/>
                  </w:rPr>
                  <w:t>Piktnaudžiavimas:</w:t>
                </w:r>
              </w:p>
              <w:p>
                <w:pPr>
                  <w:rPr>
                    <w:sz w:val="22"/>
                    <w:szCs w:val="22"/>
                  </w:rPr>
                </w:pPr>
                <w:r>
                  <w:rPr>
                    <w:sz w:val="22"/>
                    <w:szCs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Piktnaudžiavimas narkotikais ir vaistais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 xml:space="preserve">Sergantiesiems priklausomybės liga turi būti ne trumpesnė kaip 3 metų remisija. </w:t>
                </w:r>
              </w:p>
              <w:p>
                <w:pPr>
                  <w:rPr>
                    <w:sz w:val="22"/>
                    <w:szCs w:val="22"/>
                  </w:rPr>
                </w:pPr>
                <w:r>
                  <w:rPr>
                    <w:sz w:val="22"/>
                    <w:szCs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2a5cc77725464ab3061b5460210de5"/>
            <w:lock w:val="sdtLocked"/>
            <w:richText/>
          </w:sdtPr>
          <w:sdtContent>
            <w:p>
              <w:pPr>
                <w:jc w:val="both"/>
                <w:rPr>
                  <w:sz w:val="22"/>
                </w:rPr>
              </w:pPr>
              <w:r>
                <w:rPr>
                  <w:sz w:val="22"/>
                </w:rPr>
                <w:t>Pastabos:</w:t>
              </w:r>
            </w:p>
          </w:sdtContent>
        </w:sdt>
        <w:sdt>
          <w:sdtPr>
            <w:alias w:val="1 p."/>
            <w:tag w:val="part_91f7c691844a4270896e1adf8e1ddf81"/>
            <w:lock w:val="sdtLocked"/>
            <w:richText/>
          </w:sdtPr>
          <w:sdtContent>
            <w:p>
              <w:pPr>
                <w:jc w:val="both"/>
                <w:rPr>
                  <w:sz w:val="22"/>
                </w:rPr>
              </w:pPr>
              <w:sdt>
                <w:sdtPr>
                  <w:alias w:val="Numeris"/>
                  <w:tag w:val="nr_91f7c691844a4270896e1adf8e1ddf81"/>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95dab9f62a8746c5b88ee15bc28813f8"/>
            <w:lock w:val="sdtLocked"/>
            <w:richText/>
          </w:sdtPr>
          <w:sdtContent>
            <w:p>
              <w:pPr>
                <w:jc w:val="both"/>
                <w:rPr>
                  <w:sz w:val="22"/>
                </w:rPr>
              </w:pPr>
              <w:sdt>
                <w:sdtPr>
                  <w:alias w:val="Numeris"/>
                  <w:tag w:val="nr_95dab9f62a8746c5b88ee15bc28813f8"/>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91c0a009624d44db9eaeb52843343851"/>
            <w:lock w:val="sdtLocked"/>
            <w:richText/>
          </w:sdtPr>
          <w:sdtContent>
            <w:p>
              <w:pPr>
                <w:jc w:val="both"/>
              </w:pPr>
              <w:sdt>
                <w:sdtPr>
                  <w:alias w:val="Numeris"/>
                  <w:tag w:val="nr_91c0a009624d44db9eaeb52843343851"/>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f99f630dd4494ea8a0278039b27fdecd"/>
        <w:lock w:val="sdtLocked"/>
        <w:richText/>
      </w:sdtPr>
      <w:sdtContent>
        <w:p>
          <w:pPr>
            <w:suppressAutoHyphens/>
            <w:ind w:left="1134"/>
            <w:jc w:val="right"/>
            <w:textAlignment w:val="center"/>
            <w:sectPr>
              <w:pgSz w:w="11906" w:h="16838"/>
              <w:pgMar w:top="1134" w:right="1134" w:bottom="1134" w:left="1701" w:header="567" w:footer="567" w:gutter="0"/>
              <w:pgNumType w:start="1"/>
              <w:cols w:space="1296"/>
              <w:noEndnote/>
              <w:titlePg/>
              <w:docGrid w:linePitch="326"/>
            </w:sectPr>
          </w:pPr>
        </w:p>
        <w:p>
          <w:pPr>
            <w:suppressAutoHyphens/>
            <w:ind w:left="1134"/>
            <w:jc w:val="right"/>
            <w:textAlignment w:val="center"/>
            <w:rPr>
              <w:bCs/>
              <w:szCs w:val="24"/>
              <w:lang w:eastAsia="lt-LT"/>
            </w:rPr>
          </w:pPr>
          <w:sdt>
            <w:sdtPr>
              <w:alias w:val="Numeris"/>
              <w:tag w:val="nr_f99f630dd4494ea8a0278039b27fdecd"/>
              <w:lock w:val="sdtLocked"/>
              <w:richText/>
            </w:sdtPr>
            <w:sdtContent>
              <w:r>
                <w:rPr>
                  <w:bCs/>
                  <w:szCs w:val="24"/>
                  <w:lang w:eastAsia="lt-LT"/>
                </w:rPr>
                <w:t>5</w:t>
              </w:r>
            </w:sdtContent>
          </w:sdt>
          <w:r>
            <w:rPr>
              <w:bCs/>
              <w:szCs w:val="24"/>
              <w:lang w:eastAsia="lt-LT"/>
            </w:rPr>
            <w:t xml:space="preserve"> lentelė</w:t>
          </w:r>
        </w:p>
        <w:p>
          <w:pPr>
            <w:suppressAutoHyphens/>
            <w:ind w:left="1134"/>
            <w:jc w:val="center"/>
            <w:textAlignment w:val="center"/>
            <w:rPr>
              <w:b/>
              <w:bCs/>
              <w:szCs w:val="24"/>
              <w:lang w:eastAsia="lt-LT"/>
            </w:rPr>
          </w:pPr>
          <w:sdt>
            <w:sdtPr>
              <w:alias w:val="Pavadinimas"/>
              <w:tag w:val="title_f99f630dd4494ea8a0278039b27fdecd"/>
              <w:lock w:val="sdtLocked"/>
              <w:richText/>
            </w:sdtPr>
            <w:sdtContent>
              <w:r>
                <w:rPr>
                  <w:b/>
                  <w:bCs/>
                  <w:szCs w:val="24"/>
                  <w:lang w:eastAsia="lt-LT"/>
                </w:rPr>
                <w:t>VAIRUOTOJUI TAIKOMŲ APRIBOJIMŲ KODAI</w:t>
              </w:r>
            </w:sdtContent>
          </w:sdt>
        </w:p>
        <w:p>
          <w:pPr>
            <w:suppressAutoHyphens/>
            <w:jc w:val="center"/>
            <w:textAlignment w:val="center"/>
            <w:rPr>
              <w:szCs w:val="24"/>
              <w:lang w:eastAsia="lt-LT"/>
            </w:rPr>
          </w:pPr>
        </w:p>
        <w:tbl>
          <w:tblPr>
            <w:tblW w:w="9356" w:type="dxa"/>
            <w:tblInd w:w="40" w:type="dxa"/>
            <w:tblLayout w:type="fixed"/>
            <w:tblCellMar>
              <w:left w:w="0" w:type="dxa"/>
              <w:right w:w="0" w:type="dxa"/>
            </w:tblCellMar>
            <w:tblLook w:val="04A0" w:firstRow="1" w:lastRow="0" w:firstColumn="1" w:lastColumn="0" w:noHBand="0" w:noVBand="1"/>
          </w:tblPr>
          <w:tblGrid>
            <w:gridCol w:w="1703"/>
            <w:gridCol w:w="7653"/>
          </w:tblGrid>
          <w:tr>
            <w:trPr>
              <w:trHeight w:val="23"/>
            </w:trPr>
            <w:tc>
              <w:tcPr>
                <w:tcW w:w="910"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pPr>
                  <w:ind w:firstLine="62"/>
                  <w:jc w:val="both"/>
                  <w:rPr>
                    <w:b/>
                    <w:szCs w:val="24"/>
                    <w:lang w:eastAsia="lt-LT"/>
                  </w:rPr>
                </w:pPr>
                <w:r>
                  <w:rPr>
                    <w:b/>
                    <w:bCs/>
                    <w:szCs w:val="24"/>
                    <w:lang w:eastAsia="lt-LT"/>
                  </w:rPr>
                  <w:t>Kodas</w:t>
                </w:r>
              </w:p>
            </w:tc>
            <w:tc>
              <w:tcPr>
                <w:tcW w:w="4090" w:type="pct"/>
                <w:tcBorders>
                  <w:top w:val="single" w:sz="8" w:space="0" w:color="auto"/>
                  <w:left w:val="nil"/>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Vairuotojui taikomas apribojimas</w:t>
                </w:r>
                <w:r>
                  <w:rPr>
                    <w:b/>
                    <w:bCs/>
                    <w:szCs w:val="24"/>
                    <w:vertAlign w:val="superscript"/>
                    <w:lang w:eastAsia="lt-LT"/>
                  </w:rPr>
                  <w:t>*</w:t>
                </w:r>
                <w:r>
                  <w:rPr>
                    <w:b/>
                    <w:bCs/>
                    <w:szCs w:val="24"/>
                    <w:lang w:eastAsia="lt-LT"/>
                  </w:rPr>
                  <w:t xml:space="preserve"> </w:t>
                </w:r>
              </w:p>
              <w:p>
                <w:pPr>
                  <w:jc w:val="center"/>
                  <w:rPr>
                    <w:b/>
                    <w:szCs w:val="24"/>
                    <w:lang w:eastAsia="lt-LT"/>
                  </w:rPr>
                </w:pP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szCs w:val="24"/>
                    <w:lang w:eastAsia="lt-LT"/>
                  </w:rPr>
                </w:pPr>
                <w:r>
                  <w:rPr>
                    <w:b/>
                    <w:bCs/>
                    <w:szCs w:val="24"/>
                    <w:lang w:eastAsia="lt-LT"/>
                  </w:rPr>
                  <w:t>Dėl medicininių priežasčių</w:t>
                </w:r>
              </w:p>
              <w:p>
                <w:pPr>
                  <w:jc w:val="center"/>
                  <w:rPr>
                    <w:szCs w:val="24"/>
                    <w:lang w:eastAsia="lt-LT"/>
                  </w:rPr>
                </w:pPr>
                <w:r>
                  <w:rPr>
                    <w:szCs w:val="24"/>
                    <w:lang w:eastAsia="lt-LT"/>
                  </w:rPr>
                  <w:t>(Išvadą pateikia sveikatos priežiūros įstaiga)</w:t>
                </w:r>
              </w:p>
              <w:p>
                <w:pPr>
                  <w:jc w:val="center"/>
                  <w:rPr>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Regos korekcija ir (arba) apsauga</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Kontaktinis (-iai) lęšis (-iai)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01.05</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Akies raištis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01.06</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 arba kontaktiniai lęšiai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01.07</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Speciali optinė pagalbinė priemonė</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Klausos ir susikalbėjimo pagalbinė priemonė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Galūnių protezai arba korekcijos įtaisai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Viršutinės galūnės protezas arba korekcijos įtaisas (papildomai nurodomos reikiamos raidės a, b, c, f, g)</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Apatinės galūnės protezas arba korekcijos įtaisas (papildomai nurodomos reikiamos raidės a, b, d)</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pritaikymas</w:t>
                </w:r>
              </w:p>
              <w:p>
                <w:pPr>
                  <w:jc w:val="center"/>
                  <w:rPr>
                    <w:b/>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Nuo 10 iki 50</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 xml:space="preserve">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naudojimo ribojimo kodai</w:t>
                </w:r>
              </w:p>
              <w:p>
                <w:pPr>
                  <w:jc w:val="center"/>
                  <w:rPr>
                    <w:b/>
                    <w:szCs w:val="24"/>
                    <w:lang w:eastAsia="lt-LT"/>
                  </w:rPr>
                </w:pPr>
              </w:p>
            </w:tc>
          </w:tr>
          <w:tr>
            <w:trPr>
              <w:trHeight w:val="23"/>
            </w:trPr>
            <w:tc>
              <w:tcPr>
                <w:tcW w:w="910" w:type="pct"/>
                <w:tcBorders>
                  <w:top w:val="nil"/>
                  <w:left w:val="single" w:sz="8" w:space="0" w:color="auto"/>
                  <w:bottom w:val="single" w:sz="4"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68</w:t>
                </w:r>
              </w:p>
            </w:tc>
            <w:tc>
              <w:tcPr>
                <w:tcW w:w="4090" w:type="pct"/>
                <w:tcBorders>
                  <w:top w:val="nil"/>
                  <w:left w:val="nil"/>
                  <w:bottom w:val="single" w:sz="4" w:space="0" w:color="auto"/>
                  <w:right w:val="single" w:sz="8" w:space="0" w:color="auto"/>
                </w:tcBorders>
                <w:tcMar>
                  <w:top w:w="0" w:type="dxa"/>
                  <w:left w:w="40" w:type="dxa"/>
                  <w:bottom w:w="0" w:type="dxa"/>
                  <w:right w:w="40" w:type="dxa"/>
                </w:tcMar>
                <w:hideMark/>
              </w:tcPr>
              <w:p>
                <w:pPr>
                  <w:jc w:val="both"/>
                  <w:rPr>
                    <w:szCs w:val="24"/>
                    <w:lang w:eastAsia="lt-LT"/>
                  </w:rPr>
                </w:pPr>
                <w:r>
                  <w:rPr>
                    <w:szCs w:val="24"/>
                    <w:lang w:eastAsia="lt-LT"/>
                  </w:rPr>
                  <w:t>Draudžiama vairuoti išgėrus alkoholio</w:t>
                </w:r>
              </w:p>
            </w:tc>
          </w:tr>
        </w:tbl>
        <w:p>
          <w:pPr>
            <w:ind w:firstLine="1296"/>
            <w:rPr>
              <w:szCs w:val="24"/>
              <w:lang w:eastAsia="lt-LT"/>
            </w:rPr>
          </w:pPr>
        </w:p>
        <w:p>
          <w:pPr>
            <w:suppressAutoHyphens/>
            <w:ind w:left="1134"/>
            <w:textAlignment w:val="center"/>
            <w:rPr>
              <w:szCs w:val="24"/>
              <w:lang w:eastAsia="lt-LT"/>
            </w:rPr>
          </w:pPr>
          <w:r>
            <w:rPr>
              <w:szCs w:val="24"/>
              <w:vertAlign w:val="superscript"/>
              <w:lang w:eastAsia="lt-LT"/>
            </w:rPr>
            <w:t>*</w:t>
          </w:r>
          <w:r>
            <w:rPr>
              <w:szCs w:val="24"/>
              <w:lang w:eastAsia="lt-LT"/>
            </w:rPr>
            <w:t>Lentelėje naudojamų raidžių reikšmės:</w:t>
          </w:r>
        </w:p>
        <w:p>
          <w:pPr>
            <w:suppressAutoHyphens/>
            <w:ind w:left="1134"/>
            <w:textAlignment w:val="center"/>
            <w:rPr>
              <w:szCs w:val="24"/>
              <w:lang w:eastAsia="lt-LT"/>
            </w:rPr>
          </w:pPr>
          <w:r>
            <w:rPr>
              <w:szCs w:val="24"/>
              <w:lang w:eastAsia="lt-LT"/>
            </w:rPr>
            <w:t>a – kairė</w:t>
          </w:r>
        </w:p>
        <w:p>
          <w:pPr>
            <w:suppressAutoHyphens/>
            <w:ind w:left="1134"/>
            <w:textAlignment w:val="center"/>
            <w:rPr>
              <w:szCs w:val="24"/>
              <w:lang w:eastAsia="lt-LT"/>
            </w:rPr>
          </w:pPr>
          <w:r>
            <w:rPr>
              <w:szCs w:val="24"/>
              <w:lang w:eastAsia="lt-LT"/>
            </w:rPr>
            <w:t>b – dešinė</w:t>
          </w:r>
        </w:p>
        <w:p>
          <w:pPr>
            <w:suppressAutoHyphens/>
            <w:ind w:left="1134"/>
            <w:textAlignment w:val="center"/>
            <w:rPr>
              <w:szCs w:val="24"/>
              <w:lang w:eastAsia="lt-LT"/>
            </w:rPr>
          </w:pPr>
          <w:r>
            <w:rPr>
              <w:szCs w:val="24"/>
              <w:lang w:eastAsia="lt-LT"/>
            </w:rPr>
            <w:t>c – plaštaka</w:t>
          </w:r>
        </w:p>
        <w:p>
          <w:pPr>
            <w:suppressAutoHyphens/>
            <w:ind w:left="1134"/>
            <w:textAlignment w:val="center"/>
            <w:rPr>
              <w:szCs w:val="24"/>
              <w:lang w:eastAsia="lt-LT"/>
            </w:rPr>
          </w:pPr>
          <w:r>
            <w:rPr>
              <w:szCs w:val="24"/>
              <w:lang w:eastAsia="lt-LT"/>
            </w:rPr>
            <w:t>d – pėda</w:t>
          </w:r>
        </w:p>
        <w:p>
          <w:pPr>
            <w:suppressAutoHyphens/>
            <w:ind w:left="1134"/>
            <w:textAlignment w:val="center"/>
            <w:rPr>
              <w:szCs w:val="24"/>
              <w:lang w:eastAsia="lt-LT"/>
            </w:rPr>
          </w:pPr>
          <w:r>
            <w:rPr>
              <w:szCs w:val="24"/>
              <w:lang w:eastAsia="lt-LT"/>
            </w:rPr>
            <w:t>f – ranka</w:t>
          </w:r>
        </w:p>
        <w:p>
          <w:pPr>
            <w:suppressAutoHyphens/>
            <w:ind w:left="1134"/>
            <w:textAlignment w:val="center"/>
          </w:pPr>
          <w:r>
            <w:rPr>
              <w:szCs w:val="24"/>
              <w:lang w:eastAsia="lt-LT"/>
            </w:rPr>
            <w:t>g – nykštys</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8"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9"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0"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1"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43cc33497961491f8cea2b436cc9b0bd"/>
        <w:lock w:val="sdtLocked"/>
        <w:richText/>
      </w:sdtPr>
      <w:sdtContent>
        <w:p>
          <w:pPr>
            <w:tabs>
              <w:tab w:val="left" w:pos="1304"/>
              <w:tab w:val="left" w:pos="1457"/>
              <w:tab w:val="left" w:pos="1604"/>
              <w:tab w:val="left" w:pos="1757"/>
            </w:tabs>
            <w:ind w:left="5102"/>
            <w:sectPr>
              <w:headerReference w:type="even" r:id="rId52"/>
              <w:headerReference w:type="default" r:id="rId53"/>
              <w:footerReference w:type="even" r:id="rId54"/>
              <w:footerReference w:type="default" r:id="rId55"/>
              <w:headerReference w:type="first" r:id="rId56"/>
              <w:footerReference w:type="first" r:id="rId57"/>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43cc33497961491f8cea2b436cc9b0bd"/>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43cc33497961491f8cea2b436cc9b0bd"/>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15b02405709a40e4a0e3ff4abccc2257"/>
        <w:lock w:val="sdtLocked"/>
        <w:richText/>
      </w:sdtPr>
      <w:sdtContent>
        <w:p>
          <w:pPr>
            <w:ind w:left="720" w:hanging="11"/>
            <w:jc w:val="center"/>
            <w:rPr>
              <w:szCs w:val="24"/>
            </w:rPr>
          </w:pPr>
        </w:p>
        <w:p>
          <w:pPr>
            <w:ind w:right="27"/>
            <w:jc w:val="both"/>
            <w:rPr>
              <w:sz w:val="20"/>
              <w:szCs w:val="24"/>
            </w:rPr>
            <w:sectPr>
              <w:headerReference w:type="even" r:id="rId100"/>
              <w:headerReference w:type="default" r:id="rId101"/>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15b02405709a40e4a0e3ff4abccc2257"/>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f97b1ced700140b5977f7b086a50a97b"/>
        <w:lock w:val="sdtLocked"/>
        <w:richText/>
      </w:sdtPr>
      <w:sdtContent>
        <w:p>
          <w:pPr>
            <w:ind w:left="5184"/>
            <w:jc w:val="both"/>
            <w:sectPr>
              <w:headerReference w:type="even" r:id="rId102"/>
              <w:headerReference w:type="default" r:id="rId103"/>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f97b1ced700140b5977f7b086a50a97b"/>
              <w:lock w:val="sdtLocked"/>
              <w:richText/>
            </w:sdtPr>
            <w:sdtContent>
              <w:r>
                <w:rPr>
                  <w:szCs w:val="24"/>
                </w:rPr>
                <w:t>2</w:t>
              </w:r>
            </w:sdtContent>
          </w:sdt>
          <w:r>
            <w:rPr>
              <w:szCs w:val="24"/>
            </w:rPr>
            <w:t xml:space="preserve"> priedas</w:t>
          </w:r>
        </w:p>
        <w:p>
          <w:pPr>
            <w:jc w:val="center"/>
            <w:rPr>
              <w:b/>
              <w:szCs w:val="24"/>
            </w:rPr>
          </w:pPr>
        </w:p>
        <w:sdt>
          <w:sdtPr>
            <w:alias w:val="Pavadinimas"/>
            <w:tag w:val="title_f97b1ced700140b5977f7b086a50a97b"/>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3" w:tgtFrame="_blank" w:history="1">
                    <w:r>
                      <w:rPr>
                        <w:color w:val="0000FF" w:themeColor="hyperlink"/>
                        <w:u w:val="single"/>
                      </w:rPr>
                      <w:t>4-27</w:t>
                    </w:r>
                  </w:hyperlink>
                  <w:r>
                    <w:rPr>
                      <w:color w:val="000000"/>
                    </w:rPr>
                    <w:t xml:space="preserve">; 2006, Nr. </w:t>
                  </w:r>
                  <w:hyperlink r:id="rId64"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5" w:tgtFrame="_blank" w:history="1">
                    <w:r>
                      <w:rPr>
                        <w:color w:val="0000FF" w:themeColor="hyperlink"/>
                        <w:u w:val="single"/>
                      </w:rPr>
                      <w:t>47-1365</w:t>
                    </w:r>
                  </w:hyperlink>
                  <w:r>
                    <w:rPr>
                      <w:color w:val="000000"/>
                    </w:rPr>
                    <w:t xml:space="preserve">; 2009, Nr. </w:t>
                  </w:r>
                  <w:hyperlink r:id="rId66"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7"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8"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9"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70"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71"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72"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3"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4"/>
                          <w:footerReference w:type="default" r:id="rId75"/>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6"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7"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8"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9"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80"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81"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82"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3"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4"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5"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6"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7"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8"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9"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90"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91" w:tgtFrame="_blank" w:history="1">
                          <w:r>
                            <w:rPr>
                              <w:color w:val="0000FF" w:themeColor="hyperlink"/>
                              <w:sz w:val="18"/>
                              <w:szCs w:val="18"/>
                              <w:u w:val="single"/>
                            </w:rPr>
                            <w:t>47-1365</w:t>
                          </w:r>
                        </w:hyperlink>
                        <w:r>
                          <w:rPr>
                            <w:sz w:val="18"/>
                            <w:szCs w:val="18"/>
                          </w:rPr>
                          <w:t xml:space="preserve">; 2005, Nr. </w:t>
                        </w:r>
                        <w:hyperlink r:id="rId92" w:tgtFrame="_blank" w:history="1">
                          <w:r>
                            <w:rPr>
                              <w:color w:val="0000FF" w:themeColor="hyperlink"/>
                              <w:sz w:val="18"/>
                              <w:szCs w:val="18"/>
                              <w:u w:val="single"/>
                            </w:rPr>
                            <w:t>128-4637</w:t>
                          </w:r>
                        </w:hyperlink>
                        <w:r>
                          <w:rPr>
                            <w:sz w:val="18"/>
                            <w:szCs w:val="18"/>
                          </w:rPr>
                          <w:t xml:space="preserve">; 2008, Nr. </w:t>
                        </w:r>
                        <w:hyperlink r:id="rId93"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4" w:tgtFrame="_blank" w:history="1">
                          <w:r>
                            <w:rPr>
                              <w:color w:val="0000FF" w:themeColor="hyperlink"/>
                              <w:sz w:val="18"/>
                              <w:szCs w:val="18"/>
                              <w:u w:val="single"/>
                            </w:rPr>
                            <w:t>47-1365</w:t>
                          </w:r>
                        </w:hyperlink>
                        <w:r>
                          <w:rPr>
                            <w:sz w:val="18"/>
                            <w:szCs w:val="18"/>
                          </w:rPr>
                          <w:t xml:space="preserve">; 2005, Nr. </w:t>
                        </w:r>
                        <w:hyperlink r:id="rId95" w:tgtFrame="_blank" w:history="1">
                          <w:r>
                            <w:rPr>
                              <w:color w:val="0000FF" w:themeColor="hyperlink"/>
                              <w:sz w:val="18"/>
                              <w:szCs w:val="18"/>
                              <w:u w:val="single"/>
                            </w:rPr>
                            <w:t>128-4637</w:t>
                          </w:r>
                        </w:hyperlink>
                        <w:r>
                          <w:rPr>
                            <w:sz w:val="18"/>
                            <w:szCs w:val="18"/>
                          </w:rPr>
                          <w:t xml:space="preserve">; 2008, Nr. </w:t>
                        </w:r>
                        <w:hyperlink r:id="rId96"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7"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a43c086255144952a5c495f285baad55"/>
            <w:lock w:val="sdtLocked"/>
            <w:richText/>
          </w:sdtPr>
          <w:sdtContent>
            <w:p>
              <w:pPr>
                <w:jc w:val="center"/>
                <w:rPr>
                  <w:b/>
                  <w:szCs w:val="24"/>
                </w:rPr>
              </w:pPr>
              <w:sdt>
                <w:sdtPr>
                  <w:alias w:val="Numeris"/>
                  <w:tag w:val="nr_a43c086255144952a5c495f285baad55"/>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a43c086255144952a5c495f285baad55"/>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rPr>
                  <w:trHeight w:val="428"/>
                </w:trP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1</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rPr>
                        <w:szCs w:val="24"/>
                      </w:rPr>
                    </w:pPr>
                    <w:r>
                      <w:rPr>
                        <w:szCs w:val="24"/>
                      </w:rPr>
                      <w:t>Gydytojo specialisto</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9,13</w:t>
                    </w:r>
                  </w:p>
                </w:tc>
              </w:tr>
            </w:tbl>
            <w:p>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3b540529011e7846ef01bfffb9b64">
                <w:r w:rsidRPr="00532B9F">
                  <w:rPr>
                    <w:rFonts w:ascii="Times New Roman" w:eastAsia="MS Mincho" w:hAnsi="Times New Roman"/>
                    <w:sz w:val="20"/>
                    <w:i/>
                    <w:iCs/>
                    <w:color w:val="0000FF" w:themeColor="hyperlink"/>
                    <w:u w:val="single"/>
                  </w:rPr>
                  <w:t>V-715</w:t>
                </w:r>
              </w:fldSimple>
              <w:r>
                <w:rPr>
                  <w:rFonts w:ascii="Times New Roman" w:eastAsia="MS Mincho" w:hAnsi="Times New Roman"/>
                  <w:sz w:val="20"/>
                  <w:i/>
                  <w:iCs/>
                </w:rPr>
                <w:t>,
2017-06-14,
paskelbta TAR 2017-06-19, i. k. 2017-10169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27960447e11e8ad2f97b2a095557a">
                <w:r w:rsidRPr="00532B9F">
                  <w:rPr>
                    <w:rFonts w:ascii="Times New Roman" w:eastAsia="MS Mincho" w:hAnsi="Times New Roman"/>
                    <w:sz w:val="20"/>
                    <w:i/>
                    <w:iCs/>
                    <w:color w:val="0000FF" w:themeColor="hyperlink"/>
                    <w:u w:val="single"/>
                  </w:rPr>
                  <w:t>V-458</w:t>
                </w:r>
              </w:fldSimple>
              <w:r>
                <w:rPr>
                  <w:rFonts w:ascii="Times New Roman" w:eastAsia="MS Mincho" w:hAnsi="Times New Roman"/>
                  <w:sz w:val="20"/>
                  <w:i/>
                  <w:iCs/>
                </w:rPr>
                <w:t>,
2018-04-19,
paskelbta TAR 2018-04-20, i. k. 2018-06362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383fb0a9f911e9964cdd77475976b0">
                <w:r w:rsidRPr="00532B9F">
                  <w:rPr>
                    <w:rFonts w:ascii="Times New Roman" w:eastAsia="MS Mincho" w:hAnsi="Times New Roman"/>
                    <w:sz w:val="20"/>
                    <w:i/>
                    <w:iCs/>
                    <w:color w:val="0000FF" w:themeColor="hyperlink"/>
                    <w:u w:val="single"/>
                  </w:rPr>
                  <w:t>V-844</w:t>
                </w:r>
              </w:fldSimple>
              <w:r>
                <w:rPr>
                  <w:rFonts w:ascii="Times New Roman" w:eastAsia="MS Mincho" w:hAnsi="Times New Roman"/>
                  <w:sz w:val="20"/>
                  <w:i/>
                  <w:iCs/>
                </w:rPr>
                <w:t>,
2019-07-18,
paskelbta TAR 2019-07-19, i. k. 2019-11907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595bc076f111e9b81587fcbd5a76f6">
            <w:r w:rsidRPr="00532B9F">
              <w:rPr>
                <w:rFonts w:ascii="Times New Roman" w:eastAsia="MS Mincho" w:hAnsi="Times New Roman"/>
                <w:sz w:val="20"/>
                <w:iCs/>
                <w:color w:val="0000FF" w:themeColor="hyperlink"/>
                <w:u w:val="single"/>
              </w:rPr>
              <w:t>V-566</w:t>
            </w:r>
          </w:fldSimple>
          <w:r>
            <w:rPr>
              <w:rFonts w:ascii="Times New Roman" w:eastAsia="MS Mincho" w:hAnsi="Times New Roman"/>
              <w:sz w:val="20"/>
              <w:iCs/>
            </w:rPr>
            <w:t>,
2019-05-14,
paskelbta TAR 2019-05-15, i. k. 2019-07703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383fb0a9f911e9964cdd77475976b0">
            <w:r w:rsidRPr="00532B9F">
              <w:rPr>
                <w:rFonts w:ascii="Times New Roman" w:eastAsia="MS Mincho" w:hAnsi="Times New Roman"/>
                <w:sz w:val="20"/>
                <w:iCs/>
                <w:color w:val="0000FF" w:themeColor="hyperlink"/>
                <w:u w:val="single"/>
              </w:rPr>
              <w:t>V-844</w:t>
            </w:r>
          </w:fldSimple>
          <w:r>
            <w:rPr>
              <w:rFonts w:ascii="Times New Roman" w:eastAsia="MS Mincho" w:hAnsi="Times New Roman"/>
              <w:sz w:val="20"/>
              <w:iCs/>
            </w:rPr>
            <w:t>,
2019-07-18,
paskelbta TAR 2019-07-19, i. k. 2019-11907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2"/>
        <w:szCs w:val="22"/>
      </w:rPr>
    </w:pPr>
  </w:p>
  <w:p>
    <w:pPr>
      <w:tabs>
        <w:tab w:val="center" w:pos="4819"/>
        <w:tab w:val="right" w:pos="9638"/>
      </w:tabs>
      <w:rPr>
        <w:sz w:val="22"/>
        <w:szCs w:val="22"/>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696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9633"/>
    <o:shapelayout v:ext="edit">
      <o:idmap v:ext="edit" data="1"/>
    </o:shapelayout>
  </w:shapeDefaults>
  <w:decimalSymbol w:val=","/>
  <w:listSeparator w:val=";"/>
  <w14:docId w14:val="199CF80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00" Type="http://schemas.openxmlformats.org/officeDocument/2006/relationships/header" Target="header229.xml"/>
  <Relationship Id="rId101" Type="http://schemas.openxmlformats.org/officeDocument/2006/relationships/header" Target="header230.xml"/>
  <Relationship Id="rId102" Type="http://schemas.openxmlformats.org/officeDocument/2006/relationships/header" Target="header251.xml"/>
  <Relationship Id="rId103" Type="http://schemas.openxmlformats.org/officeDocument/2006/relationships/header" Target="header252.xml"/>
  <Relationship Id="rId104" Type="http://schemas.openxmlformats.org/officeDocument/2006/relationships/header" Target="header273.xml"/>
  <Relationship Id="rId105" Type="http://schemas.openxmlformats.org/officeDocument/2006/relationships/header" Target="header274.xml"/>
  <Relationship Id="rId106" Type="http://schemas.openxmlformats.org/officeDocument/2006/relationships/header" Target="header275.xml"/>
  <Relationship Id="rId107" Type="http://schemas.openxmlformats.org/officeDocument/2006/relationships/image" Target="media/image193.png"/>
  <Relationship Id="rId108" Type="http://schemas.openxmlformats.org/officeDocument/2006/relationships/image" Target="media/image194.png"/>
  <Relationship Id="rId109" Type="http://schemas.openxmlformats.org/officeDocument/2006/relationships/image" Target="media/image195.png"/>
  <Relationship Id="rId11" Type="http://schemas.openxmlformats.org/officeDocument/2006/relationships/hyperlink" TargetMode="External" Target="https://www.e-tar.lt/portal/lt/legalAct/TAR.95C79D036AA4"/>
  <Relationship Id="rId110" Type="http://schemas.openxmlformats.org/officeDocument/2006/relationships/image" Target="media/image196.png"/>
  <Relationship Id="rId111" Type="http://schemas.openxmlformats.org/officeDocument/2006/relationships/image" Target="media/image197.png"/>
  <Relationship Id="rId112" Type="http://schemas.openxmlformats.org/officeDocument/2006/relationships/image" Target="media/image198.png"/>
  <Relationship Id="rId113" Type="http://schemas.openxmlformats.org/officeDocument/2006/relationships/image" Target="media/image199.png"/>
  <Relationship Id="rId114" Type="http://schemas.openxmlformats.org/officeDocument/2006/relationships/image" Target="media/image200.png"/>
  <Relationship Id="rId115" Type="http://schemas.openxmlformats.org/officeDocument/2006/relationships/image" Target="media/image201.png"/>
  <Relationship Id="rId116" Type="http://schemas.openxmlformats.org/officeDocument/2006/relationships/image" Target="media/image202.png"/>
  <Relationship Id="rId117" Type="http://schemas.openxmlformats.org/officeDocument/2006/relationships/image" Target="media/image203.png"/>
  <Relationship Id="rId118" Type="http://schemas.openxmlformats.org/officeDocument/2006/relationships/image" Target="media/image204.png"/>
  <Relationship Id="rId119" Type="http://schemas.openxmlformats.org/officeDocument/2006/relationships/image" Target="media/image205.png"/>
  <Relationship Id="rId12" Type="http://schemas.openxmlformats.org/officeDocument/2006/relationships/hyperlink" TargetMode="External" Target="https://www.e-tar.lt/portal/lt/legalAct/TAR.E2B2957B9182"/>
  <Relationship Id="rId120" Type="http://schemas.openxmlformats.org/officeDocument/2006/relationships/image" Target="media/image206.png"/>
  <Relationship Id="rId121" Type="http://schemas.openxmlformats.org/officeDocument/2006/relationships/image" Target="media/image207.png"/>
  <Relationship Id="rId122" Type="http://schemas.openxmlformats.org/officeDocument/2006/relationships/image" Target="media/image208.png"/>
  <Relationship Id="rId123" Type="http://schemas.openxmlformats.org/officeDocument/2006/relationships/image" Target="media/image209.png"/>
  <Relationship Id="rId124" Type="http://schemas.openxmlformats.org/officeDocument/2006/relationships/image" Target="media/image210.png"/>
  <Relationship Id="rId125" Type="http://schemas.openxmlformats.org/officeDocument/2006/relationships/image" Target="media/image211.png"/>
  <Relationship Id="rId126" Type="http://schemas.openxmlformats.org/officeDocument/2006/relationships/image" Target="media/image212.png"/>
  <Relationship Id="rId127" Type="http://schemas.openxmlformats.org/officeDocument/2006/relationships/image" Target="media/image213.png"/>
  <Relationship Id="rId128" Type="http://schemas.openxmlformats.org/officeDocument/2006/relationships/image" Target="media/image214.png"/>
  <Relationship Id="rId129" Type="http://schemas.openxmlformats.org/officeDocument/2006/relationships/image" Target="media/image215.png"/>
  <Relationship Id="rId13" Type="http://schemas.openxmlformats.org/officeDocument/2006/relationships/hyperlink" TargetMode="External" Target="https://www.e-tar.lt/portal/lt/legalAct/TAR.E964CE7A637A"/>
  <Relationship Id="rId130" Type="http://schemas.openxmlformats.org/officeDocument/2006/relationships/image" Target="media/image216.png"/>
  <Relationship Id="rId131" Type="http://schemas.openxmlformats.org/officeDocument/2006/relationships/image" Target="media/image217.png"/>
  <Relationship Id="rId132" Type="http://schemas.openxmlformats.org/officeDocument/2006/relationships/image" Target="media/image218.png"/>
  <Relationship Id="rId133" Type="http://schemas.openxmlformats.org/officeDocument/2006/relationships/image" Target="media/image219.png"/>
  <Relationship Id="rId134" Type="http://schemas.openxmlformats.org/officeDocument/2006/relationships/image" Target="media/image220.png"/>
  <Relationship Id="rId135" Type="http://schemas.openxmlformats.org/officeDocument/2006/relationships/image" Target="media/image221.png"/>
  <Relationship Id="rId136" Type="http://schemas.openxmlformats.org/officeDocument/2006/relationships/image" Target="media/image222.png"/>
  <Relationship Id="rId137" Type="http://schemas.openxmlformats.org/officeDocument/2006/relationships/image" Target="media/image223.png"/>
  <Relationship Id="rId138" Type="http://schemas.openxmlformats.org/officeDocument/2006/relationships/image" Target="media/image224.png"/>
  <Relationship Id="rId139" Type="http://schemas.openxmlformats.org/officeDocument/2006/relationships/customXml" Target="../customXml/item1.xml"/>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81.xml"/>
  <Relationship Id="rId23" Type="http://schemas.openxmlformats.org/officeDocument/2006/relationships/header" Target="header82.xml"/>
  <Relationship Id="rId24" Type="http://schemas.openxmlformats.org/officeDocument/2006/relationships/footer" Target="footer76.xml"/>
  <Relationship Id="rId25" Type="http://schemas.openxmlformats.org/officeDocument/2006/relationships/footer" Target="footer77.xml"/>
  <Relationship Id="rId26" Type="http://schemas.openxmlformats.org/officeDocument/2006/relationships/header" Target="header83.xml"/>
  <Relationship Id="rId27" Type="http://schemas.openxmlformats.org/officeDocument/2006/relationships/footer" Target="footer78.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eader" Target="header99.xml"/>
  <Relationship Id="rId35" Type="http://schemas.openxmlformats.org/officeDocument/2006/relationships/header" Target="header100.xml"/>
  <Relationship Id="rId36" Type="http://schemas.openxmlformats.org/officeDocument/2006/relationships/footer" Target="footer94.xml"/>
  <Relationship Id="rId37" Type="http://schemas.openxmlformats.org/officeDocument/2006/relationships/footer" Target="footer95.xml"/>
  <Relationship Id="rId38" Type="http://schemas.openxmlformats.org/officeDocument/2006/relationships/header" Target="header101.xml"/>
  <Relationship Id="rId39" Type="http://schemas.openxmlformats.org/officeDocument/2006/relationships/footer" Target="footer96.xml"/>
  <Relationship Id="rId4" Type="http://schemas.openxmlformats.org/officeDocument/2006/relationships/settings" Target="settings.xml"/>
  <Relationship Id="rId40" Type="http://schemas.openxmlformats.org/officeDocument/2006/relationships/hyperlink" TargetMode="External" Target="https://www.e-tar.lt/portal/lt/legalAct/TAR.FC348F73C47A"/>
  <Relationship Id="rId41" Type="http://schemas.openxmlformats.org/officeDocument/2006/relationships/hyperlink" TargetMode="External" Target="https://www.e-tar.lt/portal/lt/legalAct/TAR.FC348F73C47A"/>
  <Relationship Id="rId42" Type="http://schemas.openxmlformats.org/officeDocument/2006/relationships/header" Target="header183.xml"/>
  <Relationship Id="rId43" Type="http://schemas.openxmlformats.org/officeDocument/2006/relationships/header" Target="header184.xml"/>
  <Relationship Id="rId44" Type="http://schemas.openxmlformats.org/officeDocument/2006/relationships/footer" Target="footer178.xml"/>
  <Relationship Id="rId45" Type="http://schemas.openxmlformats.org/officeDocument/2006/relationships/footer" Target="footer179.xml"/>
  <Relationship Id="rId46" Type="http://schemas.openxmlformats.org/officeDocument/2006/relationships/header" Target="header185.xml"/>
  <Relationship Id="rId47" Type="http://schemas.openxmlformats.org/officeDocument/2006/relationships/footer" Target="footer180.xml"/>
  <Relationship Id="rId48" Type="http://schemas.openxmlformats.org/officeDocument/2006/relationships/hyperlink" TargetMode="External" Target="https://www.e-tar.lt/portal/lt/legalAct/TAR.3394CBFC359C"/>
  <Relationship Id="rId49" Type="http://schemas.openxmlformats.org/officeDocument/2006/relationships/hyperlink" TargetMode="External" Target="http://www3.lrs.lt/cgi-bin/preps2?a=51605&amp;b="/>
  <Relationship Id="rId5" Type="http://schemas.openxmlformats.org/officeDocument/2006/relationships/styles" Target="styles.xml"/>
  <Relationship Id="rId50" Type="http://schemas.openxmlformats.org/officeDocument/2006/relationships/hyperlink" TargetMode="External" Target="https://www.e-tar.lt/portal/lt/legalAct/TAR.B7D7BAACDE6B"/>
  <Relationship Id="rId51" Type="http://schemas.openxmlformats.org/officeDocument/2006/relationships/hyperlink" TargetMode="External" Target="http://www3.lrs.lt/cgi-bin/preps2?a=69596&amp;b="/>
  <Relationship Id="rId52" Type="http://schemas.openxmlformats.org/officeDocument/2006/relationships/header" Target="header192.xml"/>
  <Relationship Id="rId53" Type="http://schemas.openxmlformats.org/officeDocument/2006/relationships/header" Target="header193.xml"/>
  <Relationship Id="rId54" Type="http://schemas.openxmlformats.org/officeDocument/2006/relationships/footer" Target="footer187.xml"/>
  <Relationship Id="rId55" Type="http://schemas.openxmlformats.org/officeDocument/2006/relationships/footer" Target="footer188.xml"/>
  <Relationship Id="rId56" Type="http://schemas.openxmlformats.org/officeDocument/2006/relationships/header" Target="header194.xml"/>
  <Relationship Id="rId57" Type="http://schemas.openxmlformats.org/officeDocument/2006/relationships/footer" Target="footer189.xml"/>
  <Relationship Id="rId58" Type="http://schemas.openxmlformats.org/officeDocument/2006/relationships/hyperlink" TargetMode="External" Target="https://www.e-tar.lt/portal/lt/legalAct/TAR.5DC1759E42CB"/>
  <Relationship Id="rId59" Type="http://schemas.openxmlformats.org/officeDocument/2006/relationships/hyperlink" TargetMode="External" Target="https://www.e-tar.lt/portal/lt/legalAct/TAR.8D97CD7E1857"/>
  <Relationship Id="rId6" Type="http://schemas.microsoft.com/office/2007/relationships/stylesWithEffects" Target="stylesWithEffects.xml"/>
  <Relationship Id="rId60" Type="http://schemas.openxmlformats.org/officeDocument/2006/relationships/hyperlink" TargetMode="External" Target="https://www.e-tar.lt/portal/lt/legalAct/TAR.DC61D74561C5"/>
  <Relationship Id="rId61" Type="http://schemas.openxmlformats.org/officeDocument/2006/relationships/hyperlink" TargetMode="External" Target="https://www.e-tar.lt/portal/lt/legalAct/TAR.67B5099C5848"/>
  <Relationship Id="rId62" Type="http://schemas.openxmlformats.org/officeDocument/2006/relationships/hyperlink" TargetMode="External" Target="https://www.e-tar.lt/portal/lt/legalAct/TAR.78FAC7B20AD8"/>
  <Relationship Id="rId63" Type="http://schemas.openxmlformats.org/officeDocument/2006/relationships/hyperlink" TargetMode="External" Target="https://www.e-tar.lt/portal/lt/legalAct/TAR.C7A984833333"/>
  <Relationship Id="rId64" Type="http://schemas.openxmlformats.org/officeDocument/2006/relationships/hyperlink" TargetMode="External" Target="https://www.e-tar.lt/portal/lt/legalAct/TAR.33907EA7C2DC"/>
  <Relationship Id="rId65" Type="http://schemas.openxmlformats.org/officeDocument/2006/relationships/hyperlink" TargetMode="External" Target="https://www.e-tar.lt/portal/lt/legalAct/TAR.DC61D74561C5"/>
  <Relationship Id="rId66" Type="http://schemas.openxmlformats.org/officeDocument/2006/relationships/hyperlink" TargetMode="External" Target="https://www.e-tar.lt/portal/lt/legalAct/TAR.723F49D02CD8"/>
  <Relationship Id="rId67" Type="http://schemas.openxmlformats.org/officeDocument/2006/relationships/hyperlink" TargetMode="External" Target="https://www.e-tar.lt/portal/lt/legalAct/TAR.6A8A7A3BBCDC"/>
  <Relationship Id="rId68" Type="http://schemas.openxmlformats.org/officeDocument/2006/relationships/hyperlink" TargetMode="External" Target="https://www.e-tar.lt/portal/lt/legalAct/TAR.F1D86F455636"/>
  <Relationship Id="rId69" Type="http://schemas.openxmlformats.org/officeDocument/2006/relationships/hyperlink" TargetMode="External" Target="https://www.e-tar.lt/portal/lt/legalAct/TAR.5E3842DF67F8"/>
  <Relationship Id="rId7" Type="http://schemas.openxmlformats.org/officeDocument/2006/relationships/theme" Target="theme/theme1.xml"/>
  <Relationship Id="rId70" Type="http://schemas.openxmlformats.org/officeDocument/2006/relationships/hyperlink" TargetMode="External" Target="https://www.e-tar.lt/portal/lt/legalAct/TAR.668CEF058FF8"/>
  <Relationship Id="rId71" Type="http://schemas.openxmlformats.org/officeDocument/2006/relationships/hyperlink" TargetMode="External" Target="https://www.e-tar.lt/portal/lt/legalAct/TAR.DC61D74561C5"/>
  <Relationship Id="rId72" Type="http://schemas.openxmlformats.org/officeDocument/2006/relationships/hyperlink" TargetMode="External" Target="https://www.e-tar.lt/portal/lt/legalAct/TAR.C6E4170DB704"/>
  <Relationship Id="rId73" Type="http://schemas.openxmlformats.org/officeDocument/2006/relationships/hyperlink" TargetMode="External" Target="https://www.e-tar.lt/portal/lt/legalAct/TAR.668CEF058FF8"/>
  <Relationship Id="rId74" Type="http://schemas.openxmlformats.org/officeDocument/2006/relationships/header" Target="header219.xml"/>
  <Relationship Id="rId75" Type="http://schemas.openxmlformats.org/officeDocument/2006/relationships/footer" Target="footer214.xml"/>
  <Relationship Id="rId76" Type="http://schemas.openxmlformats.org/officeDocument/2006/relationships/hyperlink" TargetMode="External" Target="https://www.e-tar.lt/portal/lt/legalAct/TAR.1B50A305B56B"/>
  <Relationship Id="rId77" Type="http://schemas.openxmlformats.org/officeDocument/2006/relationships/hyperlink" TargetMode="External" Target="https://www.e-tar.lt/portal/lt/legalAct/TAR.A36A799DD928"/>
  <Relationship Id="rId78" Type="http://schemas.openxmlformats.org/officeDocument/2006/relationships/hyperlink" TargetMode="External" Target="https://www.e-tar.lt/portal/lt/legalAct/TAR.7083DB116A2E"/>
  <Relationship Id="rId79" Type="http://schemas.openxmlformats.org/officeDocument/2006/relationships/hyperlink" TargetMode="External" Target="https://www.e-tar.lt/portal/lt/legalAct/TAR.6A8A7A3BBCDC"/>
  <Relationship Id="rId8" Type="http://schemas.openxmlformats.org/officeDocument/2006/relationships/webSettings" Target="webSettings.xml"/>
  <Relationship Id="rId80" Type="http://schemas.openxmlformats.org/officeDocument/2006/relationships/hyperlink" TargetMode="External" Target="https://www.e-tar.lt/portal/lt/legalAct/TAR.F1D86F455636"/>
  <Relationship Id="rId81" Type="http://schemas.openxmlformats.org/officeDocument/2006/relationships/hyperlink" TargetMode="External" Target="https://www.e-tar.lt/portal/lt/legalAct/TAR.751B6F8BF451"/>
  <Relationship Id="rId82" Type="http://schemas.openxmlformats.org/officeDocument/2006/relationships/hyperlink" TargetMode="External" Target="https://www.e-tar.lt/portal/lt/legalAct/TAR.313208361D5D"/>
  <Relationship Id="rId83" Type="http://schemas.openxmlformats.org/officeDocument/2006/relationships/hyperlink" TargetMode="External" Target="https://www.e-tar.lt/portal/lt/legalAct/TAR.64EB889A3B24"/>
  <Relationship Id="rId84" Type="http://schemas.openxmlformats.org/officeDocument/2006/relationships/hyperlink" TargetMode="External" Target="https://www.e-tar.lt/portal/lt/legalAct/TAR.5ED52629C3C4"/>
  <Relationship Id="rId85" Type="http://schemas.openxmlformats.org/officeDocument/2006/relationships/hyperlink" TargetMode="External" Target="https://www.e-tar.lt/portal/lt/legalAct/TAR.0630DF325F2F"/>
  <Relationship Id="rId86" Type="http://schemas.openxmlformats.org/officeDocument/2006/relationships/hyperlink" TargetMode="External" Target="https://www.e-tar.lt/portal/lt/legalAct/TAR.A57CA999DD08"/>
  <Relationship Id="rId87" Type="http://schemas.openxmlformats.org/officeDocument/2006/relationships/hyperlink" TargetMode="External" Target="https://www.e-tar.lt/portal/lt/legalAct/TAR.668CEF058FF8"/>
  <Relationship Id="rId88" Type="http://schemas.openxmlformats.org/officeDocument/2006/relationships/hyperlink" TargetMode="External" Target="https://www.e-tar.lt/portal/lt/legalAct/TAR.04551A50A76D"/>
  <Relationship Id="rId89" Type="http://schemas.openxmlformats.org/officeDocument/2006/relationships/hyperlink" TargetMode="External" Target="https://www.e-tar.lt/portal/lt/legalAct/TAR.C6E4170DB704"/>
  <Relationship Id="rId9" Type="http://schemas.openxmlformats.org/officeDocument/2006/relationships/image" Target="media/image3.wmf"/>
  <Relationship Id="rId90" Type="http://schemas.openxmlformats.org/officeDocument/2006/relationships/hyperlink" TargetMode="External" Target="https://www.e-tar.lt/portal/lt/legalAct/TAR.DC61D74561C5"/>
  <Relationship Id="rId91" Type="http://schemas.openxmlformats.org/officeDocument/2006/relationships/hyperlink" TargetMode="External" Target="https://www.e-tar.lt/portal/lt/legalAct/TAR.DC61D74561C5"/>
  <Relationship Id="rId92" Type="http://schemas.openxmlformats.org/officeDocument/2006/relationships/hyperlink" TargetMode="External" Target="https://www.e-tar.lt/portal/lt/legalAct/TAR.9A2A80746DED"/>
  <Relationship Id="rId93" Type="http://schemas.openxmlformats.org/officeDocument/2006/relationships/hyperlink" TargetMode="External" Target="https://www.e-tar.lt/portal/lt/legalAct/TAR.F7E759DF5DFE"/>
  <Relationship Id="rId94" Type="http://schemas.openxmlformats.org/officeDocument/2006/relationships/hyperlink" TargetMode="External" Target="https://www.e-tar.lt/portal/lt/legalAct/TAR.DC61D74561C5"/>
  <Relationship Id="rId95" Type="http://schemas.openxmlformats.org/officeDocument/2006/relationships/hyperlink" TargetMode="External" Target="https://www.e-tar.lt/portal/lt/legalAct/TAR.9A2A80746DED"/>
  <Relationship Id="rId96" Type="http://schemas.openxmlformats.org/officeDocument/2006/relationships/hyperlink" TargetMode="External" Target="https://www.e-tar.lt/portal/lt/legalAct/TAR.F7E759DF5DFE"/>
  <Relationship Id="rId97" Type="http://schemas.openxmlformats.org/officeDocument/2006/relationships/hyperlink" TargetMode="External" Target="https://www.e-tar.lt/portal/lt/legalAct/TAR.C6E4170DB704"/>
  <Relationship Id="rId98" Type="http://schemas.openxmlformats.org/officeDocument/2006/relationships/hyperlink" TargetMode="External" Target="https://www.e-tar.lt/portal/lt/legalAct/TAR.6CFC2AC8617C"/>
  <Relationship Id="rId99" Type="http://schemas.openxmlformats.org/officeDocument/2006/relationships/hyperlink" TargetMode="External" Target="https://www.e-tar.lt/portal/lt/legalAct/TAR.9BB254501DB8"/>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b31b47089825415abd49b95f4dd3da77">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682b3a33a62a41e7970732757e845b61"/>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700d9c8174d24f52b0626b1e2c6e94be"/>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IR PILNAMEČIŲ MOKINIŲ, UGDOMŲ PAGAL BENDROJO UGDYMO PROGRAMAS, SVEIKATOS TIKRINIMO TVARKOS APRAŠAS“." DocPartId="957f1ca1d35843c095d59efb3391897b" PartId="e89f8d83f6f94118bbb4aca5b6830856">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fa627178b95c4d7fbac4bbaa65423f8f"/>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30" Abbr="3 pr. 30 p." DocPartId="0804394be4c641a3947b3e529b317296" PartId="fbfc8fe1fcff4eda8a8b2a87b2d3d1e5"/>
    </Part>
  </Part>
  <Part Type="priedas" Nr="1" Abbr="1 pr." Title="PROFILAKTINIO VAIKŲ SVEIKATOS TIKRINIMO REIKALAVIMAI" DocPartId="ac2b2da24049474eae9a2f50226f9ad7" PartId="0118e110bc114001937696f02abc728d"/>
  <Part Type="priedas" Nr="2" Abbr="2 pr." Title="VAIKO PSICHOMOTORINĖS RAIDOS TIKRINIMO LAPAS (KŪDIKIS)" DocPartId="c8665e5b69ff4dceac89b89c0be3ac6c" PartId="157fffd3966541bd90693ca4016f3032"/>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20e23dc59d114cceb6e8e573bbb071d2">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7de7cb5508eb4487b95e24594c81804a"/>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da39e86e0365404c80191091e05e5124"/>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e950408d9c76469d9e0c98fd7189996e">
    <Part Type="pastraipa" DocPartId="557567d3ded24cc8a831a99680be6b7b" PartId="a12a5cc77725464ab3061b5460210de5"/>
    <Part Type="punktas" Nr="1" Abbr="1 p." DocPartId="11f675b1e99f4a58bc0fcdd411f2f896" PartId="91f7c691844a4270896e1adf8e1ddf81"/>
    <Part Type="punktas" Nr="2" Abbr="2 p." DocPartId="5ecaa926b6444e0fbb5b5057a7e87da3" PartId="95dab9f62a8746c5b88ee15bc28813f8"/>
    <Part Type="punktas" Nr="3" Abbr="3 p." DocPartId="15e15844b787420c998fe34c2343d55f" PartId="91c0a009624d44db9eaeb52843343851"/>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f99f630dd4494ea8a0278039b27fdecd"/>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43cc33497961491f8cea2b436cc9b0bd">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15b02405709a40e4a0e3ff4abccc2257"/>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f97b1ced700140b5977f7b086a50a97b"/>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a43c086255144952a5c495f285baad55"/>
  </Part>
</Parts>
</file>

<file path=customXml/itemProps1.xml><?xml version="1.0" encoding="utf-8"?>
<ds:datastoreItem xmlns:ds="http://schemas.openxmlformats.org/officeDocument/2006/customXml" ds:itemID="{ADEEAD95-49E0-4601-A173-A9BA1FB677C4}">
  <ds:schemaRefs>
    <ds:schemaRef ds:uri="http://lrs.lt/TAIS/DocParts"/>
  </ds:schemaRefs>
</ds:datastoreItem>
</file>

<file path=docProps/app.xml><?xml version="1.0" encoding="utf-8"?>
<Properties xmlns="http://schemas.openxmlformats.org/officeDocument/2006/extended-properties">
  <Template>Normal.dotm</Template>
  <TotalTime>179</TotalTime>
  <Pages>233</Pages>
  <Words>300169</Words>
  <Characters>171097</Characters>
  <Application>Microsoft Office Word</Application>
  <DocSecurity>0</DocSecurity>
  <Lines>1425</Lines>
  <Paragraphs>940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470326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„Windows“ vartotojas</lastModifiedBy>
  <dcterms:modified xsi:type="dcterms:W3CDTF">2019-07-22T08:34:00Z</dcterms:modified>
  <revision>112</revision>
</coreProperties>
</file>